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48"/>
          <w:szCs w:val="48"/>
          <w:highlight w:val="white"/>
          <w:rtl w:val="0"/>
        </w:rPr>
        <w:t xml:space="preserve">1. Write a program which tells whether the given year is leap year or not and write appropriate test cases?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" w:cs="Roboto" w:eastAsia="Roboto" w:hAnsi="Roboto"/>
          <w:color w:val="5f6368"/>
          <w:sz w:val="46"/>
          <w:szCs w:val="4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48"/>
          <w:szCs w:val="48"/>
          <w:highlight w:val="white"/>
          <w:rtl w:val="0"/>
        </w:rPr>
        <w:t xml:space="preserve">2. Write a simple program, which sets the log levels at runtime (as user input) and prints all the logs greater than or equal to that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48"/>
          <w:szCs w:val="48"/>
          <w:highlight w:val="white"/>
          <w:rtl w:val="0"/>
        </w:rPr>
        <w:t xml:space="preserve">3. Write a program with 2 classes, each with 2 or 3 methods. These methods should call the methods of the other class. Use mocking and write test cases appropriately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8bf6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