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0"/>
        <w:jc w:val="center"/>
      </w:pPr>
      <w:r>
        <w:rPr>
          <w:b/>
          <w:i w:val="0"/>
          <w:color w:val="1F3763"/>
          <w:sz w:val="52"/>
        </w:rPr>
        <w:t>IntelliDraft</w:t>
      </w:r>
    </w:p>
    <w:p>
      <w:pPr>
        <w:spacing w:after="40" w:before="0"/>
        <w:jc w:val="center"/>
      </w:pPr>
      <w:r>
        <w:rPr>
          <w:b/>
          <w:i w:val="0"/>
          <w:color w:val="2E75B6"/>
          <w:sz w:val="30"/>
        </w:rPr>
        <w:t>API Design, Scalability &amp; System-Design Review</w:t>
      </w:r>
    </w:p>
    <w:p>
      <w:pPr>
        <w:spacing w:after="480" w:before="0"/>
        <w:jc w:val="center"/>
      </w:pPr>
      <w:r>
        <w:rPr>
          <w:b w:val="0"/>
          <w:i/>
          <w:color w:val="595959"/>
          <w:sz w:val="22"/>
        </w:rPr>
        <w:t>Technical deep-dive briefing</w:t>
      </w:r>
    </w:p>
    <w:p>
      <w:pPr>
        <w:spacing w:after="20" w:before="0"/>
        <w:jc w:val="center"/>
      </w:pPr>
      <w:r>
        <w:rPr>
          <w:b w:val="0"/>
          <w:i w:val="0"/>
          <w:sz w:val="21"/>
        </w:rPr>
        <w:t>Prepared for: QA Lead &amp; Senior Engineer review</w:t>
      </w:r>
    </w:p>
    <w:p>
      <w:pPr>
        <w:spacing w:after="20" w:before="0"/>
        <w:jc w:val="center"/>
      </w:pPr>
      <w:r>
        <w:rPr>
          <w:b w:val="0"/>
          <w:i w:val="0"/>
          <w:color w:val="595959"/>
          <w:sz w:val="20"/>
        </w:rPr>
        <w:t>Platform: AI document generation &amp; review (BRD, RFP, SOW, NIT, BOQ, +)</w:t>
      </w:r>
    </w:p>
    <w:p>
      <w:pPr>
        <w:spacing w:after="20" w:before="0"/>
        <w:jc w:val="center"/>
      </w:pPr>
      <w:r>
        <w:rPr>
          <w:b w:val="0"/>
          <w:i w:val="0"/>
          <w:color w:val="595959"/>
          <w:sz w:val="20"/>
        </w:rPr>
        <w:t>Deployment: Azure Databricks Apps  |  Runtime: Flask + Gunicorn (Python 3.11)</w:t>
      </w:r>
    </w:p>
    <w:p>
      <w:pPr>
        <w:spacing w:after="20" w:before="0"/>
        <w:jc w:val="center"/>
      </w:pPr>
      <w:r>
        <w:rPr>
          <w:b w:val="0"/>
          <w:i w:val="0"/>
          <w:color w:val="595959"/>
          <w:sz w:val="20"/>
        </w:rPr>
        <w:t>Version 1.0</w:t>
      </w:r>
    </w:p>
    <w:p>
      <w:r>
        <w:br w:type="page"/>
      </w:r>
    </w:p>
    <w:p>
      <w:pPr>
        <w:pStyle w:val="Heading1"/>
      </w:pPr>
      <w:r>
        <w:t>1. Executive Summary</w:t>
      </w:r>
    </w:p>
    <w:p>
      <w:pPr>
        <w:spacing w:after="80" w:before="0"/>
      </w:pPr>
      <w:r>
        <w:rPr>
          <w:b w:val="0"/>
          <w:i w:val="0"/>
          <w:sz w:val="21"/>
        </w:rPr>
        <w:t>IntelliDraft exposes a JSON/HTTP API (~76 endpoints) that turns project inputs and uploaded documents into fully-formatted business documents, then manages their multi-persona review lifecycle. The API is designed around three ideas:</w:t>
      </w:r>
    </w:p>
    <w:p>
      <w:pPr>
        <w:pStyle w:val="ListBullet"/>
        <w:spacing w:after="40"/>
      </w:pPr>
      <w:r>
        <w:rPr>
          <w:b/>
          <w:sz w:val="21"/>
        </w:rPr>
        <w:t xml:space="preserve">Thin routes, fat services: </w:t>
      </w:r>
      <w:r>
        <w:rPr>
          <w:sz w:val="21"/>
        </w:rPr>
        <w:t>HTTP handlers do no business logic; every operation lives in a single reusable service function shared by the REST API, the chat handler, and the ADK agent tools.</w:t>
      </w:r>
    </w:p>
    <w:p>
      <w:pPr>
        <w:pStyle w:val="ListBullet"/>
        <w:spacing w:after="40"/>
      </w:pPr>
      <w:r>
        <w:rPr>
          <w:b/>
          <w:sz w:val="21"/>
        </w:rPr>
        <w:t xml:space="preserve">Stateless request tier, async heavy work: </w:t>
      </w:r>
      <w:r>
        <w:rPr>
          <w:sz w:val="21"/>
        </w:rPr>
        <w:t>long-running LLM generation and document conversion never block a request; the app tier holds no session state, so it scales horizontally.</w:t>
      </w:r>
    </w:p>
    <w:p>
      <w:pPr>
        <w:pStyle w:val="ListBullet"/>
        <w:spacing w:after="40"/>
      </w:pPr>
      <w:r>
        <w:rPr>
          <w:b/>
          <w:sz w:val="21"/>
        </w:rPr>
        <w:t xml:space="preserve">Swappable infrastructure: </w:t>
      </w:r>
      <w:r>
        <w:rPr>
          <w:sz w:val="21"/>
        </w:rPr>
        <w:t>database, blob storage, LLM provider and cache are all behind abstractions selected by environment flags, so the same code runs local, Docker, or Databricks.</w:t>
      </w:r>
    </w:p>
    <w:p>
      <w:pPr>
        <w:spacing w:after="120" w:before="0"/>
      </w:pPr>
      <w:r>
        <w:rPr>
          <w:b w:val="0"/>
          <w:i w:val="0"/>
          <w:sz w:val="21"/>
        </w:rPr>
        <w:t>This document explains the why, where and how of that design, quantifies how it behaves under load, states the current scaling limits candidly, and lists the roadmap to remove them. Section 10 anticipates the questions most likely to come up in the review.</w:t>
      </w:r>
    </w:p>
    <w:p>
      <w:pPr>
        <w:pStyle w:val="Heading1"/>
      </w:pPr>
      <w:r>
        <w:t>2. System Architecture (the WHERE)</w:t>
      </w:r>
    </w:p>
    <w:p>
      <w:pPr>
        <w:spacing w:after="80" w:before="0"/>
      </w:pPr>
      <w:r>
        <w:rPr>
          <w:b w:val="0"/>
          <w:i w:val="0"/>
          <w:sz w:val="21"/>
        </w:rPr>
        <w:t>The system is a classic layered architecture. Each layer only talks to the one below it, which keeps the API surface thin and the business logic testable in isolation.</w:t>
      </w:r>
    </w:p>
    <w:tbl>
      <w:tblPr>
        <w:tblStyle w:val="TableGrid"/>
        <w:tblW w:type="auto" w:w="0"/>
        <w:tblLook w:firstColumn="1" w:firstRow="1" w:lastColumn="0" w:lastRow="0" w:noHBand="0" w:noVBand="1" w:val="04A0"/>
      </w:tblPr>
      <w:tblGrid>
        <w:gridCol w:w="3249"/>
        <w:gridCol w:w="3249"/>
        <w:gridCol w:w="3249"/>
      </w:tblGrid>
      <w:tr>
        <w:tc>
          <w:tcPr>
            <w:tcW w:type="dxa" w:w="1701"/>
            <w:shd w:val="clear" w:color="auto" w:fill="1F3763"/>
          </w:tcPr>
          <w:p>
            <w:pPr>
              <w:spacing w:after="20" w:before="20"/>
            </w:pPr>
            <w:r>
              <w:rPr>
                <w:rFonts w:ascii="Calibri" w:hAnsi="Calibri"/>
                <w:b/>
                <w:color w:val="FFFFFF"/>
                <w:sz w:val="19"/>
              </w:rPr>
              <w:t>Layer</w:t>
            </w:r>
          </w:p>
        </w:tc>
        <w:tc>
          <w:tcPr>
            <w:tcW w:type="dxa" w:w="4649"/>
            <w:shd w:val="clear" w:color="auto" w:fill="1F3763"/>
          </w:tcPr>
          <w:p>
            <w:pPr>
              <w:spacing w:after="20" w:before="20"/>
            </w:pPr>
            <w:r>
              <w:rPr>
                <w:rFonts w:ascii="Calibri" w:hAnsi="Calibri"/>
                <w:b/>
                <w:color w:val="FFFFFF"/>
                <w:sz w:val="19"/>
              </w:rPr>
              <w:t>Responsibility</w:t>
            </w:r>
          </w:p>
        </w:tc>
        <w:tc>
          <w:tcPr>
            <w:tcW w:type="dxa" w:w="3118"/>
            <w:shd w:val="clear" w:color="auto" w:fill="1F3763"/>
          </w:tcPr>
          <w:p>
            <w:pPr>
              <w:spacing w:after="20" w:before="20"/>
            </w:pPr>
            <w:r>
              <w:rPr>
                <w:rFonts w:ascii="Calibri" w:hAnsi="Calibri"/>
                <w:b/>
                <w:color w:val="FFFFFF"/>
                <w:sz w:val="19"/>
              </w:rPr>
              <w:t>Key modules</w:t>
            </w:r>
          </w:p>
        </w:tc>
      </w:tr>
      <w:tr>
        <w:tc>
          <w:tcPr>
            <w:tcW w:type="dxa" w:w="1701"/>
          </w:tcPr>
          <w:p>
            <w:pPr>
              <w:spacing w:after="20" w:before="20"/>
            </w:pPr>
            <w:r>
              <w:rPr>
                <w:rFonts w:ascii="Calibri" w:hAnsi="Calibri"/>
                <w:b w:val="0"/>
                <w:sz w:val="19"/>
              </w:rPr>
              <w:t>Edge / WSGI</w:t>
            </w:r>
          </w:p>
        </w:tc>
        <w:tc>
          <w:tcPr>
            <w:tcW w:type="dxa" w:w="4649"/>
          </w:tcPr>
          <w:p>
            <w:pPr>
              <w:spacing w:after="20" w:before="20"/>
            </w:pPr>
            <w:r>
              <w:rPr>
                <w:rFonts w:ascii="Calibri" w:hAnsi="Calibri"/>
                <w:b w:val="0"/>
                <w:sz w:val="19"/>
              </w:rPr>
              <w:t>Gunicorn workers terminate HTTP; CORS, request logging, body-size limits</w:t>
            </w:r>
          </w:p>
        </w:tc>
        <w:tc>
          <w:tcPr>
            <w:tcW w:type="dxa" w:w="3118"/>
          </w:tcPr>
          <w:p>
            <w:pPr>
              <w:spacing w:after="20" w:before="20"/>
            </w:pPr>
            <w:r>
              <w:rPr>
                <w:rFonts w:ascii="Calibri" w:hAnsi="Calibri"/>
                <w:b w:val="0"/>
                <w:sz w:val="19"/>
              </w:rPr>
              <w:t>gunicorn, run_server:app</w:t>
            </w:r>
          </w:p>
        </w:tc>
      </w:tr>
      <w:tr>
        <w:tc>
          <w:tcPr>
            <w:tcW w:type="dxa" w:w="1701"/>
            <w:shd w:val="clear" w:color="auto" w:fill="EAF0F8"/>
          </w:tcPr>
          <w:p>
            <w:pPr>
              <w:spacing w:after="20" w:before="20"/>
            </w:pPr>
            <w:r>
              <w:rPr>
                <w:rFonts w:ascii="Calibri" w:hAnsi="Calibri"/>
                <w:b w:val="0"/>
                <w:sz w:val="19"/>
              </w:rPr>
              <w:t>Routing (API)</w:t>
            </w:r>
          </w:p>
        </w:tc>
        <w:tc>
          <w:tcPr>
            <w:tcW w:type="dxa" w:w="4649"/>
            <w:shd w:val="clear" w:color="auto" w:fill="EAF0F8"/>
          </w:tcPr>
          <w:p>
            <w:pPr>
              <w:spacing w:after="20" w:before="20"/>
            </w:pPr>
            <w:r>
              <w:rPr>
                <w:rFonts w:ascii="Calibri" w:hAnsi="Calibri"/>
                <w:b w:val="0"/>
                <w:sz w:val="19"/>
              </w:rPr>
              <w:t>~76 Flask routes: validate input, map to a service call, shape JSON + HTTP code</w:t>
            </w:r>
          </w:p>
        </w:tc>
        <w:tc>
          <w:tcPr>
            <w:tcW w:type="dxa" w:w="3118"/>
            <w:shd w:val="clear" w:color="auto" w:fill="EAF0F8"/>
          </w:tcPr>
          <w:p>
            <w:pPr>
              <w:spacing w:after="20" w:before="20"/>
            </w:pPr>
            <w:r>
              <w:rPr>
                <w:rFonts w:ascii="Calibri" w:hAnsi="Calibri"/>
                <w:b w:val="0"/>
                <w:sz w:val="19"/>
              </w:rPr>
              <w:t>run_server.py</w:t>
            </w:r>
          </w:p>
        </w:tc>
      </w:tr>
      <w:tr>
        <w:tc>
          <w:tcPr>
            <w:tcW w:type="dxa" w:w="1701"/>
          </w:tcPr>
          <w:p>
            <w:pPr>
              <w:spacing w:after="20" w:before="20"/>
            </w:pPr>
            <w:r>
              <w:rPr>
                <w:rFonts w:ascii="Calibri" w:hAnsi="Calibri"/>
                <w:b w:val="0"/>
                <w:sz w:val="19"/>
              </w:rPr>
              <w:t>Services (domain)</w:t>
            </w:r>
          </w:p>
        </w:tc>
        <w:tc>
          <w:tcPr>
            <w:tcW w:type="dxa" w:w="4649"/>
          </w:tcPr>
          <w:p>
            <w:pPr>
              <w:spacing w:after="20" w:before="20"/>
            </w:pPr>
            <w:r>
              <w:rPr>
                <w:rFonts w:ascii="Calibri" w:hAnsi="Calibri"/>
                <w:b w:val="0"/>
                <w:sz w:val="19"/>
              </w:rPr>
              <w:t>All business logic: generation, review, templates, preview, export</w:t>
            </w:r>
          </w:p>
        </w:tc>
        <w:tc>
          <w:tcPr>
            <w:tcW w:type="dxa" w:w="3118"/>
          </w:tcPr>
          <w:p>
            <w:pPr>
              <w:spacing w:after="20" w:before="20"/>
            </w:pPr>
            <w:r>
              <w:rPr>
                <w:rFonts w:ascii="Calibri" w:hAnsi="Calibri"/>
                <w:b w:val="0"/>
                <w:sz w:val="19"/>
              </w:rPr>
              <w:t>generation_service, review_service, template_manager, preview_service, doc_writer</w:t>
            </w:r>
          </w:p>
        </w:tc>
      </w:tr>
      <w:tr>
        <w:tc>
          <w:tcPr>
            <w:tcW w:type="dxa" w:w="1701"/>
            <w:shd w:val="clear" w:color="auto" w:fill="EAF0F8"/>
          </w:tcPr>
          <w:p>
            <w:pPr>
              <w:spacing w:after="20" w:before="20"/>
            </w:pPr>
            <w:r>
              <w:rPr>
                <w:rFonts w:ascii="Calibri" w:hAnsi="Calibri"/>
                <w:b w:val="0"/>
                <w:sz w:val="19"/>
              </w:rPr>
              <w:t>Integration</w:t>
            </w:r>
          </w:p>
        </w:tc>
        <w:tc>
          <w:tcPr>
            <w:tcW w:type="dxa" w:w="4649"/>
            <w:shd w:val="clear" w:color="auto" w:fill="EAF0F8"/>
          </w:tcPr>
          <w:p>
            <w:pPr>
              <w:spacing w:after="20" w:before="20"/>
            </w:pPr>
            <w:r>
              <w:rPr>
                <w:rFonts w:ascii="Calibri" w:hAnsi="Calibri"/>
                <w:b w:val="0"/>
                <w:sz w:val="19"/>
              </w:rPr>
              <w:t>LLM calls with fallback; storage factory; parsers</w:t>
            </w:r>
          </w:p>
        </w:tc>
        <w:tc>
          <w:tcPr>
            <w:tcW w:type="dxa" w:w="3118"/>
            <w:shd w:val="clear" w:color="auto" w:fill="EAF0F8"/>
          </w:tcPr>
          <w:p>
            <w:pPr>
              <w:spacing w:after="20" w:before="20"/>
            </w:pPr>
            <w:r>
              <w:rPr>
                <w:rFonts w:ascii="Calibri" w:hAnsi="Calibri"/>
                <w:b w:val="0"/>
                <w:sz w:val="19"/>
              </w:rPr>
              <w:t>llm_provider, storage/*, parsers/*</w:t>
            </w:r>
          </w:p>
        </w:tc>
      </w:tr>
      <w:tr>
        <w:tc>
          <w:tcPr>
            <w:tcW w:type="dxa" w:w="1701"/>
          </w:tcPr>
          <w:p>
            <w:pPr>
              <w:spacing w:after="20" w:before="20"/>
            </w:pPr>
            <w:r>
              <w:rPr>
                <w:rFonts w:ascii="Calibri" w:hAnsi="Calibri"/>
                <w:b w:val="0"/>
                <w:sz w:val="19"/>
              </w:rPr>
              <w:t>Data &amp; storage</w:t>
            </w:r>
          </w:p>
        </w:tc>
        <w:tc>
          <w:tcPr>
            <w:tcW w:type="dxa" w:w="4649"/>
          </w:tcPr>
          <w:p>
            <w:pPr>
              <w:spacing w:after="20" w:before="20"/>
            </w:pPr>
            <w:r>
              <w:rPr>
                <w:rFonts w:ascii="Calibri" w:hAnsi="Calibri"/>
                <w:b w:val="0"/>
                <w:sz w:val="19"/>
              </w:rPr>
              <w:t>ORM models + session mgmt; blob persistence</w:t>
            </w:r>
          </w:p>
        </w:tc>
        <w:tc>
          <w:tcPr>
            <w:tcW w:type="dxa" w:w="3118"/>
          </w:tcPr>
          <w:p>
            <w:pPr>
              <w:spacing w:after="20" w:before="20"/>
            </w:pPr>
            <w:r>
              <w:rPr>
                <w:rFonts w:ascii="Calibri" w:hAnsi="Calibri"/>
                <w:b w:val="0"/>
                <w:sz w:val="19"/>
              </w:rPr>
              <w:t>generation/db.py (SQLAlchemy), Unity Catalog Volumes / GCS / local</w:t>
            </w:r>
          </w:p>
        </w:tc>
      </w:tr>
    </w:tbl>
    <w:p>
      <w:pPr>
        <w:spacing w:after="40"/>
      </w:pPr>
    </w:p>
    <w:p>
      <w:pPr>
        <w:pStyle w:val="Heading2"/>
      </w:pPr>
      <w:r>
        <w:t>2.1 Request lifecycle</w:t>
      </w:r>
    </w:p>
    <w:p>
      <w:pPr>
        <w:pStyle w:val="ListBullet"/>
        <w:spacing w:after="40"/>
      </w:pPr>
      <w:r>
        <w:rPr>
          <w:sz w:val="21"/>
        </w:rPr>
        <w:t>A request hits a Gunicorn worker and is dispatched by Flask to a route handler.</w:t>
      </w:r>
    </w:p>
    <w:p>
      <w:pPr>
        <w:pStyle w:val="ListBullet"/>
        <w:spacing w:after="40"/>
      </w:pPr>
      <w:r>
        <w:rPr>
          <w:sz w:val="21"/>
        </w:rPr>
        <w:t>The handler validates inputs, resolves caller identity, and calls exactly one service function.</w:t>
      </w:r>
    </w:p>
    <w:p>
      <w:pPr>
        <w:pStyle w:val="ListBullet"/>
        <w:spacing w:after="40"/>
      </w:pPr>
      <w:r>
        <w:rPr>
          <w:sz w:val="21"/>
        </w:rPr>
        <w:t>Fast operations (CRUD, status, comments) complete in-request and return JSON.</w:t>
      </w:r>
    </w:p>
    <w:p>
      <w:pPr>
        <w:pStyle w:val="ListBullet"/>
        <w:spacing w:after="40"/>
      </w:pPr>
      <w:r>
        <w:rPr>
          <w:sz w:val="21"/>
        </w:rPr>
        <w:t>Slow operations (generation, preview, AI review) are started, and the handler returns immediately with an id/poll URL; the client polls for completion.</w:t>
      </w:r>
    </w:p>
    <w:p>
      <w:pPr>
        <w:pStyle w:val="Heading1"/>
      </w:pPr>
      <w:r>
        <w:t>3. API Design Principles (the WHY)</w:t>
      </w:r>
    </w:p>
    <w:p>
      <w:pPr>
        <w:spacing w:after="80"/>
      </w:pPr>
      <w:r>
        <w:rPr>
          <w:b/>
          <w:color w:val="1F3763"/>
          <w:sz w:val="21"/>
        </w:rPr>
        <w:t xml:space="preserve">Single source of truth (DRY) — </w:t>
      </w:r>
      <w:r>
        <w:rPr>
          <w:sz w:val="21"/>
        </w:rPr>
        <w:t>Each operation has one service function. start_job_from_project() is called identically by the REST endpoint, the chat handler, and the agent tool — so behaviour can never diverge between entry points, and there is one place to test and fix.</w:t>
      </w:r>
    </w:p>
    <w:p>
      <w:pPr>
        <w:spacing w:after="80"/>
      </w:pPr>
      <w:r>
        <w:rPr>
          <w:b/>
          <w:color w:val="1F3763"/>
          <w:sz w:val="21"/>
        </w:rPr>
        <w:t xml:space="preserve">Stateless application tier — </w:t>
      </w:r>
      <w:r>
        <w:rPr>
          <w:sz w:val="21"/>
        </w:rPr>
        <w:t>No in-request state is kept in the worker; job/section/review state lives in the database. Any worker can serve any request, which is the precondition for horizontal scaling.</w:t>
      </w:r>
    </w:p>
    <w:p>
      <w:pPr>
        <w:spacing w:after="80"/>
      </w:pPr>
      <w:r>
        <w:rPr>
          <w:b/>
          <w:color w:val="1F3763"/>
          <w:sz w:val="21"/>
        </w:rPr>
        <w:t xml:space="preserve">Asynchronous by default for heavy work — </w:t>
      </w:r>
      <w:r>
        <w:rPr>
          <w:sz w:val="21"/>
        </w:rPr>
        <w:t>LLM generation (dozens of calls, minutes long) and document conversion run out-of-band; the API returns a job id and the client polls. This keeps request threads free and latency predictable.</w:t>
      </w:r>
    </w:p>
    <w:p>
      <w:pPr>
        <w:spacing w:after="80"/>
      </w:pPr>
      <w:r>
        <w:rPr>
          <w:b/>
          <w:color w:val="1F3763"/>
          <w:sz w:val="21"/>
        </w:rPr>
        <w:t xml:space="preserve">Idempotency — </w:t>
      </w:r>
      <w:r>
        <w:rPr>
          <w:sz w:val="21"/>
        </w:rPr>
        <w:t>Re-issuing generation for a completed project returns the existing result with already_complete=true instead of duplicating work — safe to retry.</w:t>
      </w:r>
    </w:p>
    <w:p>
      <w:pPr>
        <w:spacing w:after="80"/>
      </w:pPr>
      <w:r>
        <w:rPr>
          <w:b/>
          <w:color w:val="1F3763"/>
          <w:sz w:val="21"/>
        </w:rPr>
        <w:t xml:space="preserve">Graceful degradation — </w:t>
      </w:r>
      <w:r>
        <w:rPr>
          <w:sz w:val="21"/>
        </w:rPr>
        <w:t>Every external dependency has a fallback: LLM provider fallback chain (Gemini -&gt; Azure GPT), PDF converter chain (Word COM -&gt; LibreOffice -&gt; HTML), preview renderer fallback (LibreOffice -&gt; markdown2), and a per-section retry pass. A single failure degrades output, it does not crash the request.</w:t>
      </w:r>
    </w:p>
    <w:p>
      <w:pPr>
        <w:spacing w:after="80"/>
      </w:pPr>
      <w:r>
        <w:rPr>
          <w:b/>
          <w:color w:val="1F3763"/>
          <w:sz w:val="21"/>
        </w:rPr>
        <w:t xml:space="preserve">Explicit, self-describing contracts — </w:t>
      </w:r>
      <w:r>
        <w:rPr>
          <w:sz w:val="21"/>
        </w:rPr>
        <w:t>Async endpoints return a poll_url and retry hint; errors return consistent JSON with correct HTTP status codes (400/403/404/409/413/415/422/500). Clients never have to guess.</w:t>
      </w:r>
    </w:p>
    <w:p>
      <w:pPr>
        <w:spacing w:after="80"/>
      </w:pPr>
      <w:r>
        <w:rPr>
          <w:b/>
          <w:color w:val="1F3763"/>
          <w:sz w:val="21"/>
        </w:rPr>
        <w:t xml:space="preserve">Least-surprise REST conventions — </w:t>
      </w:r>
      <w:r>
        <w:rPr>
          <w:sz w:val="21"/>
        </w:rPr>
        <w:t>Resource-oriented paths, correct verbs (GET/POST/PUT/PATCH/DELETE), plural nouns, JSON bodies, query params for filters/pagination.</w:t>
      </w:r>
    </w:p>
    <w:p>
      <w:pPr>
        <w:pStyle w:val="Heading1"/>
      </w:pPr>
      <w:r>
        <w:t>4. API Surface (the WHAT)</w:t>
      </w:r>
    </w:p>
    <w:p>
      <w:pPr>
        <w:spacing w:after="80" w:before="0"/>
      </w:pPr>
      <w:r>
        <w:rPr>
          <w:b w:val="0"/>
          <w:i w:val="0"/>
          <w:sz w:val="21"/>
        </w:rPr>
        <w:t>Endpoints are grouped by domain. Full request/response examples live in the Postman collection (IntelliDraft_API.postman_collection.json).</w:t>
      </w:r>
    </w:p>
    <w:tbl>
      <w:tblPr>
        <w:tblStyle w:val="TableGrid"/>
        <w:tblW w:type="auto" w:w="0"/>
        <w:tblLook w:firstColumn="1" w:firstRow="1" w:lastColumn="0" w:lastRow="0" w:noHBand="0" w:noVBand="1" w:val="04A0"/>
      </w:tblPr>
      <w:tblGrid>
        <w:gridCol w:w="3249"/>
        <w:gridCol w:w="3249"/>
        <w:gridCol w:w="3249"/>
      </w:tblGrid>
      <w:tr>
        <w:tc>
          <w:tcPr>
            <w:tcW w:type="dxa" w:w="1814"/>
            <w:shd w:val="clear" w:color="auto" w:fill="1F3763"/>
          </w:tcPr>
          <w:p>
            <w:pPr>
              <w:spacing w:after="20" w:before="20"/>
            </w:pPr>
            <w:r>
              <w:rPr>
                <w:rFonts w:ascii="Calibri" w:hAnsi="Calibri"/>
                <w:b/>
                <w:color w:val="FFFFFF"/>
                <w:sz w:val="19"/>
              </w:rPr>
              <w:t>Domain</w:t>
            </w:r>
          </w:p>
        </w:tc>
        <w:tc>
          <w:tcPr>
            <w:tcW w:type="dxa" w:w="5669"/>
            <w:shd w:val="clear" w:color="auto" w:fill="1F3763"/>
          </w:tcPr>
          <w:p>
            <w:pPr>
              <w:spacing w:after="20" w:before="20"/>
            </w:pPr>
            <w:r>
              <w:rPr>
                <w:rFonts w:ascii="Calibri" w:hAnsi="Calibri"/>
                <w:b/>
                <w:color w:val="FFFFFF"/>
                <w:sz w:val="19"/>
              </w:rPr>
              <w:t>Representative endpoints</w:t>
            </w:r>
          </w:p>
        </w:tc>
        <w:tc>
          <w:tcPr>
            <w:tcW w:type="dxa" w:w="1984"/>
            <w:shd w:val="clear" w:color="auto" w:fill="1F3763"/>
          </w:tcPr>
          <w:p>
            <w:pPr>
              <w:spacing w:after="20" w:before="20"/>
            </w:pPr>
            <w:r>
              <w:rPr>
                <w:rFonts w:ascii="Calibri" w:hAnsi="Calibri"/>
                <w:b/>
                <w:color w:val="FFFFFF"/>
                <w:sz w:val="19"/>
              </w:rPr>
              <w:t>Sync / Async</w:t>
            </w:r>
          </w:p>
        </w:tc>
      </w:tr>
      <w:tr>
        <w:tc>
          <w:tcPr>
            <w:tcW w:type="dxa" w:w="1814"/>
          </w:tcPr>
          <w:p>
            <w:pPr>
              <w:spacing w:after="20" w:before="20"/>
            </w:pPr>
            <w:r>
              <w:rPr>
                <w:rFonts w:ascii="Calibri" w:hAnsi="Calibri"/>
                <w:b w:val="0"/>
                <w:sz w:val="19"/>
              </w:rPr>
              <w:t>Ingestion</w:t>
            </w:r>
          </w:p>
        </w:tc>
        <w:tc>
          <w:tcPr>
            <w:tcW w:type="dxa" w:w="5669"/>
          </w:tcPr>
          <w:p>
            <w:pPr>
              <w:spacing w:after="20" w:before="20"/>
            </w:pPr>
            <w:r>
              <w:rPr>
                <w:rFonts w:ascii="Calibri" w:hAnsi="Calibri"/>
                <w:b w:val="0"/>
                <w:sz w:val="19"/>
              </w:rPr>
              <w:t>POST /api/upload, GET /api/document/{id}</w:t>
            </w:r>
          </w:p>
        </w:tc>
        <w:tc>
          <w:tcPr>
            <w:tcW w:type="dxa" w:w="1984"/>
          </w:tcPr>
          <w:p>
            <w:pPr>
              <w:spacing w:after="20" w:before="20"/>
            </w:pPr>
            <w:r>
              <w:rPr>
                <w:rFonts w:ascii="Calibri" w:hAnsi="Calibri"/>
                <w:b w:val="0"/>
                <w:sz w:val="19"/>
              </w:rPr>
              <w:t>Sync</w:t>
            </w:r>
          </w:p>
        </w:tc>
      </w:tr>
      <w:tr>
        <w:tc>
          <w:tcPr>
            <w:tcW w:type="dxa" w:w="1814"/>
            <w:shd w:val="clear" w:color="auto" w:fill="EAF0F8"/>
          </w:tcPr>
          <w:p>
            <w:pPr>
              <w:spacing w:after="20" w:before="20"/>
            </w:pPr>
            <w:r>
              <w:rPr>
                <w:rFonts w:ascii="Calibri" w:hAnsi="Calibri"/>
                <w:b w:val="0"/>
                <w:sz w:val="19"/>
              </w:rPr>
              <w:t>Projects</w:t>
            </w:r>
          </w:p>
        </w:tc>
        <w:tc>
          <w:tcPr>
            <w:tcW w:type="dxa" w:w="5669"/>
            <w:shd w:val="clear" w:color="auto" w:fill="EAF0F8"/>
          </w:tcPr>
          <w:p>
            <w:pPr>
              <w:spacing w:after="20" w:before="20"/>
            </w:pPr>
            <w:r>
              <w:rPr>
                <w:rFonts w:ascii="Calibri" w:hAnsi="Calibri"/>
                <w:b w:val="0"/>
                <w:sz w:val="19"/>
              </w:rPr>
              <w:t>POST/GET/PUT/PATCH/DELETE /api/projects, GET /api/projects/{id}/data</w:t>
            </w:r>
          </w:p>
        </w:tc>
        <w:tc>
          <w:tcPr>
            <w:tcW w:type="dxa" w:w="1984"/>
            <w:shd w:val="clear" w:color="auto" w:fill="EAF0F8"/>
          </w:tcPr>
          <w:p>
            <w:pPr>
              <w:spacing w:after="20" w:before="20"/>
            </w:pPr>
            <w:r>
              <w:rPr>
                <w:rFonts w:ascii="Calibri" w:hAnsi="Calibri"/>
                <w:b w:val="0"/>
                <w:sz w:val="19"/>
              </w:rPr>
              <w:t>Sync</w:t>
            </w:r>
          </w:p>
        </w:tc>
      </w:tr>
      <w:tr>
        <w:tc>
          <w:tcPr>
            <w:tcW w:type="dxa" w:w="1814"/>
          </w:tcPr>
          <w:p>
            <w:pPr>
              <w:spacing w:after="20" w:before="20"/>
            </w:pPr>
            <w:r>
              <w:rPr>
                <w:rFonts w:ascii="Calibri" w:hAnsi="Calibri"/>
                <w:b w:val="0"/>
                <w:sz w:val="19"/>
              </w:rPr>
              <w:t>Generation</w:t>
            </w:r>
          </w:p>
        </w:tc>
        <w:tc>
          <w:tcPr>
            <w:tcW w:type="dxa" w:w="5669"/>
          </w:tcPr>
          <w:p>
            <w:pPr>
              <w:spacing w:after="20" w:before="20"/>
            </w:pPr>
            <w:r>
              <w:rPr>
                <w:rFonts w:ascii="Calibri" w:hAnsi="Calibri"/>
                <w:b w:val="0"/>
                <w:sz w:val="19"/>
              </w:rPr>
              <w:t>POST /api/generate/project/{id}, GET /api/generate/{job_id}</w:t>
            </w:r>
          </w:p>
        </w:tc>
        <w:tc>
          <w:tcPr>
            <w:tcW w:type="dxa" w:w="1984"/>
          </w:tcPr>
          <w:p>
            <w:pPr>
              <w:spacing w:after="20" w:before="20"/>
            </w:pPr>
            <w:r>
              <w:rPr>
                <w:rFonts w:ascii="Calibri" w:hAnsi="Calibri"/>
                <w:b w:val="0"/>
                <w:sz w:val="19"/>
              </w:rPr>
              <w:t>Async (poll)</w:t>
            </w:r>
          </w:p>
        </w:tc>
      </w:tr>
      <w:tr>
        <w:tc>
          <w:tcPr>
            <w:tcW w:type="dxa" w:w="1814"/>
            <w:shd w:val="clear" w:color="auto" w:fill="EAF0F8"/>
          </w:tcPr>
          <w:p>
            <w:pPr>
              <w:spacing w:after="20" w:before="20"/>
            </w:pPr>
            <w:r>
              <w:rPr>
                <w:rFonts w:ascii="Calibri" w:hAnsi="Calibri"/>
                <w:b w:val="0"/>
                <w:sz w:val="19"/>
              </w:rPr>
              <w:t>Sections</w:t>
            </w:r>
          </w:p>
        </w:tc>
        <w:tc>
          <w:tcPr>
            <w:tcW w:type="dxa" w:w="5669"/>
            <w:shd w:val="clear" w:color="auto" w:fill="EAF0F8"/>
          </w:tcPr>
          <w:p>
            <w:pPr>
              <w:spacing w:after="20" w:before="20"/>
            </w:pPr>
            <w:r>
              <w:rPr>
                <w:rFonts w:ascii="Calibri" w:hAnsi="Calibri"/>
                <w:b w:val="0"/>
                <w:sz w:val="19"/>
              </w:rPr>
              <w:t>GET/PATCH .../section/{id}, .../regenerate, .../accept</w:t>
            </w:r>
          </w:p>
        </w:tc>
        <w:tc>
          <w:tcPr>
            <w:tcW w:type="dxa" w:w="1984"/>
            <w:shd w:val="clear" w:color="auto" w:fill="EAF0F8"/>
          </w:tcPr>
          <w:p>
            <w:pPr>
              <w:spacing w:after="20" w:before="20"/>
            </w:pPr>
            <w:r>
              <w:rPr>
                <w:rFonts w:ascii="Calibri" w:hAnsi="Calibri"/>
                <w:b w:val="0"/>
                <w:sz w:val="19"/>
              </w:rPr>
              <w:t>Sync + async regen</w:t>
            </w:r>
          </w:p>
        </w:tc>
      </w:tr>
      <w:tr>
        <w:tc>
          <w:tcPr>
            <w:tcW w:type="dxa" w:w="1814"/>
          </w:tcPr>
          <w:p>
            <w:pPr>
              <w:spacing w:after="20" w:before="20"/>
            </w:pPr>
            <w:r>
              <w:rPr>
                <w:rFonts w:ascii="Calibri" w:hAnsi="Calibri"/>
                <w:b w:val="0"/>
                <w:sz w:val="19"/>
              </w:rPr>
              <w:t>Preview / Export</w:t>
            </w:r>
          </w:p>
        </w:tc>
        <w:tc>
          <w:tcPr>
            <w:tcW w:type="dxa" w:w="5669"/>
          </w:tcPr>
          <w:p>
            <w:pPr>
              <w:spacing w:after="20" w:before="20"/>
            </w:pPr>
            <w:r>
              <w:rPr>
                <w:rFonts w:ascii="Calibri" w:hAnsi="Calibri"/>
                <w:b w:val="0"/>
                <w:sz w:val="19"/>
              </w:rPr>
              <w:t>GET .../preview/html, .../preview/status, .../export</w:t>
            </w:r>
          </w:p>
        </w:tc>
        <w:tc>
          <w:tcPr>
            <w:tcW w:type="dxa" w:w="1984"/>
          </w:tcPr>
          <w:p>
            <w:pPr>
              <w:spacing w:after="20" w:before="20"/>
            </w:pPr>
            <w:r>
              <w:rPr>
                <w:rFonts w:ascii="Calibri" w:hAnsi="Calibri"/>
                <w:b w:val="0"/>
                <w:sz w:val="19"/>
              </w:rPr>
              <w:t>Async (poll)</w:t>
            </w:r>
          </w:p>
        </w:tc>
      </w:tr>
      <w:tr>
        <w:tc>
          <w:tcPr>
            <w:tcW w:type="dxa" w:w="1814"/>
            <w:shd w:val="clear" w:color="auto" w:fill="EAF0F8"/>
          </w:tcPr>
          <w:p>
            <w:pPr>
              <w:spacing w:after="20" w:before="20"/>
            </w:pPr>
            <w:r>
              <w:rPr>
                <w:rFonts w:ascii="Calibri" w:hAnsi="Calibri"/>
                <w:b w:val="0"/>
                <w:sz w:val="19"/>
              </w:rPr>
              <w:t>Chat Studio</w:t>
            </w:r>
          </w:p>
        </w:tc>
        <w:tc>
          <w:tcPr>
            <w:tcW w:type="dxa" w:w="5669"/>
            <w:shd w:val="clear" w:color="auto" w:fill="EAF0F8"/>
          </w:tcPr>
          <w:p>
            <w:pPr>
              <w:spacing w:after="20" w:before="20"/>
            </w:pPr>
            <w:r>
              <w:rPr>
                <w:rFonts w:ascii="Calibri" w:hAnsi="Calibri"/>
                <w:b w:val="0"/>
                <w:sz w:val="19"/>
              </w:rPr>
              <w:t>POST /api/chat/init, /api/chat/message</w:t>
            </w:r>
          </w:p>
        </w:tc>
        <w:tc>
          <w:tcPr>
            <w:tcW w:type="dxa" w:w="1984"/>
            <w:shd w:val="clear" w:color="auto" w:fill="EAF0F8"/>
          </w:tcPr>
          <w:p>
            <w:pPr>
              <w:spacing w:after="20" w:before="20"/>
            </w:pPr>
            <w:r>
              <w:rPr>
                <w:rFonts w:ascii="Calibri" w:hAnsi="Calibri"/>
                <w:b w:val="0"/>
                <w:sz w:val="19"/>
              </w:rPr>
              <w:t>Sync</w:t>
            </w:r>
          </w:p>
        </w:tc>
      </w:tr>
      <w:tr>
        <w:tc>
          <w:tcPr>
            <w:tcW w:type="dxa" w:w="1814"/>
          </w:tcPr>
          <w:p>
            <w:pPr>
              <w:spacing w:after="20" w:before="20"/>
            </w:pPr>
            <w:r>
              <w:rPr>
                <w:rFonts w:ascii="Calibri" w:hAnsi="Calibri"/>
                <w:b w:val="0"/>
                <w:sz w:val="19"/>
              </w:rPr>
              <w:t>Templates</w:t>
            </w:r>
          </w:p>
        </w:tc>
        <w:tc>
          <w:tcPr>
            <w:tcW w:type="dxa" w:w="5669"/>
          </w:tcPr>
          <w:p>
            <w:pPr>
              <w:spacing w:after="20" w:before="20"/>
            </w:pPr>
            <w:r>
              <w:rPr>
                <w:rFonts w:ascii="Calibri" w:hAnsi="Calibri"/>
                <w:b w:val="0"/>
                <w:sz w:val="19"/>
              </w:rPr>
              <w:t>GET/POST /api/templates</w:t>
            </w:r>
          </w:p>
        </w:tc>
        <w:tc>
          <w:tcPr>
            <w:tcW w:type="dxa" w:w="1984"/>
          </w:tcPr>
          <w:p>
            <w:pPr>
              <w:spacing w:after="20" w:before="20"/>
            </w:pPr>
            <w:r>
              <w:rPr>
                <w:rFonts w:ascii="Calibri" w:hAnsi="Calibri"/>
                <w:b w:val="0"/>
                <w:sz w:val="19"/>
              </w:rPr>
              <w:t>Sync</w:t>
            </w:r>
          </w:p>
        </w:tc>
      </w:tr>
      <w:tr>
        <w:tc>
          <w:tcPr>
            <w:tcW w:type="dxa" w:w="1814"/>
            <w:shd w:val="clear" w:color="auto" w:fill="EAF0F8"/>
          </w:tcPr>
          <w:p>
            <w:pPr>
              <w:spacing w:after="20" w:before="20"/>
            </w:pPr>
            <w:r>
              <w:rPr>
                <w:rFonts w:ascii="Calibri" w:hAnsi="Calibri"/>
                <w:b w:val="0"/>
                <w:sz w:val="19"/>
              </w:rPr>
              <w:t>Users &amp; Personas</w:t>
            </w:r>
          </w:p>
        </w:tc>
        <w:tc>
          <w:tcPr>
            <w:tcW w:type="dxa" w:w="5669"/>
            <w:shd w:val="clear" w:color="auto" w:fill="EAF0F8"/>
          </w:tcPr>
          <w:p>
            <w:pPr>
              <w:spacing w:after="20" w:before="20"/>
            </w:pPr>
            <w:r>
              <w:rPr>
                <w:rFonts w:ascii="Calibri" w:hAnsi="Calibri"/>
                <w:b w:val="0"/>
                <w:sz w:val="19"/>
              </w:rPr>
              <w:t>GET/POST/PUT/DELETE /api/users, /api/personas</w:t>
            </w:r>
          </w:p>
        </w:tc>
        <w:tc>
          <w:tcPr>
            <w:tcW w:type="dxa" w:w="1984"/>
            <w:shd w:val="clear" w:color="auto" w:fill="EAF0F8"/>
          </w:tcPr>
          <w:p>
            <w:pPr>
              <w:spacing w:after="20" w:before="20"/>
            </w:pPr>
            <w:r>
              <w:rPr>
                <w:rFonts w:ascii="Calibri" w:hAnsi="Calibri"/>
                <w:b w:val="0"/>
                <w:sz w:val="19"/>
              </w:rPr>
              <w:t>Sync</w:t>
            </w:r>
          </w:p>
        </w:tc>
      </w:tr>
      <w:tr>
        <w:tc>
          <w:tcPr>
            <w:tcW w:type="dxa" w:w="1814"/>
          </w:tcPr>
          <w:p>
            <w:pPr>
              <w:spacing w:after="20" w:before="20"/>
            </w:pPr>
            <w:r>
              <w:rPr>
                <w:rFonts w:ascii="Calibri" w:hAnsi="Calibri"/>
                <w:b w:val="0"/>
                <w:sz w:val="19"/>
              </w:rPr>
              <w:t>Review</w:t>
            </w:r>
          </w:p>
        </w:tc>
        <w:tc>
          <w:tcPr>
            <w:tcW w:type="dxa" w:w="5669"/>
          </w:tcPr>
          <w:p>
            <w:pPr>
              <w:spacing w:after="20" w:before="20"/>
            </w:pPr>
            <w:r>
              <w:rPr>
                <w:rFonts w:ascii="Calibri" w:hAnsi="Calibri"/>
                <w:b w:val="0"/>
                <w:sz w:val="19"/>
              </w:rPr>
              <w:t>POST /api/review/share, GET /api/review/{id}, comments, ai-review, summarize, respond, apply</w:t>
            </w:r>
          </w:p>
        </w:tc>
        <w:tc>
          <w:tcPr>
            <w:tcW w:type="dxa" w:w="1984"/>
          </w:tcPr>
          <w:p>
            <w:pPr>
              <w:spacing w:after="20" w:before="20"/>
            </w:pPr>
            <w:r>
              <w:rPr>
                <w:rFonts w:ascii="Calibri" w:hAnsi="Calibri"/>
                <w:b w:val="0"/>
                <w:sz w:val="19"/>
              </w:rPr>
              <w:t>Sync + async AI</w:t>
            </w:r>
          </w:p>
        </w:tc>
      </w:tr>
    </w:tbl>
    <w:p>
      <w:pPr>
        <w:spacing w:after="40"/>
      </w:pPr>
    </w:p>
    <w:p>
      <w:pPr>
        <w:pStyle w:val="Heading2"/>
      </w:pPr>
      <w:r>
        <w:t>4.1 Conventions</w:t>
      </w:r>
    </w:p>
    <w:p>
      <w:pPr>
        <w:pStyle w:val="ListBullet"/>
        <w:spacing w:after="40"/>
      </w:pPr>
      <w:r>
        <w:rPr>
          <w:b/>
          <w:sz w:val="21"/>
        </w:rPr>
        <w:t xml:space="preserve">Format: </w:t>
      </w:r>
      <w:r>
        <w:rPr>
          <w:sz w:val="21"/>
        </w:rPr>
        <w:t>JSON in / JSON out; multipart only for file upload.</w:t>
      </w:r>
    </w:p>
    <w:p>
      <w:pPr>
        <w:pStyle w:val="ListBullet"/>
        <w:spacing w:after="40"/>
      </w:pPr>
      <w:r>
        <w:rPr>
          <w:b/>
          <w:sz w:val="21"/>
        </w:rPr>
        <w:t xml:space="preserve">Status codes: </w:t>
      </w:r>
      <w:r>
        <w:rPr>
          <w:sz w:val="21"/>
        </w:rPr>
        <w:t>200 ok, 201 created, 400 bad input, 403 forbidden, 404 not found, 409 conflict (duplicate project code), 413 too large, 415 unsupported type, 422 validation, 500 server.</w:t>
      </w:r>
    </w:p>
    <w:p>
      <w:pPr>
        <w:pStyle w:val="ListBullet"/>
        <w:spacing w:after="40"/>
      </w:pPr>
      <w:r>
        <w:rPr>
          <w:b/>
          <w:sz w:val="21"/>
        </w:rPr>
        <w:t xml:space="preserve">Async contract: </w:t>
      </w:r>
      <w:r>
        <w:rPr>
          <w:sz w:val="21"/>
        </w:rPr>
        <w:t>start returns {status:'pending', poll_url, retry_after_ms} or {job_id}; client polls until {status:'ready'/'completed'}.</w:t>
      </w:r>
    </w:p>
    <w:p>
      <w:pPr>
        <w:pStyle w:val="ListBullet"/>
        <w:spacing w:after="40"/>
      </w:pPr>
      <w:r>
        <w:rPr>
          <w:b/>
          <w:sz w:val="21"/>
        </w:rPr>
        <w:t xml:space="preserve">Pagination &amp; filtering: </w:t>
      </w:r>
      <w:r>
        <w:rPr>
          <w:sz w:val="21"/>
        </w:rPr>
        <w:t>List endpoints accept q / status / code / page / per_page (per_page clamped to 100).</w:t>
      </w:r>
    </w:p>
    <w:p>
      <w:pPr>
        <w:pStyle w:val="ListBullet"/>
        <w:spacing w:after="40"/>
      </w:pPr>
      <w:r>
        <w:rPr>
          <w:b/>
          <w:sz w:val="21"/>
        </w:rPr>
        <w:t xml:space="preserve">Identity: </w:t>
      </w:r>
      <w:r>
        <w:rPr>
          <w:sz w:val="21"/>
        </w:rPr>
        <w:t>Review/admin endpoints read X-User-Email / X-User-Name (Entra ID SSO terminates on the frontend).</w:t>
      </w:r>
    </w:p>
    <w:p>
      <w:pPr>
        <w:pStyle w:val="Heading1"/>
      </w:pPr>
      <w:r>
        <w:t>5. How the API Handles Load</w:t>
      </w:r>
    </w:p>
    <w:p>
      <w:pPr>
        <w:spacing w:after="80" w:before="0"/>
      </w:pPr>
      <w:r>
        <w:rPr>
          <w:b w:val="0"/>
          <w:i w:val="0"/>
          <w:sz w:val="21"/>
        </w:rPr>
        <w:t>The dominant cost in this system is the LLM: a single document is dozens of model calls, each up to ~180 s. The design keeps request threads free of that cost.</w:t>
      </w:r>
    </w:p>
    <w:p>
      <w:pPr>
        <w:pStyle w:val="ListBullet"/>
        <w:spacing w:after="40"/>
      </w:pPr>
      <w:r>
        <w:rPr>
          <w:b/>
          <w:sz w:val="21"/>
        </w:rPr>
        <w:t xml:space="preserve">Async job model: </w:t>
      </w:r>
      <w:r>
        <w:rPr>
          <w:sz w:val="21"/>
        </w:rPr>
        <w:t>POST /generate returns in milliseconds after creating the job + section rows; the actual generation runs in a background worker. One slow document never ties up an HTTP thread.</w:t>
      </w:r>
    </w:p>
    <w:p>
      <w:pPr>
        <w:pStyle w:val="ListBullet"/>
        <w:spacing w:after="40"/>
      </w:pPr>
      <w:r>
        <w:rPr>
          <w:b/>
          <w:sz w:val="21"/>
        </w:rPr>
        <w:t xml:space="preserve">Bounded work per call: </w:t>
      </w:r>
      <w:r>
        <w:rPr>
          <w:sz w:val="21"/>
        </w:rPr>
        <w:t>Per-section prompts cap document context (~8k chars) and max tokens, so latency and cost per LLM call are predictable rather than unbounded.</w:t>
      </w:r>
    </w:p>
    <w:p>
      <w:pPr>
        <w:pStyle w:val="ListBullet"/>
        <w:spacing w:after="40"/>
      </w:pPr>
      <w:r>
        <w:rPr>
          <w:b/>
          <w:sz w:val="21"/>
        </w:rPr>
        <w:t xml:space="preserve">In-flight de-duplication: </w:t>
      </w:r>
      <w:r>
        <w:rPr>
          <w:sz w:val="21"/>
        </w:rPr>
        <w:t>Concurrent preview requests for the same job collapse to a single conversion (an _inflight guard); duplicate polling never triggers duplicate work.</w:t>
      </w:r>
    </w:p>
    <w:p>
      <w:pPr>
        <w:pStyle w:val="ListBullet"/>
        <w:spacing w:after="40"/>
      </w:pPr>
      <w:r>
        <w:rPr>
          <w:b/>
          <w:sz w:val="21"/>
        </w:rPr>
        <w:t xml:space="preserve">Result caching: </w:t>
      </w:r>
      <w:r>
        <w:rPr>
          <w:sz w:val="21"/>
        </w:rPr>
        <w:t>Rendered previews are cached and served on subsequent polls; regeneration invalidates the cache key deterministically (section version hash).</w:t>
      </w:r>
    </w:p>
    <w:p>
      <w:pPr>
        <w:pStyle w:val="ListBullet"/>
        <w:spacing w:after="40"/>
      </w:pPr>
      <w:r>
        <w:rPr>
          <w:b/>
          <w:sz w:val="21"/>
        </w:rPr>
        <w:t xml:space="preserve">Connection pooling: </w:t>
      </w:r>
      <w:r>
        <w:rPr>
          <w:sz w:val="21"/>
        </w:rPr>
        <w:t>SQLAlchemy engine uses pool_pre_ping; sessions are context-managed and always closed/rolled-back, so connections are never leaked under load.</w:t>
      </w:r>
    </w:p>
    <w:p>
      <w:pPr>
        <w:pStyle w:val="ListBullet"/>
        <w:spacing w:after="40"/>
      </w:pPr>
      <w:r>
        <w:rPr>
          <w:b/>
          <w:sz w:val="21"/>
        </w:rPr>
        <w:t xml:space="preserve">Back-pressure via polling: </w:t>
      </w:r>
      <w:r>
        <w:rPr>
          <w:sz w:val="21"/>
        </w:rPr>
        <w:t>Clients pull status on their own cadence (poll_url + retry_after_ms) instead of the server pushing — natural, simple back-pressure.</w:t>
      </w:r>
    </w:p>
    <w:p>
      <w:pPr>
        <w:pStyle w:val="ListBullet"/>
        <w:spacing w:after="40"/>
      </w:pPr>
      <w:r>
        <w:rPr>
          <w:b/>
          <w:sz w:val="21"/>
        </w:rPr>
        <w:t xml:space="preserve">Guardrails: </w:t>
      </w:r>
      <w:r>
        <w:rPr>
          <w:sz w:val="21"/>
        </w:rPr>
        <w:t>50 MB upload cap, per_page clamp, request-body limits, and 120–200 s Gunicorn timeouts bound worst-case resource use per request.</w:t>
      </w:r>
    </w:p>
    <w:p>
      <w:pPr>
        <w:spacing w:after="80" w:before="40"/>
      </w:pPr>
      <w:r>
        <w:rPr>
          <w:b w:val="0"/>
          <w:i w:val="0"/>
          <w:sz w:val="21"/>
        </w:rPr>
        <w:t>Concurrency model: Gunicorn runs multiple workers (4 sync workers on Databricks; 2 gthread workers x 4 threads in Docker). Fast endpoints are served concurrently across workers; heavy work is offloaded so a handful of workers can sustain many concurrent users.</w:t>
      </w:r>
    </w:p>
    <w:p>
      <w:pPr>
        <w:pStyle w:val="Heading1"/>
      </w:pPr>
      <w:r>
        <w:t>6. Scalability</w:t>
      </w:r>
    </w:p>
    <w:p>
      <w:pPr>
        <w:pStyle w:val="Heading2"/>
      </w:pPr>
      <w:r>
        <w:t>6.1 What scales well today</w:t>
      </w:r>
    </w:p>
    <w:p>
      <w:pPr>
        <w:pStyle w:val="ListBullet"/>
        <w:spacing w:after="40"/>
      </w:pPr>
      <w:r>
        <w:rPr>
          <w:b/>
          <w:sz w:val="21"/>
        </w:rPr>
        <w:t xml:space="preserve">Stateless app tier: </w:t>
      </w:r>
      <w:r>
        <w:rPr>
          <w:sz w:val="21"/>
        </w:rPr>
        <w:t>No worker-local session state -&gt; add Gunicorn workers or Databricks App instances to serve more concurrent traffic linearly.</w:t>
      </w:r>
    </w:p>
    <w:p>
      <w:pPr>
        <w:pStyle w:val="ListBullet"/>
        <w:spacing w:after="40"/>
      </w:pPr>
      <w:r>
        <w:rPr>
          <w:b/>
          <w:sz w:val="21"/>
        </w:rPr>
        <w:t xml:space="preserve">Read/CRUD paths: </w:t>
      </w:r>
      <w:r>
        <w:rPr>
          <w:sz w:val="21"/>
        </w:rPr>
        <w:t>Projects, templates, comments, review workflow are ordinary DB-bound calls that scale with the database.</w:t>
      </w:r>
    </w:p>
    <w:p>
      <w:pPr>
        <w:pStyle w:val="ListBullet"/>
        <w:spacing w:after="40"/>
      </w:pPr>
      <w:r>
        <w:rPr>
          <w:b/>
          <w:sz w:val="21"/>
        </w:rPr>
        <w:t xml:space="preserve">LLM throughput: </w:t>
      </w:r>
      <w:r>
        <w:rPr>
          <w:sz w:val="21"/>
        </w:rPr>
        <w:t>Because generation is per-section and provider-abstracted, throughput scales with the model endpoint's capacity and the fallback provider absorbs spikes.</w:t>
      </w:r>
    </w:p>
    <w:p>
      <w:pPr>
        <w:pStyle w:val="Heading2"/>
      </w:pPr>
      <w:r>
        <w:t>6.2 Current limits (stated candidly)</w:t>
      </w:r>
    </w:p>
    <w:tbl>
      <w:tblPr>
        <w:tblStyle w:val="TableGrid"/>
        <w:tblW w:type="auto" w:w="0"/>
        <w:tblLook w:firstColumn="1" w:firstRow="1" w:lastColumn="0" w:lastRow="0" w:noHBand="0" w:noVBand="1" w:val="04A0"/>
      </w:tblPr>
      <w:tblGrid>
        <w:gridCol w:w="2436"/>
        <w:gridCol w:w="2436"/>
        <w:gridCol w:w="2436"/>
        <w:gridCol w:w="2436"/>
      </w:tblGrid>
      <w:tr>
        <w:tc>
          <w:tcPr>
            <w:tcW w:type="dxa" w:w="1701"/>
            <w:shd w:val="clear" w:color="auto" w:fill="1F3763"/>
          </w:tcPr>
          <w:p>
            <w:pPr>
              <w:spacing w:after="20" w:before="20"/>
            </w:pPr>
            <w:r>
              <w:rPr>
                <w:rFonts w:ascii="Calibri" w:hAnsi="Calibri"/>
                <w:b/>
                <w:color w:val="FFFFFF"/>
                <w:sz w:val="19"/>
              </w:rPr>
              <w:t>Area</w:t>
            </w:r>
          </w:p>
        </w:tc>
        <w:tc>
          <w:tcPr>
            <w:tcW w:type="dxa" w:w="2608"/>
            <w:shd w:val="clear" w:color="auto" w:fill="1F3763"/>
          </w:tcPr>
          <w:p>
            <w:pPr>
              <w:spacing w:after="20" w:before="20"/>
            </w:pPr>
            <w:r>
              <w:rPr>
                <w:rFonts w:ascii="Calibri" w:hAnsi="Calibri"/>
                <w:b/>
                <w:color w:val="FFFFFF"/>
                <w:sz w:val="19"/>
              </w:rPr>
              <w:t>Current design</w:t>
            </w:r>
          </w:p>
        </w:tc>
        <w:tc>
          <w:tcPr>
            <w:tcW w:type="dxa" w:w="3231"/>
            <w:shd w:val="clear" w:color="auto" w:fill="1F3763"/>
          </w:tcPr>
          <w:p>
            <w:pPr>
              <w:spacing w:after="20" w:before="20"/>
            </w:pPr>
            <w:r>
              <w:rPr>
                <w:rFonts w:ascii="Calibri" w:hAnsi="Calibri"/>
                <w:b/>
                <w:color w:val="FFFFFF"/>
                <w:sz w:val="19"/>
              </w:rPr>
              <w:t>Limit under multi-instance scale</w:t>
            </w:r>
          </w:p>
        </w:tc>
        <w:tc>
          <w:tcPr>
            <w:tcW w:type="dxa" w:w="1984"/>
            <w:shd w:val="clear" w:color="auto" w:fill="1F3763"/>
          </w:tcPr>
          <w:p>
            <w:pPr>
              <w:spacing w:after="20" w:before="20"/>
            </w:pPr>
            <w:r>
              <w:rPr>
                <w:rFonts w:ascii="Calibri" w:hAnsi="Calibri"/>
                <w:b/>
                <w:color w:val="FFFFFF"/>
                <w:sz w:val="19"/>
              </w:rPr>
              <w:t>Planned fix</w:t>
            </w:r>
          </w:p>
        </w:tc>
      </w:tr>
      <w:tr>
        <w:tc>
          <w:tcPr>
            <w:tcW w:type="dxa" w:w="1701"/>
          </w:tcPr>
          <w:p>
            <w:pPr>
              <w:spacing w:after="20" w:before="20"/>
            </w:pPr>
            <w:r>
              <w:rPr>
                <w:rFonts w:ascii="Calibri" w:hAnsi="Calibri"/>
                <w:b w:val="0"/>
                <w:sz w:val="19"/>
              </w:rPr>
              <w:t>Preview cache &amp; de-dup</w:t>
            </w:r>
          </w:p>
        </w:tc>
        <w:tc>
          <w:tcPr>
            <w:tcW w:type="dxa" w:w="2608"/>
          </w:tcPr>
          <w:p>
            <w:pPr>
              <w:spacing w:after="20" w:before="20"/>
            </w:pPr>
            <w:r>
              <w:rPr>
                <w:rFonts w:ascii="Calibri" w:hAnsi="Calibri"/>
                <w:b w:val="0"/>
                <w:sz w:val="19"/>
              </w:rPr>
              <w:t>In-process dict per worker</w:t>
            </w:r>
          </w:p>
        </w:tc>
        <w:tc>
          <w:tcPr>
            <w:tcW w:type="dxa" w:w="3231"/>
          </w:tcPr>
          <w:p>
            <w:pPr>
              <w:spacing w:after="20" w:before="20"/>
            </w:pPr>
            <w:r>
              <w:rPr>
                <w:rFonts w:ascii="Calibri" w:hAnsi="Calibri"/>
                <w:b w:val="0"/>
                <w:sz w:val="19"/>
              </w:rPr>
              <w:t>Not shared across instances -&gt; duplicate conversions, cache misses</w:t>
            </w:r>
          </w:p>
        </w:tc>
        <w:tc>
          <w:tcPr>
            <w:tcW w:type="dxa" w:w="1984"/>
          </w:tcPr>
          <w:p>
            <w:pPr>
              <w:spacing w:after="20" w:before="20"/>
            </w:pPr>
            <w:r>
              <w:rPr>
                <w:rFonts w:ascii="Calibri" w:hAnsi="Calibri"/>
                <w:b w:val="0"/>
                <w:sz w:val="19"/>
              </w:rPr>
              <w:t>Externalise to Redis or a Delta cache table</w:t>
            </w:r>
          </w:p>
        </w:tc>
      </w:tr>
      <w:tr>
        <w:tc>
          <w:tcPr>
            <w:tcW w:type="dxa" w:w="1701"/>
            <w:shd w:val="clear" w:color="auto" w:fill="EAF0F8"/>
          </w:tcPr>
          <w:p>
            <w:pPr>
              <w:spacing w:after="20" w:before="20"/>
            </w:pPr>
            <w:r>
              <w:rPr>
                <w:rFonts w:ascii="Calibri" w:hAnsi="Calibri"/>
                <w:b w:val="0"/>
                <w:sz w:val="19"/>
              </w:rPr>
              <w:t>Background generation</w:t>
            </w:r>
          </w:p>
        </w:tc>
        <w:tc>
          <w:tcPr>
            <w:tcW w:type="dxa" w:w="2608"/>
            <w:shd w:val="clear" w:color="auto" w:fill="EAF0F8"/>
          </w:tcPr>
          <w:p>
            <w:pPr>
              <w:spacing w:after="20" w:before="20"/>
            </w:pPr>
            <w:r>
              <w:rPr>
                <w:rFonts w:ascii="Calibri" w:hAnsi="Calibri"/>
                <w:b w:val="0"/>
                <w:sz w:val="19"/>
              </w:rPr>
              <w:t>daemon threading.Thread in the app process</w:t>
            </w:r>
          </w:p>
        </w:tc>
        <w:tc>
          <w:tcPr>
            <w:tcW w:type="dxa" w:w="3231"/>
            <w:shd w:val="clear" w:color="auto" w:fill="EAF0F8"/>
          </w:tcPr>
          <w:p>
            <w:pPr>
              <w:spacing w:after="20" w:before="20"/>
            </w:pPr>
            <w:r>
              <w:rPr>
                <w:rFonts w:ascii="Calibri" w:hAnsi="Calibri"/>
                <w:b w:val="0"/>
                <w:sz w:val="19"/>
              </w:rPr>
              <w:t>Work dies if the instance restarts; not visible to other instances</w:t>
            </w:r>
          </w:p>
        </w:tc>
        <w:tc>
          <w:tcPr>
            <w:tcW w:type="dxa" w:w="1984"/>
            <w:shd w:val="clear" w:color="auto" w:fill="EAF0F8"/>
          </w:tcPr>
          <w:p>
            <w:pPr>
              <w:spacing w:after="20" w:before="20"/>
            </w:pPr>
            <w:r>
              <w:rPr>
                <w:rFonts w:ascii="Calibri" w:hAnsi="Calibri"/>
                <w:b w:val="0"/>
                <w:sz w:val="19"/>
              </w:rPr>
              <w:t>Move to Databricks Jobs / Workflows</w:t>
            </w:r>
          </w:p>
        </w:tc>
      </w:tr>
      <w:tr>
        <w:tc>
          <w:tcPr>
            <w:tcW w:type="dxa" w:w="1701"/>
          </w:tcPr>
          <w:p>
            <w:pPr>
              <w:spacing w:after="20" w:before="20"/>
            </w:pPr>
            <w:r>
              <w:rPr>
                <w:rFonts w:ascii="Calibri" w:hAnsi="Calibri"/>
                <w:b w:val="0"/>
                <w:sz w:val="19"/>
              </w:rPr>
              <w:t>Operational database</w:t>
            </w:r>
          </w:p>
        </w:tc>
        <w:tc>
          <w:tcPr>
            <w:tcW w:type="dxa" w:w="2608"/>
          </w:tcPr>
          <w:p>
            <w:pPr>
              <w:spacing w:after="20" w:before="20"/>
            </w:pPr>
            <w:r>
              <w:rPr>
                <w:rFonts w:ascii="Calibri" w:hAnsi="Calibri"/>
                <w:b w:val="0"/>
                <w:sz w:val="19"/>
              </w:rPr>
              <w:t>Databricks SQL Warehouse (OLAP) via SQLAlchemy</w:t>
            </w:r>
          </w:p>
        </w:tc>
        <w:tc>
          <w:tcPr>
            <w:tcW w:type="dxa" w:w="3231"/>
          </w:tcPr>
          <w:p>
            <w:pPr>
              <w:spacing w:after="20" w:before="20"/>
            </w:pPr>
            <w:r>
              <w:rPr>
                <w:rFonts w:ascii="Calibri" w:hAnsi="Calibri"/>
                <w:b w:val="0"/>
                <w:sz w:val="19"/>
              </w:rPr>
              <w:t>High per-query latency + no secondary indexes for a polling OLTP workload</w:t>
            </w:r>
          </w:p>
        </w:tc>
        <w:tc>
          <w:tcPr>
            <w:tcW w:type="dxa" w:w="1984"/>
          </w:tcPr>
          <w:p>
            <w:pPr>
              <w:spacing w:after="20" w:before="20"/>
            </w:pPr>
            <w:r>
              <w:rPr>
                <w:rFonts w:ascii="Calibri" w:hAnsi="Calibri"/>
                <w:b w:val="0"/>
                <w:sz w:val="19"/>
              </w:rPr>
              <w:t>Migrate to Databricks Lakebase (managed Postgres OLTP)</w:t>
            </w:r>
          </w:p>
        </w:tc>
      </w:tr>
      <w:tr>
        <w:tc>
          <w:tcPr>
            <w:tcW w:type="dxa" w:w="1701"/>
            <w:shd w:val="clear" w:color="auto" w:fill="EAF0F8"/>
          </w:tcPr>
          <w:p>
            <w:pPr>
              <w:spacing w:after="20" w:before="20"/>
            </w:pPr>
            <w:r>
              <w:rPr>
                <w:rFonts w:ascii="Calibri" w:hAnsi="Calibri"/>
                <w:b w:val="0"/>
                <w:sz w:val="19"/>
              </w:rPr>
              <w:t>Rate limiting</w:t>
            </w:r>
          </w:p>
        </w:tc>
        <w:tc>
          <w:tcPr>
            <w:tcW w:type="dxa" w:w="2608"/>
            <w:shd w:val="clear" w:color="auto" w:fill="EAF0F8"/>
          </w:tcPr>
          <w:p>
            <w:pPr>
              <w:spacing w:after="20" w:before="20"/>
            </w:pPr>
            <w:r>
              <w:rPr>
                <w:rFonts w:ascii="Calibri" w:hAnsi="Calibri"/>
                <w:b w:val="0"/>
                <w:sz w:val="19"/>
              </w:rPr>
              <w:t>None at the app tier</w:t>
            </w:r>
          </w:p>
        </w:tc>
        <w:tc>
          <w:tcPr>
            <w:tcW w:type="dxa" w:w="3231"/>
            <w:shd w:val="clear" w:color="auto" w:fill="EAF0F8"/>
          </w:tcPr>
          <w:p>
            <w:pPr>
              <w:spacing w:after="20" w:before="20"/>
            </w:pPr>
            <w:r>
              <w:rPr>
                <w:rFonts w:ascii="Calibri" w:hAnsi="Calibri"/>
                <w:b w:val="0"/>
                <w:sz w:val="19"/>
              </w:rPr>
              <w:t>No throttling / fair-use protection</w:t>
            </w:r>
          </w:p>
        </w:tc>
        <w:tc>
          <w:tcPr>
            <w:tcW w:type="dxa" w:w="1984"/>
            <w:shd w:val="clear" w:color="auto" w:fill="EAF0F8"/>
          </w:tcPr>
          <w:p>
            <w:pPr>
              <w:spacing w:after="20" w:before="20"/>
            </w:pPr>
            <w:r>
              <w:rPr>
                <w:rFonts w:ascii="Calibri" w:hAnsi="Calibri"/>
                <w:b w:val="0"/>
                <w:sz w:val="19"/>
              </w:rPr>
              <w:t>Add per-user/IP limiter or API-gateway policy</w:t>
            </w:r>
          </w:p>
        </w:tc>
      </w:tr>
      <w:tr>
        <w:tc>
          <w:tcPr>
            <w:tcW w:type="dxa" w:w="1701"/>
          </w:tcPr>
          <w:p>
            <w:pPr>
              <w:spacing w:after="20" w:before="20"/>
            </w:pPr>
            <w:r>
              <w:rPr>
                <w:rFonts w:ascii="Calibri" w:hAnsi="Calibri"/>
                <w:b w:val="0"/>
                <w:sz w:val="19"/>
              </w:rPr>
              <w:t>Backend auth</w:t>
            </w:r>
          </w:p>
        </w:tc>
        <w:tc>
          <w:tcPr>
            <w:tcW w:type="dxa" w:w="2608"/>
          </w:tcPr>
          <w:p>
            <w:pPr>
              <w:spacing w:after="20" w:before="20"/>
            </w:pPr>
            <w:r>
              <w:rPr>
                <w:rFonts w:ascii="Calibri" w:hAnsi="Calibri"/>
                <w:b w:val="0"/>
                <w:sz w:val="19"/>
              </w:rPr>
              <w:t>Trusts X-User-Email header</w:t>
            </w:r>
          </w:p>
        </w:tc>
        <w:tc>
          <w:tcPr>
            <w:tcW w:type="dxa" w:w="3231"/>
          </w:tcPr>
          <w:p>
            <w:pPr>
              <w:spacing w:after="20" w:before="20"/>
            </w:pPr>
            <w:r>
              <w:rPr>
                <w:rFonts w:ascii="Calibri" w:hAnsi="Calibri"/>
                <w:b w:val="0"/>
                <w:sz w:val="19"/>
              </w:rPr>
              <w:t>Not enforced server-side</w:t>
            </w:r>
          </w:p>
        </w:tc>
        <w:tc>
          <w:tcPr>
            <w:tcW w:type="dxa" w:w="1984"/>
          </w:tcPr>
          <w:p>
            <w:pPr>
              <w:spacing w:after="20" w:before="20"/>
            </w:pPr>
            <w:r>
              <w:rPr>
                <w:rFonts w:ascii="Calibri" w:hAnsi="Calibri"/>
                <w:b w:val="0"/>
                <w:sz w:val="19"/>
              </w:rPr>
              <w:t>Validate Entra ID token server-side</w:t>
            </w:r>
          </w:p>
        </w:tc>
      </w:tr>
    </w:tbl>
    <w:p>
      <w:pPr>
        <w:spacing w:after="40"/>
      </w:pPr>
    </w:p>
    <w:p>
      <w:pPr>
        <w:spacing w:after="80" w:before="40"/>
      </w:pPr>
      <w:r>
        <w:rPr>
          <w:b w:val="0"/>
          <w:i/>
          <w:color w:val="595959"/>
          <w:sz w:val="21"/>
        </w:rPr>
        <w:t>None of these block the current single-app deployment; they are the work required to go from one well-utilised instance to a horizontally-scaled fleet, and each has a clear, low-risk fix.</w:t>
      </w:r>
    </w:p>
    <w:p>
      <w:pPr>
        <w:pStyle w:val="Heading2"/>
      </w:pPr>
      <w:r>
        <w:t>6.3 The database is the primary scaling lever</w:t>
      </w:r>
    </w:p>
    <w:p>
      <w:pPr>
        <w:pStyle w:val="ListBullet"/>
        <w:spacing w:after="40"/>
      </w:pPr>
      <w:r>
        <w:rPr>
          <w:sz w:val="21"/>
        </w:rPr>
        <w:t>The app polls job/section status frequently — many small, indexed reads/writes: a textbook OLTP pattern.</w:t>
      </w:r>
    </w:p>
    <w:p>
      <w:pPr>
        <w:pStyle w:val="ListBullet"/>
        <w:spacing w:after="40"/>
      </w:pPr>
      <w:r>
        <w:rPr>
          <w:sz w:val="21"/>
        </w:rPr>
        <w:t>SQL Warehouse is an analytics engine (high latency per statement, no secondary indexes) — functional but not the right tool for this access pattern.</w:t>
      </w:r>
    </w:p>
    <w:p>
      <w:pPr>
        <w:pStyle w:val="ListBullet"/>
        <w:spacing w:after="40"/>
      </w:pPr>
      <w:r>
        <w:rPr>
          <w:sz w:val="21"/>
        </w:rPr>
        <w:t>Databricks Lakebase (managed serverless Postgres, GA on Azure) is the correct fit and is a near drop-in for SQLAlchemy (standard Postgres driver). This is the single highest-leverage change for scale and latency.</w:t>
      </w:r>
    </w:p>
    <w:p>
      <w:pPr>
        <w:pStyle w:val="Heading1"/>
      </w:pPr>
      <w:r>
        <w:t>7. System-Design Best-Practice Scorecard</w:t>
      </w:r>
    </w:p>
    <w:tbl>
      <w:tblPr>
        <w:tblStyle w:val="TableGrid"/>
        <w:tblW w:type="auto" w:w="0"/>
        <w:tblLook w:firstColumn="1" w:firstRow="1" w:lastColumn="0" w:lastRow="0" w:noHBand="0" w:noVBand="1" w:val="04A0"/>
      </w:tblPr>
      <w:tblGrid>
        <w:gridCol w:w="3249"/>
        <w:gridCol w:w="3249"/>
        <w:gridCol w:w="3249"/>
      </w:tblGrid>
      <w:tr>
        <w:tc>
          <w:tcPr>
            <w:tcW w:type="dxa" w:w="3515"/>
            <w:shd w:val="clear" w:color="auto" w:fill="1F3763"/>
          </w:tcPr>
          <w:p>
            <w:pPr>
              <w:spacing w:after="20" w:before="20"/>
            </w:pPr>
            <w:r>
              <w:rPr>
                <w:rFonts w:ascii="Calibri" w:hAnsi="Calibri"/>
                <w:b/>
                <w:color w:val="FFFFFF"/>
                <w:sz w:val="19"/>
              </w:rPr>
              <w:t>Practice</w:t>
            </w:r>
          </w:p>
        </w:tc>
        <w:tc>
          <w:tcPr>
            <w:tcW w:type="dxa" w:w="1814"/>
            <w:shd w:val="clear" w:color="auto" w:fill="1F3763"/>
          </w:tcPr>
          <w:p>
            <w:pPr>
              <w:spacing w:after="20" w:before="20"/>
            </w:pPr>
            <w:r>
              <w:rPr>
                <w:rFonts w:ascii="Calibri" w:hAnsi="Calibri"/>
                <w:b/>
                <w:color w:val="FFFFFF"/>
                <w:sz w:val="19"/>
              </w:rPr>
              <w:t>Status</w:t>
            </w:r>
          </w:p>
        </w:tc>
        <w:tc>
          <w:tcPr>
            <w:tcW w:type="dxa" w:w="4195"/>
            <w:shd w:val="clear" w:color="auto" w:fill="1F3763"/>
          </w:tcPr>
          <w:p>
            <w:pPr>
              <w:spacing w:after="20" w:before="20"/>
            </w:pPr>
            <w:r>
              <w:rPr>
                <w:rFonts w:ascii="Calibri" w:hAnsi="Calibri"/>
                <w:b/>
                <w:color w:val="FFFFFF"/>
                <w:sz w:val="19"/>
              </w:rPr>
              <w:t>Evidence / note</w:t>
            </w:r>
          </w:p>
        </w:tc>
      </w:tr>
      <w:tr>
        <w:tc>
          <w:tcPr>
            <w:tcW w:type="dxa" w:w="3515"/>
          </w:tcPr>
          <w:p>
            <w:pPr>
              <w:spacing w:after="20" w:before="20"/>
            </w:pPr>
            <w:r>
              <w:rPr>
                <w:rFonts w:ascii="Calibri" w:hAnsi="Calibri"/>
                <w:b w:val="0"/>
                <w:sz w:val="19"/>
              </w:rPr>
              <w:t>Layered separation of concerns</w:t>
            </w:r>
          </w:p>
        </w:tc>
        <w:tc>
          <w:tcPr>
            <w:tcW w:type="dxa" w:w="1814"/>
          </w:tcPr>
          <w:p>
            <w:pPr>
              <w:spacing w:after="20" w:before="20"/>
            </w:pPr>
            <w:r>
              <w:rPr>
                <w:rFonts w:ascii="Calibri" w:hAnsi="Calibri"/>
                <w:b w:val="0"/>
                <w:sz w:val="19"/>
              </w:rPr>
              <w:t>Implemented</w:t>
            </w:r>
          </w:p>
        </w:tc>
        <w:tc>
          <w:tcPr>
            <w:tcW w:type="dxa" w:w="4195"/>
          </w:tcPr>
          <w:p>
            <w:pPr>
              <w:spacing w:after="20" w:before="20"/>
            </w:pPr>
            <w:r>
              <w:rPr>
                <w:rFonts w:ascii="Calibri" w:hAnsi="Calibri"/>
                <w:b w:val="0"/>
                <w:sz w:val="19"/>
              </w:rPr>
              <w:t>Routes -&gt; services -&gt; data; no logic in handlers</w:t>
            </w:r>
          </w:p>
        </w:tc>
      </w:tr>
      <w:tr>
        <w:tc>
          <w:tcPr>
            <w:tcW w:type="dxa" w:w="3515"/>
            <w:shd w:val="clear" w:color="auto" w:fill="EAF0F8"/>
          </w:tcPr>
          <w:p>
            <w:pPr>
              <w:spacing w:after="20" w:before="20"/>
            </w:pPr>
            <w:r>
              <w:rPr>
                <w:rFonts w:ascii="Calibri" w:hAnsi="Calibri"/>
                <w:b w:val="0"/>
                <w:sz w:val="19"/>
              </w:rPr>
              <w:t>DRY / single source of truth</w:t>
            </w:r>
          </w:p>
        </w:tc>
        <w:tc>
          <w:tcPr>
            <w:tcW w:type="dxa" w:w="1814"/>
            <w:shd w:val="clear" w:color="auto" w:fill="EAF0F8"/>
          </w:tcPr>
          <w:p>
            <w:pPr>
              <w:spacing w:after="20" w:before="20"/>
            </w:pPr>
            <w:r>
              <w:rPr>
                <w:rFonts w:ascii="Calibri" w:hAnsi="Calibri"/>
                <w:b w:val="0"/>
                <w:sz w:val="19"/>
              </w:rPr>
              <w:t>Implemented</w:t>
            </w:r>
          </w:p>
        </w:tc>
        <w:tc>
          <w:tcPr>
            <w:tcW w:type="dxa" w:w="4195"/>
            <w:shd w:val="clear" w:color="auto" w:fill="EAF0F8"/>
          </w:tcPr>
          <w:p>
            <w:pPr>
              <w:spacing w:after="20" w:before="20"/>
            </w:pPr>
            <w:r>
              <w:rPr>
                <w:rFonts w:ascii="Calibri" w:hAnsi="Calibri"/>
                <w:b w:val="0"/>
                <w:sz w:val="19"/>
              </w:rPr>
              <w:t>One service fn per op, shared by REST/chat/agent</w:t>
            </w:r>
          </w:p>
        </w:tc>
      </w:tr>
      <w:tr>
        <w:tc>
          <w:tcPr>
            <w:tcW w:type="dxa" w:w="3515"/>
          </w:tcPr>
          <w:p>
            <w:pPr>
              <w:spacing w:after="20" w:before="20"/>
            </w:pPr>
            <w:r>
              <w:rPr>
                <w:rFonts w:ascii="Calibri" w:hAnsi="Calibri"/>
                <w:b w:val="0"/>
                <w:sz w:val="19"/>
              </w:rPr>
              <w:t>Stateless app tier</w:t>
            </w:r>
          </w:p>
        </w:tc>
        <w:tc>
          <w:tcPr>
            <w:tcW w:type="dxa" w:w="1814"/>
          </w:tcPr>
          <w:p>
            <w:pPr>
              <w:spacing w:after="20" w:before="20"/>
            </w:pPr>
            <w:r>
              <w:rPr>
                <w:rFonts w:ascii="Calibri" w:hAnsi="Calibri"/>
                <w:b w:val="0"/>
                <w:sz w:val="19"/>
              </w:rPr>
              <w:t>Implemented</w:t>
            </w:r>
          </w:p>
        </w:tc>
        <w:tc>
          <w:tcPr>
            <w:tcW w:type="dxa" w:w="4195"/>
          </w:tcPr>
          <w:p>
            <w:pPr>
              <w:spacing w:after="20" w:before="20"/>
            </w:pPr>
            <w:r>
              <w:rPr>
                <w:rFonts w:ascii="Calibri" w:hAnsi="Calibri"/>
                <w:b w:val="0"/>
                <w:sz w:val="19"/>
              </w:rPr>
              <w:t>State in DB; horizontal-scale ready</w:t>
            </w:r>
          </w:p>
        </w:tc>
      </w:tr>
      <w:tr>
        <w:tc>
          <w:tcPr>
            <w:tcW w:type="dxa" w:w="3515"/>
            <w:shd w:val="clear" w:color="auto" w:fill="EAF0F8"/>
          </w:tcPr>
          <w:p>
            <w:pPr>
              <w:spacing w:after="20" w:before="20"/>
            </w:pPr>
            <w:r>
              <w:rPr>
                <w:rFonts w:ascii="Calibri" w:hAnsi="Calibri"/>
                <w:b w:val="0"/>
                <w:sz w:val="19"/>
              </w:rPr>
              <w:t>Async offload of heavy work</w:t>
            </w:r>
          </w:p>
        </w:tc>
        <w:tc>
          <w:tcPr>
            <w:tcW w:type="dxa" w:w="1814"/>
            <w:shd w:val="clear" w:color="auto" w:fill="EAF0F8"/>
          </w:tcPr>
          <w:p>
            <w:pPr>
              <w:spacing w:after="20" w:before="20"/>
            </w:pPr>
            <w:r>
              <w:rPr>
                <w:rFonts w:ascii="Calibri" w:hAnsi="Calibri"/>
                <w:b w:val="0"/>
                <w:sz w:val="19"/>
              </w:rPr>
              <w:t>Implemented</w:t>
            </w:r>
          </w:p>
        </w:tc>
        <w:tc>
          <w:tcPr>
            <w:tcW w:type="dxa" w:w="4195"/>
            <w:shd w:val="clear" w:color="auto" w:fill="EAF0F8"/>
          </w:tcPr>
          <w:p>
            <w:pPr>
              <w:spacing w:after="20" w:before="20"/>
            </w:pPr>
            <w:r>
              <w:rPr>
                <w:rFonts w:ascii="Calibri" w:hAnsi="Calibri"/>
                <w:b w:val="0"/>
                <w:sz w:val="19"/>
              </w:rPr>
              <w:t>Background generation + poll contract</w:t>
            </w:r>
          </w:p>
        </w:tc>
      </w:tr>
      <w:tr>
        <w:tc>
          <w:tcPr>
            <w:tcW w:type="dxa" w:w="3515"/>
          </w:tcPr>
          <w:p>
            <w:pPr>
              <w:spacing w:after="20" w:before="20"/>
            </w:pPr>
            <w:r>
              <w:rPr>
                <w:rFonts w:ascii="Calibri" w:hAnsi="Calibri"/>
                <w:b w:val="0"/>
                <w:sz w:val="19"/>
              </w:rPr>
              <w:t>Idempotent operations</w:t>
            </w:r>
          </w:p>
        </w:tc>
        <w:tc>
          <w:tcPr>
            <w:tcW w:type="dxa" w:w="1814"/>
          </w:tcPr>
          <w:p>
            <w:pPr>
              <w:spacing w:after="20" w:before="20"/>
            </w:pPr>
            <w:r>
              <w:rPr>
                <w:rFonts w:ascii="Calibri" w:hAnsi="Calibri"/>
                <w:b w:val="0"/>
                <w:sz w:val="19"/>
              </w:rPr>
              <w:t>Implemented</w:t>
            </w:r>
          </w:p>
        </w:tc>
        <w:tc>
          <w:tcPr>
            <w:tcW w:type="dxa" w:w="4195"/>
          </w:tcPr>
          <w:p>
            <w:pPr>
              <w:spacing w:after="20" w:before="20"/>
            </w:pPr>
            <w:r>
              <w:rPr>
                <w:rFonts w:ascii="Calibri" w:hAnsi="Calibri"/>
                <w:b w:val="0"/>
                <w:sz w:val="19"/>
              </w:rPr>
              <w:t>already_complete on re-generate</w:t>
            </w:r>
          </w:p>
        </w:tc>
      </w:tr>
      <w:tr>
        <w:tc>
          <w:tcPr>
            <w:tcW w:type="dxa" w:w="3515"/>
            <w:shd w:val="clear" w:color="auto" w:fill="EAF0F8"/>
          </w:tcPr>
          <w:p>
            <w:pPr>
              <w:spacing w:after="20" w:before="20"/>
            </w:pPr>
            <w:r>
              <w:rPr>
                <w:rFonts w:ascii="Calibri" w:hAnsi="Calibri"/>
                <w:b w:val="0"/>
                <w:sz w:val="19"/>
              </w:rPr>
              <w:t>Graceful degradation / fallbacks</w:t>
            </w:r>
          </w:p>
        </w:tc>
        <w:tc>
          <w:tcPr>
            <w:tcW w:type="dxa" w:w="1814"/>
            <w:shd w:val="clear" w:color="auto" w:fill="EAF0F8"/>
          </w:tcPr>
          <w:p>
            <w:pPr>
              <w:spacing w:after="20" w:before="20"/>
            </w:pPr>
            <w:r>
              <w:rPr>
                <w:rFonts w:ascii="Calibri" w:hAnsi="Calibri"/>
                <w:b w:val="0"/>
                <w:sz w:val="19"/>
              </w:rPr>
              <w:t>Implemented</w:t>
            </w:r>
          </w:p>
        </w:tc>
        <w:tc>
          <w:tcPr>
            <w:tcW w:type="dxa" w:w="4195"/>
            <w:shd w:val="clear" w:color="auto" w:fill="EAF0F8"/>
          </w:tcPr>
          <w:p>
            <w:pPr>
              <w:spacing w:after="20" w:before="20"/>
            </w:pPr>
            <w:r>
              <w:rPr>
                <w:rFonts w:ascii="Calibri" w:hAnsi="Calibri"/>
                <w:b w:val="0"/>
                <w:sz w:val="19"/>
              </w:rPr>
              <w:t>LLM, PDF, preview, retry chains</w:t>
            </w:r>
          </w:p>
        </w:tc>
      </w:tr>
      <w:tr>
        <w:tc>
          <w:tcPr>
            <w:tcW w:type="dxa" w:w="3515"/>
          </w:tcPr>
          <w:p>
            <w:pPr>
              <w:spacing w:after="20" w:before="20"/>
            </w:pPr>
            <w:r>
              <w:rPr>
                <w:rFonts w:ascii="Calibri" w:hAnsi="Calibri"/>
                <w:b w:val="0"/>
                <w:sz w:val="19"/>
              </w:rPr>
              <w:t>Consistent error contract</w:t>
            </w:r>
          </w:p>
        </w:tc>
        <w:tc>
          <w:tcPr>
            <w:tcW w:type="dxa" w:w="1814"/>
          </w:tcPr>
          <w:p>
            <w:pPr>
              <w:spacing w:after="20" w:before="20"/>
            </w:pPr>
            <w:r>
              <w:rPr>
                <w:rFonts w:ascii="Calibri" w:hAnsi="Calibri"/>
                <w:b w:val="0"/>
                <w:sz w:val="19"/>
              </w:rPr>
              <w:t>Implemented</w:t>
            </w:r>
          </w:p>
        </w:tc>
        <w:tc>
          <w:tcPr>
            <w:tcW w:type="dxa" w:w="4195"/>
          </w:tcPr>
          <w:p>
            <w:pPr>
              <w:spacing w:after="20" w:before="20"/>
            </w:pPr>
            <w:r>
              <w:rPr>
                <w:rFonts w:ascii="Calibri" w:hAnsi="Calibri"/>
                <w:b w:val="0"/>
                <w:sz w:val="19"/>
              </w:rPr>
              <w:t>Typed HTTP codes + JSON error shape</w:t>
            </w:r>
          </w:p>
        </w:tc>
      </w:tr>
      <w:tr>
        <w:tc>
          <w:tcPr>
            <w:tcW w:type="dxa" w:w="3515"/>
            <w:shd w:val="clear" w:color="auto" w:fill="EAF0F8"/>
          </w:tcPr>
          <w:p>
            <w:pPr>
              <w:spacing w:after="20" w:before="20"/>
            </w:pPr>
            <w:r>
              <w:rPr>
                <w:rFonts w:ascii="Calibri" w:hAnsi="Calibri"/>
                <w:b w:val="0"/>
                <w:sz w:val="19"/>
              </w:rPr>
              <w:t>Input validation &amp; security</w:t>
            </w:r>
          </w:p>
        </w:tc>
        <w:tc>
          <w:tcPr>
            <w:tcW w:type="dxa" w:w="1814"/>
            <w:shd w:val="clear" w:color="auto" w:fill="EAF0F8"/>
          </w:tcPr>
          <w:p>
            <w:pPr>
              <w:spacing w:after="20" w:before="20"/>
            </w:pPr>
            <w:r>
              <w:rPr>
                <w:rFonts w:ascii="Calibri" w:hAnsi="Calibri"/>
                <w:b w:val="0"/>
                <w:sz w:val="19"/>
              </w:rPr>
              <w:t>Implemented</w:t>
            </w:r>
          </w:p>
        </w:tc>
        <w:tc>
          <w:tcPr>
            <w:tcW w:type="dxa" w:w="4195"/>
            <w:shd w:val="clear" w:color="auto" w:fill="EAF0F8"/>
          </w:tcPr>
          <w:p>
            <w:pPr>
              <w:spacing w:after="20" w:before="20"/>
            </w:pPr>
            <w:r>
              <w:rPr>
                <w:rFonts w:ascii="Calibri" w:hAnsi="Calibri"/>
                <w:b w:val="0"/>
                <w:sz w:val="19"/>
              </w:rPr>
              <w:t>secure_filename, path canonicalisation, ORM (no SQLi), size caps, CORS</w:t>
            </w:r>
          </w:p>
        </w:tc>
      </w:tr>
      <w:tr>
        <w:tc>
          <w:tcPr>
            <w:tcW w:type="dxa" w:w="3515"/>
          </w:tcPr>
          <w:p>
            <w:pPr>
              <w:spacing w:after="20" w:before="20"/>
            </w:pPr>
            <w:r>
              <w:rPr>
                <w:rFonts w:ascii="Calibri" w:hAnsi="Calibri"/>
                <w:b w:val="0"/>
                <w:sz w:val="19"/>
              </w:rPr>
              <w:t>Versioning &amp; auditability</w:t>
            </w:r>
          </w:p>
        </w:tc>
        <w:tc>
          <w:tcPr>
            <w:tcW w:type="dxa" w:w="1814"/>
          </w:tcPr>
          <w:p>
            <w:pPr>
              <w:spacing w:after="20" w:before="20"/>
            </w:pPr>
            <w:r>
              <w:rPr>
                <w:rFonts w:ascii="Calibri" w:hAnsi="Calibri"/>
                <w:b w:val="0"/>
                <w:sz w:val="19"/>
              </w:rPr>
              <w:t>Implemented</w:t>
            </w:r>
          </w:p>
        </w:tc>
        <w:tc>
          <w:tcPr>
            <w:tcW w:type="dxa" w:w="4195"/>
          </w:tcPr>
          <w:p>
            <w:pPr>
              <w:spacing w:after="20" w:before="20"/>
            </w:pPr>
            <w:r>
              <w:rPr>
                <w:rFonts w:ascii="Calibri" w:hAnsi="Calibri"/>
                <w:b w:val="0"/>
                <w:sz w:val="19"/>
              </w:rPr>
              <w:t>Section versions + snapshots + review trail</w:t>
            </w:r>
          </w:p>
        </w:tc>
      </w:tr>
      <w:tr>
        <w:tc>
          <w:tcPr>
            <w:tcW w:type="dxa" w:w="3515"/>
            <w:shd w:val="clear" w:color="auto" w:fill="EAF0F8"/>
          </w:tcPr>
          <w:p>
            <w:pPr>
              <w:spacing w:after="20" w:before="20"/>
            </w:pPr>
            <w:r>
              <w:rPr>
                <w:rFonts w:ascii="Calibri" w:hAnsi="Calibri"/>
                <w:b w:val="0"/>
                <w:sz w:val="19"/>
              </w:rPr>
              <w:t>Swappable infra (DB/storage/LLM)</w:t>
            </w:r>
          </w:p>
        </w:tc>
        <w:tc>
          <w:tcPr>
            <w:tcW w:type="dxa" w:w="1814"/>
            <w:shd w:val="clear" w:color="auto" w:fill="EAF0F8"/>
          </w:tcPr>
          <w:p>
            <w:pPr>
              <w:spacing w:after="20" w:before="20"/>
            </w:pPr>
            <w:r>
              <w:rPr>
                <w:rFonts w:ascii="Calibri" w:hAnsi="Calibri"/>
                <w:b w:val="0"/>
                <w:sz w:val="19"/>
              </w:rPr>
              <w:t>Implemented</w:t>
            </w:r>
          </w:p>
        </w:tc>
        <w:tc>
          <w:tcPr>
            <w:tcW w:type="dxa" w:w="4195"/>
            <w:shd w:val="clear" w:color="auto" w:fill="EAF0F8"/>
          </w:tcPr>
          <w:p>
            <w:pPr>
              <w:spacing w:after="20" w:before="20"/>
            </w:pPr>
            <w:r>
              <w:rPr>
                <w:rFonts w:ascii="Calibri" w:hAnsi="Calibri"/>
                <w:b w:val="0"/>
                <w:sz w:val="19"/>
              </w:rPr>
              <w:t>Factory + env flags</w:t>
            </w:r>
          </w:p>
        </w:tc>
      </w:tr>
      <w:tr>
        <w:tc>
          <w:tcPr>
            <w:tcW w:type="dxa" w:w="3515"/>
          </w:tcPr>
          <w:p>
            <w:pPr>
              <w:spacing w:after="20" w:before="20"/>
            </w:pPr>
            <w:r>
              <w:rPr>
                <w:rFonts w:ascii="Calibri" w:hAnsi="Calibri"/>
                <w:b w:val="0"/>
                <w:sz w:val="19"/>
              </w:rPr>
              <w:t>Automated tests</w:t>
            </w:r>
          </w:p>
        </w:tc>
        <w:tc>
          <w:tcPr>
            <w:tcW w:type="dxa" w:w="1814"/>
          </w:tcPr>
          <w:p>
            <w:pPr>
              <w:spacing w:after="20" w:before="20"/>
            </w:pPr>
            <w:r>
              <w:rPr>
                <w:rFonts w:ascii="Calibri" w:hAnsi="Calibri"/>
                <w:b w:val="0"/>
                <w:sz w:val="19"/>
              </w:rPr>
              <w:t>Implemented (growing)</w:t>
            </w:r>
          </w:p>
        </w:tc>
        <w:tc>
          <w:tcPr>
            <w:tcW w:type="dxa" w:w="4195"/>
          </w:tcPr>
          <w:p>
            <w:pPr>
              <w:spacing w:after="20" w:before="20"/>
            </w:pPr>
            <w:r>
              <w:rPr>
                <w:rFonts w:ascii="Calibri" w:hAnsi="Calibri"/>
                <w:b w:val="0"/>
                <w:sz w:val="19"/>
              </w:rPr>
              <w:t>Flask test-client suites; 31/31 on review module</w:t>
            </w:r>
          </w:p>
        </w:tc>
      </w:tr>
      <w:tr>
        <w:tc>
          <w:tcPr>
            <w:tcW w:type="dxa" w:w="3515"/>
            <w:shd w:val="clear" w:color="auto" w:fill="EAF0F8"/>
          </w:tcPr>
          <w:p>
            <w:pPr>
              <w:spacing w:after="20" w:before="20"/>
            </w:pPr>
            <w:r>
              <w:rPr>
                <w:rFonts w:ascii="Calibri" w:hAnsi="Calibri"/>
                <w:b w:val="0"/>
                <w:sz w:val="19"/>
              </w:rPr>
              <w:t>Pagination on lists</w:t>
            </w:r>
          </w:p>
        </w:tc>
        <w:tc>
          <w:tcPr>
            <w:tcW w:type="dxa" w:w="1814"/>
            <w:shd w:val="clear" w:color="auto" w:fill="EAF0F8"/>
          </w:tcPr>
          <w:p>
            <w:pPr>
              <w:spacing w:after="20" w:before="20"/>
            </w:pPr>
            <w:r>
              <w:rPr>
                <w:rFonts w:ascii="Calibri" w:hAnsi="Calibri"/>
                <w:b w:val="0"/>
                <w:sz w:val="19"/>
              </w:rPr>
              <w:t>Partial</w:t>
            </w:r>
          </w:p>
        </w:tc>
        <w:tc>
          <w:tcPr>
            <w:tcW w:type="dxa" w:w="4195"/>
            <w:shd w:val="clear" w:color="auto" w:fill="EAF0F8"/>
          </w:tcPr>
          <w:p>
            <w:pPr>
              <w:spacing w:after="20" w:before="20"/>
            </w:pPr>
            <w:r>
              <w:rPr>
                <w:rFonts w:ascii="Calibri" w:hAnsi="Calibri"/>
                <w:b w:val="0"/>
                <w:sz w:val="19"/>
              </w:rPr>
              <w:t>Projects paginated; some review lists not yet</w:t>
            </w:r>
          </w:p>
        </w:tc>
      </w:tr>
      <w:tr>
        <w:tc>
          <w:tcPr>
            <w:tcW w:type="dxa" w:w="3515"/>
          </w:tcPr>
          <w:p>
            <w:pPr>
              <w:spacing w:after="20" w:before="20"/>
            </w:pPr>
            <w:r>
              <w:rPr>
                <w:rFonts w:ascii="Calibri" w:hAnsi="Calibri"/>
                <w:b w:val="0"/>
                <w:sz w:val="19"/>
              </w:rPr>
              <w:t>Streaming updates (SSE)</w:t>
            </w:r>
          </w:p>
        </w:tc>
        <w:tc>
          <w:tcPr>
            <w:tcW w:type="dxa" w:w="1814"/>
          </w:tcPr>
          <w:p>
            <w:pPr>
              <w:spacing w:after="20" w:before="20"/>
            </w:pPr>
            <w:r>
              <w:rPr>
                <w:rFonts w:ascii="Calibri" w:hAnsi="Calibri"/>
                <w:b w:val="0"/>
                <w:sz w:val="19"/>
              </w:rPr>
              <w:t>Partial</w:t>
            </w:r>
          </w:p>
        </w:tc>
        <w:tc>
          <w:tcPr>
            <w:tcW w:type="dxa" w:w="4195"/>
          </w:tcPr>
          <w:p>
            <w:pPr>
              <w:spacing w:after="20" w:before="20"/>
            </w:pPr>
            <w:r>
              <w:rPr>
                <w:rFonts w:ascii="Calibri" w:hAnsi="Calibri"/>
                <w:b w:val="0"/>
                <w:sz w:val="19"/>
              </w:rPr>
              <w:t>/generate/{id}/stream exists; polling is primary</w:t>
            </w:r>
          </w:p>
        </w:tc>
      </w:tr>
      <w:tr>
        <w:tc>
          <w:tcPr>
            <w:tcW w:type="dxa" w:w="3515"/>
            <w:shd w:val="clear" w:color="auto" w:fill="EAF0F8"/>
          </w:tcPr>
          <w:p>
            <w:pPr>
              <w:spacing w:after="20" w:before="20"/>
            </w:pPr>
            <w:r>
              <w:rPr>
                <w:rFonts w:ascii="Calibri" w:hAnsi="Calibri"/>
                <w:b w:val="0"/>
                <w:sz w:val="19"/>
              </w:rPr>
              <w:t>Shared cache / distributed state</w:t>
            </w:r>
          </w:p>
        </w:tc>
        <w:tc>
          <w:tcPr>
            <w:tcW w:type="dxa" w:w="1814"/>
            <w:shd w:val="clear" w:color="auto" w:fill="EAF0F8"/>
          </w:tcPr>
          <w:p>
            <w:pPr>
              <w:spacing w:after="20" w:before="20"/>
            </w:pPr>
            <w:r>
              <w:rPr>
                <w:rFonts w:ascii="Calibri" w:hAnsi="Calibri"/>
                <w:b w:val="0"/>
                <w:sz w:val="19"/>
              </w:rPr>
              <w:t>Roadmap</w:t>
            </w:r>
          </w:p>
        </w:tc>
        <w:tc>
          <w:tcPr>
            <w:tcW w:type="dxa" w:w="4195"/>
            <w:shd w:val="clear" w:color="auto" w:fill="EAF0F8"/>
          </w:tcPr>
          <w:p>
            <w:pPr>
              <w:spacing w:after="20" w:before="20"/>
            </w:pPr>
            <w:r>
              <w:rPr>
                <w:rFonts w:ascii="Calibri" w:hAnsi="Calibri"/>
                <w:b w:val="0"/>
                <w:sz w:val="19"/>
              </w:rPr>
              <w:t>In-process today -&gt; Redis/Delta</w:t>
            </w:r>
          </w:p>
        </w:tc>
      </w:tr>
      <w:tr>
        <w:tc>
          <w:tcPr>
            <w:tcW w:type="dxa" w:w="3515"/>
          </w:tcPr>
          <w:p>
            <w:pPr>
              <w:spacing w:after="20" w:before="20"/>
            </w:pPr>
            <w:r>
              <w:rPr>
                <w:rFonts w:ascii="Calibri" w:hAnsi="Calibri"/>
                <w:b w:val="0"/>
                <w:sz w:val="19"/>
              </w:rPr>
              <w:t>Durable async jobs</w:t>
            </w:r>
          </w:p>
        </w:tc>
        <w:tc>
          <w:tcPr>
            <w:tcW w:type="dxa" w:w="1814"/>
          </w:tcPr>
          <w:p>
            <w:pPr>
              <w:spacing w:after="20" w:before="20"/>
            </w:pPr>
            <w:r>
              <w:rPr>
                <w:rFonts w:ascii="Calibri" w:hAnsi="Calibri"/>
                <w:b w:val="0"/>
                <w:sz w:val="19"/>
              </w:rPr>
              <w:t>Roadmap</w:t>
            </w:r>
          </w:p>
        </w:tc>
        <w:tc>
          <w:tcPr>
            <w:tcW w:type="dxa" w:w="4195"/>
          </w:tcPr>
          <w:p>
            <w:pPr>
              <w:spacing w:after="20" w:before="20"/>
            </w:pPr>
            <w:r>
              <w:rPr>
                <w:rFonts w:ascii="Calibri" w:hAnsi="Calibri"/>
                <w:b w:val="0"/>
                <w:sz w:val="19"/>
              </w:rPr>
              <w:t>Threads -&gt; Databricks Jobs</w:t>
            </w:r>
          </w:p>
        </w:tc>
      </w:tr>
      <w:tr>
        <w:tc>
          <w:tcPr>
            <w:tcW w:type="dxa" w:w="3515"/>
            <w:shd w:val="clear" w:color="auto" w:fill="EAF0F8"/>
          </w:tcPr>
          <w:p>
            <w:pPr>
              <w:spacing w:after="20" w:before="20"/>
            </w:pPr>
            <w:r>
              <w:rPr>
                <w:rFonts w:ascii="Calibri" w:hAnsi="Calibri"/>
                <w:b w:val="0"/>
                <w:sz w:val="19"/>
              </w:rPr>
              <w:t>Rate limiting / quotas</w:t>
            </w:r>
          </w:p>
        </w:tc>
        <w:tc>
          <w:tcPr>
            <w:tcW w:type="dxa" w:w="1814"/>
            <w:shd w:val="clear" w:color="auto" w:fill="EAF0F8"/>
          </w:tcPr>
          <w:p>
            <w:pPr>
              <w:spacing w:after="20" w:before="20"/>
            </w:pPr>
            <w:r>
              <w:rPr>
                <w:rFonts w:ascii="Calibri" w:hAnsi="Calibri"/>
                <w:b w:val="0"/>
                <w:sz w:val="19"/>
              </w:rPr>
              <w:t>Roadmap</w:t>
            </w:r>
          </w:p>
        </w:tc>
        <w:tc>
          <w:tcPr>
            <w:tcW w:type="dxa" w:w="4195"/>
            <w:shd w:val="clear" w:color="auto" w:fill="EAF0F8"/>
          </w:tcPr>
          <w:p>
            <w:pPr>
              <w:spacing w:after="20" w:before="20"/>
            </w:pPr>
            <w:r>
              <w:rPr>
                <w:rFonts w:ascii="Calibri" w:hAnsi="Calibri"/>
                <w:b w:val="0"/>
                <w:sz w:val="19"/>
              </w:rPr>
              <w:t>Not yet</w:t>
            </w:r>
          </w:p>
        </w:tc>
      </w:tr>
      <w:tr>
        <w:tc>
          <w:tcPr>
            <w:tcW w:type="dxa" w:w="3515"/>
          </w:tcPr>
          <w:p>
            <w:pPr>
              <w:spacing w:after="20" w:before="20"/>
            </w:pPr>
            <w:r>
              <w:rPr>
                <w:rFonts w:ascii="Calibri" w:hAnsi="Calibri"/>
                <w:b w:val="0"/>
                <w:sz w:val="19"/>
              </w:rPr>
              <w:t>Server-side auth (token)</w:t>
            </w:r>
          </w:p>
        </w:tc>
        <w:tc>
          <w:tcPr>
            <w:tcW w:type="dxa" w:w="1814"/>
          </w:tcPr>
          <w:p>
            <w:pPr>
              <w:spacing w:after="20" w:before="20"/>
            </w:pPr>
            <w:r>
              <w:rPr>
                <w:rFonts w:ascii="Calibri" w:hAnsi="Calibri"/>
                <w:b w:val="0"/>
                <w:sz w:val="19"/>
              </w:rPr>
              <w:t>Roadmap</w:t>
            </w:r>
          </w:p>
        </w:tc>
        <w:tc>
          <w:tcPr>
            <w:tcW w:type="dxa" w:w="4195"/>
          </w:tcPr>
          <w:p>
            <w:pPr>
              <w:spacing w:after="20" w:before="20"/>
            </w:pPr>
            <w:r>
              <w:rPr>
                <w:rFonts w:ascii="Calibri" w:hAnsi="Calibri"/>
                <w:b w:val="0"/>
                <w:sz w:val="19"/>
              </w:rPr>
              <w:t>Header-trust today</w:t>
            </w:r>
          </w:p>
        </w:tc>
      </w:tr>
      <w:tr>
        <w:tc>
          <w:tcPr>
            <w:tcW w:type="dxa" w:w="3515"/>
            <w:shd w:val="clear" w:color="auto" w:fill="EAF0F8"/>
          </w:tcPr>
          <w:p>
            <w:pPr>
              <w:spacing w:after="20" w:before="20"/>
            </w:pPr>
            <w:r>
              <w:rPr>
                <w:rFonts w:ascii="Calibri" w:hAnsi="Calibri"/>
                <w:b w:val="0"/>
                <w:sz w:val="19"/>
              </w:rPr>
              <w:t>Metrics / tracing / APM</w:t>
            </w:r>
          </w:p>
        </w:tc>
        <w:tc>
          <w:tcPr>
            <w:tcW w:type="dxa" w:w="1814"/>
            <w:shd w:val="clear" w:color="auto" w:fill="EAF0F8"/>
          </w:tcPr>
          <w:p>
            <w:pPr>
              <w:spacing w:after="20" w:before="20"/>
            </w:pPr>
            <w:r>
              <w:rPr>
                <w:rFonts w:ascii="Calibri" w:hAnsi="Calibri"/>
                <w:b w:val="0"/>
                <w:sz w:val="19"/>
              </w:rPr>
              <w:t>Roadmap</w:t>
            </w:r>
          </w:p>
        </w:tc>
        <w:tc>
          <w:tcPr>
            <w:tcW w:type="dxa" w:w="4195"/>
            <w:shd w:val="clear" w:color="auto" w:fill="EAF0F8"/>
          </w:tcPr>
          <w:p>
            <w:pPr>
              <w:spacing w:after="20" w:before="20"/>
            </w:pPr>
            <w:r>
              <w:rPr>
                <w:rFonts w:ascii="Calibri" w:hAnsi="Calibri"/>
                <w:b w:val="0"/>
                <w:sz w:val="19"/>
              </w:rPr>
              <w:t>Structured logs today</w:t>
            </w:r>
          </w:p>
        </w:tc>
      </w:tr>
    </w:tbl>
    <w:p>
      <w:pPr>
        <w:spacing w:after="40"/>
      </w:pPr>
    </w:p>
    <w:p>
      <w:pPr>
        <w:pStyle w:val="Heading1"/>
      </w:pPr>
      <w:r>
        <w:t>8. Security Posture</w:t>
      </w:r>
    </w:p>
    <w:p>
      <w:pPr>
        <w:pStyle w:val="ListBullet"/>
        <w:spacing w:after="40"/>
      </w:pPr>
      <w:r>
        <w:rPr>
          <w:b/>
          <w:sz w:val="21"/>
        </w:rPr>
        <w:t xml:space="preserve">Injection: </w:t>
      </w:r>
      <w:r>
        <w:rPr>
          <w:sz w:val="21"/>
        </w:rPr>
        <w:t>All DB access is through SQLAlchemy ORM with bound parameters — no string-built SQL. Search inputs are length-capped.</w:t>
      </w:r>
    </w:p>
    <w:p>
      <w:pPr>
        <w:pStyle w:val="ListBullet"/>
        <w:spacing w:after="40"/>
      </w:pPr>
      <w:r>
        <w:rPr>
          <w:b/>
          <w:sz w:val="21"/>
        </w:rPr>
        <w:t xml:space="preserve">File handling: </w:t>
      </w:r>
      <w:r>
        <w:rPr>
          <w:sz w:val="21"/>
        </w:rPr>
        <w:t>Uploads pass through werkzeug secure_filename; parser paths are canonicalised (resolve + is_file) — path-traversal hardened; 50 MB cap; extension allow-list.</w:t>
      </w:r>
    </w:p>
    <w:p>
      <w:pPr>
        <w:pStyle w:val="ListBullet"/>
        <w:spacing w:after="40"/>
      </w:pPr>
      <w:r>
        <w:rPr>
          <w:b/>
          <w:sz w:val="21"/>
        </w:rPr>
        <w:t xml:space="preserve">Secrets: </w:t>
      </w:r>
      <w:r>
        <w:rPr>
          <w:sz w:val="21"/>
        </w:rPr>
        <w:t>No secrets in code; injected via Databricks secrets / env; .env and key.json are git-ignored; dependency CVEs remediated (litellm, aiohttp, PyJWT, starlette, joserfc, python-dotenv bumps).</w:t>
      </w:r>
    </w:p>
    <w:p>
      <w:pPr>
        <w:pStyle w:val="ListBullet"/>
        <w:spacing w:after="40"/>
      </w:pPr>
      <w:r>
        <w:rPr>
          <w:b/>
          <w:sz w:val="21"/>
        </w:rPr>
        <w:t xml:space="preserve">Transport &amp; CORS: </w:t>
      </w:r>
      <w:r>
        <w:rPr>
          <w:sz w:val="21"/>
        </w:rPr>
        <w:t>HTTPS at the Databricks App edge; explicit CORS headers.</w:t>
      </w:r>
    </w:p>
    <w:p>
      <w:pPr>
        <w:pStyle w:val="ListBullet"/>
        <w:spacing w:after="40"/>
      </w:pPr>
      <w:r>
        <w:rPr>
          <w:b/>
          <w:sz w:val="21"/>
        </w:rPr>
        <w:t xml:space="preserve">Gap (tracked): </w:t>
      </w:r>
      <w:r>
        <w:rPr>
          <w:sz w:val="21"/>
        </w:rPr>
        <w:t>Backend currently trusts identity headers; server-side Entra ID token validation is the next hardening step.</w:t>
      </w:r>
    </w:p>
    <w:p>
      <w:pPr>
        <w:pStyle w:val="Heading1"/>
      </w:pPr>
      <w:r>
        <w:t>9. Reliability, Data Integrity &amp; Testing</w:t>
      </w:r>
    </w:p>
    <w:p>
      <w:pPr>
        <w:pStyle w:val="ListBullet"/>
        <w:spacing w:after="40"/>
      </w:pPr>
      <w:r>
        <w:rPr>
          <w:b/>
          <w:sz w:val="21"/>
        </w:rPr>
        <w:t xml:space="preserve">Transactions: </w:t>
      </w:r>
      <w:r>
        <w:rPr>
          <w:sz w:val="21"/>
        </w:rPr>
        <w:t>Every unit of work uses a context-managed session that commits explicitly and rolls back on any exception — no partial writes, no leaked locks.</w:t>
      </w:r>
    </w:p>
    <w:p>
      <w:pPr>
        <w:pStyle w:val="ListBullet"/>
        <w:spacing w:after="40"/>
      </w:pPr>
      <w:r>
        <w:rPr>
          <w:b/>
          <w:sz w:val="21"/>
        </w:rPr>
        <w:t xml:space="preserve">Failure isolation: </w:t>
      </w:r>
      <w:r>
        <w:rPr>
          <w:sz w:val="21"/>
        </w:rPr>
        <w:t>Per-section try/except with a retry pass; a failed section is recorded and the rest of the document still completes.</w:t>
      </w:r>
    </w:p>
    <w:p>
      <w:pPr>
        <w:pStyle w:val="ListBullet"/>
        <w:spacing w:after="40"/>
      </w:pPr>
      <w:r>
        <w:rPr>
          <w:b/>
          <w:sz w:val="21"/>
        </w:rPr>
        <w:t xml:space="preserve">Race handling: </w:t>
      </w:r>
      <w:r>
        <w:rPr>
          <w:sz w:val="21"/>
        </w:rPr>
        <w:t>In-flight de-duplication for previews; idempotent generation; per-reviewer status rolls up deterministically.</w:t>
      </w:r>
    </w:p>
    <w:p>
      <w:pPr>
        <w:pStyle w:val="ListBullet"/>
        <w:spacing w:after="40"/>
      </w:pPr>
      <w:r>
        <w:rPr>
          <w:b/>
          <w:sz w:val="21"/>
        </w:rPr>
        <w:t xml:space="preserve">Versioning: </w:t>
      </w:r>
      <w:r>
        <w:rPr>
          <w:sz w:val="21"/>
        </w:rPr>
        <w:t>Every section edit/regeneration creates a new immutable version; snapshots checkpoint whole-document states for rollback.</w:t>
      </w:r>
    </w:p>
    <w:p>
      <w:pPr>
        <w:pStyle w:val="ListBullet"/>
        <w:spacing w:after="40"/>
      </w:pPr>
      <w:r>
        <w:rPr>
          <w:b/>
          <w:sz w:val="21"/>
        </w:rPr>
        <w:t xml:space="preserve">Testing: </w:t>
      </w:r>
      <w:r>
        <w:rPr>
          <w:sz w:val="21"/>
        </w:rPr>
        <w:t>Behaviour is verified through the Flask test client against a fresh isolated DB with the LLM mocked, so the full request-to-DB path is exercised deterministically — the review module ships with 31 passing end-to-end checks (share, threaded comments, AI review, summaries, verdict roll-up, apply-to-section).</w:t>
      </w:r>
    </w:p>
    <w:p>
      <w:pPr>
        <w:pStyle w:val="Heading1"/>
      </w:pPr>
      <w:r>
        <w:t>10. Anticipated Questions (be ready for these)</w:t>
      </w:r>
    </w:p>
    <w:p>
      <w:pPr>
        <w:spacing w:after="20" w:before="80"/>
      </w:pPr>
      <w:r>
        <w:rPr>
          <w:b/>
          <w:color w:val="1F3763"/>
          <w:sz w:val="21"/>
        </w:rPr>
        <w:t>Q. Why Flask + sync Gunicorn workers rather than an async framework?</w:t>
      </w:r>
    </w:p>
    <w:p>
      <w:pPr>
        <w:spacing w:after="80"/>
        <w:ind w:left="283"/>
      </w:pPr>
      <w:r>
        <w:rPr>
          <w:sz w:val="21"/>
        </w:rPr>
        <w:t>A. The workload is I/O-bound but dominated by long LLM calls that we already offload to background workers, so async request handling buys little for the hot path. Flask keeps the code simple and the app tier stateless; concurrency comes from multiple workers/instances. FastAPI/async is a viable future move but not a bottleneck today.</w:t>
      </w:r>
    </w:p>
    <w:p>
      <w:pPr>
        <w:spacing w:after="20" w:before="80"/>
      </w:pPr>
      <w:r>
        <w:rPr>
          <w:b/>
          <w:color w:val="1F3763"/>
          <w:sz w:val="21"/>
        </w:rPr>
        <w:t>Q. Is it thread-safe? You run background threads and (in dev) SQLite.</w:t>
      </w:r>
    </w:p>
    <w:p>
      <w:pPr>
        <w:spacing w:after="80"/>
        <w:ind w:left="283"/>
      </w:pPr>
      <w:r>
        <w:rPr>
          <w:sz w:val="21"/>
        </w:rPr>
        <w:t>A. Yes. Each background thread uses its own DB session; SQLite runs in WAL mode with check_same_thread disabled and a static pool for the dev case. In production every session is short-lived, context-managed, and pool-pre-pinged. No shared mutable state is written without the session/transaction boundary.</w:t>
      </w:r>
    </w:p>
    <w:p>
      <w:pPr>
        <w:spacing w:after="20" w:before="80"/>
      </w:pPr>
      <w:r>
        <w:rPr>
          <w:b/>
          <w:color w:val="1F3763"/>
          <w:sz w:val="21"/>
        </w:rPr>
        <w:t>Q. How does it scale to N instances?</w:t>
      </w:r>
    </w:p>
    <w:p>
      <w:pPr>
        <w:spacing w:after="80"/>
        <w:ind w:left="283"/>
      </w:pPr>
      <w:r>
        <w:rPr>
          <w:sz w:val="21"/>
        </w:rPr>
        <w:t>A. The request tier is stateless, so N instances scale reads/writes/CRUD immediately. The one caveat is per-instance in-process state (preview cache, in-flight de-dup, background threads). Externalising cache to Redis/Delta and moving jobs to Databricks Jobs makes it fully horizontal — that is the roadmap and each piece is isolated.</w:t>
      </w:r>
    </w:p>
    <w:p>
      <w:pPr>
        <w:spacing w:after="20" w:before="80"/>
      </w:pPr>
      <w:r>
        <w:rPr>
          <w:b/>
          <w:color w:val="1F3763"/>
          <w:sz w:val="21"/>
        </w:rPr>
        <w:t>Q. What is the real bottleneck under load?</w:t>
      </w:r>
    </w:p>
    <w:p>
      <w:pPr>
        <w:spacing w:after="80"/>
        <w:ind w:left="283"/>
      </w:pPr>
      <w:r>
        <w:rPr>
          <w:sz w:val="21"/>
        </w:rPr>
        <w:t>A. The operational database. We currently run on the SQL Warehouse (OLAP) which has high per-statement latency for our small, frequent OLTP queries. Migrating to Lakebase (managed Postgres) is the single highest-leverage change; the app code is a near drop-in via the standard Postgres driver.</w:t>
      </w:r>
    </w:p>
    <w:p>
      <w:pPr>
        <w:spacing w:after="20" w:before="80"/>
      </w:pPr>
      <w:r>
        <w:rPr>
          <w:b/>
          <w:color w:val="1F3763"/>
          <w:sz w:val="21"/>
        </w:rPr>
        <w:t>Q. What happens when the LLM is slow, rate-limited, or down?</w:t>
      </w:r>
    </w:p>
    <w:p>
      <w:pPr>
        <w:spacing w:after="80"/>
        <w:ind w:left="283"/>
      </w:pPr>
      <w:r>
        <w:rPr>
          <w:sz w:val="21"/>
        </w:rPr>
        <w:t>A. A provider fallback chain (Gemini -&gt; Azure GPT) absorbs provider outages; per-call timeouts bound latency; a per-section retry pass recovers transient failures; if a section still fails it is marked failed and the rest of the document is delivered. The job status reflects this honestly.</w:t>
      </w:r>
    </w:p>
    <w:p>
      <w:pPr>
        <w:spacing w:after="20" w:before="80"/>
      </w:pPr>
      <w:r>
        <w:rPr>
          <w:b/>
          <w:color w:val="1F3763"/>
          <w:sz w:val="21"/>
        </w:rPr>
        <w:t>Q. How do you prevent duplicate or runaway work?</w:t>
      </w:r>
    </w:p>
    <w:p>
      <w:pPr>
        <w:spacing w:after="80"/>
        <w:ind w:left="283"/>
      </w:pPr>
      <w:r>
        <w:rPr>
          <w:sz w:val="21"/>
        </w:rPr>
        <w:t>A. Generation is idempotent (completed jobs short-circuit). Preview conversions de-duplicate concurrent requests. Uploads, page sizes, and request timeouts are capped. There is no per-user rate limiter yet — that is on the roadmap.</w:t>
      </w:r>
    </w:p>
    <w:p>
      <w:pPr>
        <w:spacing w:after="20" w:before="80"/>
      </w:pPr>
      <w:r>
        <w:rPr>
          <w:b/>
          <w:color w:val="1F3763"/>
          <w:sz w:val="21"/>
        </w:rPr>
        <w:t>Q. How is it tested and how do you guard against regressions?</w:t>
      </w:r>
    </w:p>
    <w:p>
      <w:pPr>
        <w:spacing w:after="80"/>
        <w:ind w:left="283"/>
      </w:pPr>
      <w:r>
        <w:rPr>
          <w:sz w:val="21"/>
        </w:rPr>
        <w:t>A. Service logic is exercised through the Flask test client against an isolated DB with the LLM mocked, covering the full HTTP-to-DB path including permission checks (e.g., non-author edit returns 403) and status roll-ups. New modules ship with their suites (review: 31/31).</w:t>
      </w:r>
    </w:p>
    <w:p>
      <w:pPr>
        <w:spacing w:after="20" w:before="80"/>
      </w:pPr>
      <w:r>
        <w:rPr>
          <w:b/>
          <w:color w:val="1F3763"/>
          <w:sz w:val="21"/>
        </w:rPr>
        <w:t>Q. Security — SQL injection, file uploads, secrets, auth?</w:t>
      </w:r>
    </w:p>
    <w:p>
      <w:pPr>
        <w:spacing w:after="80"/>
        <w:ind w:left="283"/>
      </w:pPr>
      <w:r>
        <w:rPr>
          <w:sz w:val="21"/>
        </w:rPr>
        <w:t>A. ORM-bound queries (no SQLi), secure_filename + path canonicalisation + size/type limits on uploads, secrets only via env/Databricks secrets, dependency CVEs patched. Known gap: backend trusts the identity header; server-side token validation is the next step.</w:t>
      </w:r>
    </w:p>
    <w:p>
      <w:pPr>
        <w:spacing w:after="20" w:before="80"/>
      </w:pPr>
      <w:r>
        <w:rPr>
          <w:b/>
          <w:color w:val="1F3763"/>
          <w:sz w:val="21"/>
        </w:rPr>
        <w:t>Q. Why polling instead of websockets/push?</w:t>
      </w:r>
    </w:p>
    <w:p>
      <w:pPr>
        <w:spacing w:after="80"/>
        <w:ind w:left="283"/>
      </w:pPr>
      <w:r>
        <w:rPr>
          <w:sz w:val="21"/>
        </w:rPr>
        <w:t>A. Polling with an explicit poll_url + retry hint is simple, firewall-friendly, and stateless — a good fit for the Databricks App edge. An SSE stream endpoint already exists for live section updates; websockets can be added if the UX needs true push.</w:t>
      </w:r>
    </w:p>
    <w:p>
      <w:pPr>
        <w:spacing w:after="20" w:before="80"/>
      </w:pPr>
      <w:r>
        <w:rPr>
          <w:b/>
          <w:color w:val="1F3763"/>
          <w:sz w:val="21"/>
        </w:rPr>
        <w:t>Q. How do you keep the API contract stable for the React team?</w:t>
      </w:r>
    </w:p>
    <w:p>
      <w:pPr>
        <w:spacing w:after="80"/>
        <w:ind w:left="283"/>
      </w:pPr>
      <w:r>
        <w:rPr>
          <w:sz w:val="21"/>
        </w:rPr>
        <w:t>A. Consistent JSON shapes, typed status codes, and a maintained Postman collection (~76 requests) that documents every endpoint, including the async poll contract and identity headers. Services are the single source of truth, so REST/chat/agent never diverge.</w:t>
      </w:r>
    </w:p>
    <w:p>
      <w:pPr>
        <w:pStyle w:val="Heading1"/>
      </w:pPr>
      <w:r>
        <w:t>11. Scaling Roadmap (phased)</w:t>
      </w:r>
    </w:p>
    <w:tbl>
      <w:tblPr>
        <w:tblStyle w:val="TableGrid"/>
        <w:tblW w:type="auto" w:w="0"/>
        <w:tblLook w:firstColumn="1" w:firstRow="1" w:lastColumn="0" w:lastRow="0" w:noHBand="0" w:noVBand="1" w:val="04A0"/>
      </w:tblPr>
      <w:tblGrid>
        <w:gridCol w:w="3249"/>
        <w:gridCol w:w="3249"/>
        <w:gridCol w:w="3249"/>
      </w:tblGrid>
      <w:tr>
        <w:tc>
          <w:tcPr>
            <w:tcW w:type="dxa" w:w="1474"/>
            <w:shd w:val="clear" w:color="auto" w:fill="1F3763"/>
          </w:tcPr>
          <w:p>
            <w:pPr>
              <w:spacing w:after="20" w:before="20"/>
            </w:pPr>
            <w:r>
              <w:rPr>
                <w:rFonts w:ascii="Calibri" w:hAnsi="Calibri"/>
                <w:b/>
                <w:color w:val="FFFFFF"/>
                <w:sz w:val="19"/>
              </w:rPr>
              <w:t>Phase</w:t>
            </w:r>
          </w:p>
        </w:tc>
        <w:tc>
          <w:tcPr>
            <w:tcW w:type="dxa" w:w="4762"/>
            <w:shd w:val="clear" w:color="auto" w:fill="1F3763"/>
          </w:tcPr>
          <w:p>
            <w:pPr>
              <w:spacing w:after="20" w:before="20"/>
            </w:pPr>
            <w:r>
              <w:rPr>
                <w:rFonts w:ascii="Calibri" w:hAnsi="Calibri"/>
                <w:b/>
                <w:color w:val="FFFFFF"/>
                <w:sz w:val="19"/>
              </w:rPr>
              <w:t>Change</w:t>
            </w:r>
          </w:p>
        </w:tc>
        <w:tc>
          <w:tcPr>
            <w:tcW w:type="dxa" w:w="3288"/>
            <w:shd w:val="clear" w:color="auto" w:fill="1F3763"/>
          </w:tcPr>
          <w:p>
            <w:pPr>
              <w:spacing w:after="20" w:before="20"/>
            </w:pPr>
            <w:r>
              <w:rPr>
                <w:rFonts w:ascii="Calibri" w:hAnsi="Calibri"/>
                <w:b/>
                <w:color w:val="FFFFFF"/>
                <w:sz w:val="19"/>
              </w:rPr>
              <w:t>Outcome</w:t>
            </w:r>
          </w:p>
        </w:tc>
      </w:tr>
      <w:tr>
        <w:tc>
          <w:tcPr>
            <w:tcW w:type="dxa" w:w="1474"/>
          </w:tcPr>
          <w:p>
            <w:pPr>
              <w:spacing w:after="20" w:before="20"/>
            </w:pPr>
            <w:r>
              <w:rPr>
                <w:rFonts w:ascii="Calibri" w:hAnsi="Calibri"/>
                <w:b w:val="0"/>
                <w:sz w:val="19"/>
              </w:rPr>
              <w:t>1 (now)</w:t>
            </w:r>
          </w:p>
        </w:tc>
        <w:tc>
          <w:tcPr>
            <w:tcW w:type="dxa" w:w="4762"/>
          </w:tcPr>
          <w:p>
            <w:pPr>
              <w:spacing w:after="20" w:before="20"/>
            </w:pPr>
            <w:r>
              <w:rPr>
                <w:rFonts w:ascii="Calibri" w:hAnsi="Calibri"/>
                <w:b w:val="0"/>
                <w:sz w:val="19"/>
              </w:rPr>
              <w:t>Single Databricks App, SQL Warehouse, in-process cache, thread-based generation</w:t>
            </w:r>
          </w:p>
        </w:tc>
        <w:tc>
          <w:tcPr>
            <w:tcW w:type="dxa" w:w="3288"/>
          </w:tcPr>
          <w:p>
            <w:pPr>
              <w:spacing w:after="20" w:before="20"/>
            </w:pPr>
            <w:r>
              <w:rPr>
                <w:rFonts w:ascii="Calibri" w:hAnsi="Calibri"/>
                <w:b w:val="0"/>
                <w:sz w:val="19"/>
              </w:rPr>
              <w:t>Functional end-to-end for current usage</w:t>
            </w:r>
          </w:p>
        </w:tc>
      </w:tr>
      <w:tr>
        <w:tc>
          <w:tcPr>
            <w:tcW w:type="dxa" w:w="1474"/>
            <w:shd w:val="clear" w:color="auto" w:fill="EAF0F8"/>
          </w:tcPr>
          <w:p>
            <w:pPr>
              <w:spacing w:after="20" w:before="20"/>
            </w:pPr>
            <w:r>
              <w:rPr>
                <w:rFonts w:ascii="Calibri" w:hAnsi="Calibri"/>
                <w:b w:val="0"/>
                <w:sz w:val="19"/>
              </w:rPr>
              <w:t>2 (perf)</w:t>
            </w:r>
          </w:p>
        </w:tc>
        <w:tc>
          <w:tcPr>
            <w:tcW w:type="dxa" w:w="4762"/>
            <w:shd w:val="clear" w:color="auto" w:fill="EAF0F8"/>
          </w:tcPr>
          <w:p>
            <w:pPr>
              <w:spacing w:after="20" w:before="20"/>
            </w:pPr>
            <w:r>
              <w:rPr>
                <w:rFonts w:ascii="Calibri" w:hAnsi="Calibri"/>
                <w:b w:val="0"/>
                <w:sz w:val="19"/>
              </w:rPr>
              <w:t>DB -&gt; Lakebase (Postgres); preview/generation -&gt; Databricks Jobs; add Redis/Delta shared cache</w:t>
            </w:r>
          </w:p>
        </w:tc>
        <w:tc>
          <w:tcPr>
            <w:tcW w:type="dxa" w:w="3288"/>
            <w:shd w:val="clear" w:color="auto" w:fill="EAF0F8"/>
          </w:tcPr>
          <w:p>
            <w:pPr>
              <w:spacing w:after="20" w:before="20"/>
            </w:pPr>
            <w:r>
              <w:rPr>
                <w:rFonts w:ascii="Calibri" w:hAnsi="Calibri"/>
                <w:b w:val="0"/>
                <w:sz w:val="19"/>
              </w:rPr>
              <w:t>Low-latency OLTP; durable async; true horizontal scale</w:t>
            </w:r>
          </w:p>
        </w:tc>
      </w:tr>
      <w:tr>
        <w:tc>
          <w:tcPr>
            <w:tcW w:type="dxa" w:w="1474"/>
          </w:tcPr>
          <w:p>
            <w:pPr>
              <w:spacing w:after="20" w:before="20"/>
            </w:pPr>
            <w:r>
              <w:rPr>
                <w:rFonts w:ascii="Calibri" w:hAnsi="Calibri"/>
                <w:b w:val="0"/>
                <w:sz w:val="19"/>
              </w:rPr>
              <w:t>3 (govern/scale)</w:t>
            </w:r>
          </w:p>
        </w:tc>
        <w:tc>
          <w:tcPr>
            <w:tcW w:type="dxa" w:w="4762"/>
          </w:tcPr>
          <w:p>
            <w:pPr>
              <w:spacing w:after="20" w:before="20"/>
            </w:pPr>
            <w:r>
              <w:rPr>
                <w:rFonts w:ascii="Calibri" w:hAnsi="Calibri"/>
                <w:b w:val="0"/>
                <w:sz w:val="19"/>
              </w:rPr>
              <w:t>Rate limiting + server-side token auth; metrics/tracing/APM; optional Vector Search (RAG) and Model Serving via AI Gateway</w:t>
            </w:r>
          </w:p>
        </w:tc>
        <w:tc>
          <w:tcPr>
            <w:tcW w:type="dxa" w:w="3288"/>
          </w:tcPr>
          <w:p>
            <w:pPr>
              <w:spacing w:after="20" w:before="20"/>
            </w:pPr>
            <w:r>
              <w:rPr>
                <w:rFonts w:ascii="Calibri" w:hAnsi="Calibri"/>
                <w:b w:val="0"/>
                <w:sz w:val="19"/>
              </w:rPr>
              <w:t>Enterprise-grade governance, observability, and quality</w:t>
            </w:r>
          </w:p>
        </w:tc>
      </w:tr>
    </w:tbl>
    <w:p>
      <w:pPr>
        <w:spacing w:after="40"/>
      </w:pPr>
    </w:p>
    <w:p>
      <w:pPr>
        <w:pStyle w:val="Heading1"/>
      </w:pPr>
      <w:r>
        <w:t>Appendix A — Tech Stack &amp; Config Flags</w:t>
      </w:r>
    </w:p>
    <w:tbl>
      <w:tblPr>
        <w:tblStyle w:val="TableGrid"/>
        <w:tblW w:type="auto" w:w="0"/>
        <w:tblLook w:firstColumn="1" w:firstRow="1" w:lastColumn="0" w:lastRow="0" w:noHBand="0" w:noVBand="1" w:val="04A0"/>
      </w:tblPr>
      <w:tblGrid>
        <w:gridCol w:w="3249"/>
        <w:gridCol w:w="3249"/>
        <w:gridCol w:w="3249"/>
      </w:tblGrid>
      <w:tr>
        <w:tc>
          <w:tcPr>
            <w:tcW w:type="dxa" w:w="2041"/>
            <w:shd w:val="clear" w:color="auto" w:fill="1F3763"/>
          </w:tcPr>
          <w:p>
            <w:pPr>
              <w:spacing w:after="20" w:before="20"/>
            </w:pPr>
            <w:r>
              <w:rPr>
                <w:rFonts w:ascii="Calibri" w:hAnsi="Calibri"/>
                <w:b/>
                <w:color w:val="FFFFFF"/>
                <w:sz w:val="19"/>
              </w:rPr>
              <w:t>Concern</w:t>
            </w:r>
          </w:p>
        </w:tc>
        <w:tc>
          <w:tcPr>
            <w:tcW w:type="dxa" w:w="4762"/>
            <w:shd w:val="clear" w:color="auto" w:fill="1F3763"/>
          </w:tcPr>
          <w:p>
            <w:pPr>
              <w:spacing w:after="20" w:before="20"/>
            </w:pPr>
            <w:r>
              <w:rPr>
                <w:rFonts w:ascii="Calibri" w:hAnsi="Calibri"/>
                <w:b/>
                <w:color w:val="FFFFFF"/>
                <w:sz w:val="19"/>
              </w:rPr>
              <w:t>Choice</w:t>
            </w:r>
          </w:p>
        </w:tc>
        <w:tc>
          <w:tcPr>
            <w:tcW w:type="dxa" w:w="2721"/>
            <w:shd w:val="clear" w:color="auto" w:fill="1F3763"/>
          </w:tcPr>
          <w:p>
            <w:pPr>
              <w:spacing w:after="20" w:before="20"/>
            </w:pPr>
            <w:r>
              <w:rPr>
                <w:rFonts w:ascii="Calibri" w:hAnsi="Calibri"/>
                <w:b/>
                <w:color w:val="FFFFFF"/>
                <w:sz w:val="19"/>
              </w:rPr>
              <w:t>Toggle</w:t>
            </w:r>
          </w:p>
        </w:tc>
      </w:tr>
      <w:tr>
        <w:tc>
          <w:tcPr>
            <w:tcW w:type="dxa" w:w="2041"/>
          </w:tcPr>
          <w:p>
            <w:pPr>
              <w:spacing w:after="20" w:before="20"/>
            </w:pPr>
            <w:r>
              <w:rPr>
                <w:rFonts w:ascii="Calibri" w:hAnsi="Calibri"/>
                <w:b w:val="0"/>
                <w:sz w:val="19"/>
              </w:rPr>
              <w:t>Web / WSGI</w:t>
            </w:r>
          </w:p>
        </w:tc>
        <w:tc>
          <w:tcPr>
            <w:tcW w:type="dxa" w:w="4762"/>
          </w:tcPr>
          <w:p>
            <w:pPr>
              <w:spacing w:after="20" w:before="20"/>
            </w:pPr>
            <w:r>
              <w:rPr>
                <w:rFonts w:ascii="Calibri" w:hAnsi="Calibri"/>
                <w:b w:val="0"/>
                <w:sz w:val="19"/>
              </w:rPr>
              <w:t>Flask + Gunicorn</w:t>
            </w:r>
          </w:p>
        </w:tc>
        <w:tc>
          <w:tcPr>
            <w:tcW w:type="dxa" w:w="2721"/>
          </w:tcPr>
          <w:p>
            <w:pPr>
              <w:spacing w:after="20" w:before="20"/>
            </w:pPr>
            <w:r>
              <w:rPr>
                <w:rFonts w:ascii="Calibri" w:hAnsi="Calibri"/>
                <w:b w:val="0"/>
                <w:sz w:val="19"/>
              </w:rPr>
              <w:t>app.yaml command</w:t>
            </w:r>
          </w:p>
        </w:tc>
      </w:tr>
      <w:tr>
        <w:tc>
          <w:tcPr>
            <w:tcW w:type="dxa" w:w="2041"/>
            <w:shd w:val="clear" w:color="auto" w:fill="EAF0F8"/>
          </w:tcPr>
          <w:p>
            <w:pPr>
              <w:spacing w:after="20" w:before="20"/>
            </w:pPr>
            <w:r>
              <w:rPr>
                <w:rFonts w:ascii="Calibri" w:hAnsi="Calibri"/>
                <w:b w:val="0"/>
                <w:sz w:val="19"/>
              </w:rPr>
              <w:t>Database</w:t>
            </w:r>
          </w:p>
        </w:tc>
        <w:tc>
          <w:tcPr>
            <w:tcW w:type="dxa" w:w="4762"/>
            <w:shd w:val="clear" w:color="auto" w:fill="EAF0F8"/>
          </w:tcPr>
          <w:p>
            <w:pPr>
              <w:spacing w:after="20" w:before="20"/>
            </w:pPr>
            <w:r>
              <w:rPr>
                <w:rFonts w:ascii="Calibri" w:hAnsi="Calibri"/>
                <w:b w:val="0"/>
                <w:sz w:val="19"/>
              </w:rPr>
              <w:t>SQLAlchemy ORM; SQLite (dev) / SQL Warehouse (prod)</w:t>
            </w:r>
          </w:p>
        </w:tc>
        <w:tc>
          <w:tcPr>
            <w:tcW w:type="dxa" w:w="2721"/>
            <w:shd w:val="clear" w:color="auto" w:fill="EAF0F8"/>
          </w:tcPr>
          <w:p>
            <w:pPr>
              <w:spacing w:after="20" w:before="20"/>
            </w:pPr>
            <w:r>
              <w:rPr>
                <w:rFonts w:ascii="Calibri" w:hAnsi="Calibri"/>
                <w:b w:val="0"/>
                <w:sz w:val="19"/>
              </w:rPr>
              <w:t>LOCAL_DB, DATABASE_URL</w:t>
            </w:r>
          </w:p>
        </w:tc>
      </w:tr>
      <w:tr>
        <w:tc>
          <w:tcPr>
            <w:tcW w:type="dxa" w:w="2041"/>
          </w:tcPr>
          <w:p>
            <w:pPr>
              <w:spacing w:after="20" w:before="20"/>
            </w:pPr>
            <w:r>
              <w:rPr>
                <w:rFonts w:ascii="Calibri" w:hAnsi="Calibri"/>
                <w:b w:val="0"/>
                <w:sz w:val="19"/>
              </w:rPr>
              <w:t>Blob storage</w:t>
            </w:r>
          </w:p>
        </w:tc>
        <w:tc>
          <w:tcPr>
            <w:tcW w:type="dxa" w:w="4762"/>
          </w:tcPr>
          <w:p>
            <w:pPr>
              <w:spacing w:after="20" w:before="20"/>
            </w:pPr>
            <w:r>
              <w:rPr>
                <w:rFonts w:ascii="Calibri" w:hAnsi="Calibri"/>
                <w:b w:val="0"/>
                <w:sz w:val="19"/>
              </w:rPr>
              <w:t>Unity Catalog Volumes / GCS / local FS</w:t>
            </w:r>
          </w:p>
        </w:tc>
        <w:tc>
          <w:tcPr>
            <w:tcW w:type="dxa" w:w="2721"/>
          </w:tcPr>
          <w:p>
            <w:pPr>
              <w:spacing w:after="20" w:before="20"/>
            </w:pPr>
            <w:r>
              <w:rPr>
                <w:rFonts w:ascii="Calibri" w:hAnsi="Calibri"/>
                <w:b w:val="0"/>
                <w:sz w:val="19"/>
              </w:rPr>
              <w:t>DATABRICKS_MODE, LOCAL_MODE</w:t>
            </w:r>
          </w:p>
        </w:tc>
      </w:tr>
      <w:tr>
        <w:tc>
          <w:tcPr>
            <w:tcW w:type="dxa" w:w="2041"/>
            <w:shd w:val="clear" w:color="auto" w:fill="EAF0F8"/>
          </w:tcPr>
          <w:p>
            <w:pPr>
              <w:spacing w:after="20" w:before="20"/>
            </w:pPr>
            <w:r>
              <w:rPr>
                <w:rFonts w:ascii="Calibri" w:hAnsi="Calibri"/>
                <w:b w:val="0"/>
                <w:sz w:val="19"/>
              </w:rPr>
              <w:t>LLM</w:t>
            </w:r>
          </w:p>
        </w:tc>
        <w:tc>
          <w:tcPr>
            <w:tcW w:type="dxa" w:w="4762"/>
            <w:shd w:val="clear" w:color="auto" w:fill="EAF0F8"/>
          </w:tcPr>
          <w:p>
            <w:pPr>
              <w:spacing w:after="20" w:before="20"/>
            </w:pPr>
            <w:r>
              <w:rPr>
                <w:rFonts w:ascii="Calibri" w:hAnsi="Calibri"/>
                <w:b w:val="0"/>
                <w:sz w:val="19"/>
              </w:rPr>
              <w:t>Gemini (Vertex) primary, Azure GPT fallback</w:t>
            </w:r>
          </w:p>
        </w:tc>
        <w:tc>
          <w:tcPr>
            <w:tcW w:type="dxa" w:w="2721"/>
            <w:shd w:val="clear" w:color="auto" w:fill="EAF0F8"/>
          </w:tcPr>
          <w:p>
            <w:pPr>
              <w:spacing w:after="20" w:before="20"/>
            </w:pPr>
            <w:r>
              <w:rPr>
                <w:rFonts w:ascii="Calibri" w:hAnsi="Calibri"/>
                <w:b w:val="0"/>
                <w:sz w:val="19"/>
              </w:rPr>
              <w:t>llm_provider.call_with_fallback</w:t>
            </w:r>
          </w:p>
        </w:tc>
      </w:tr>
      <w:tr>
        <w:tc>
          <w:tcPr>
            <w:tcW w:type="dxa" w:w="2041"/>
          </w:tcPr>
          <w:p>
            <w:pPr>
              <w:spacing w:after="20" w:before="20"/>
            </w:pPr>
            <w:r>
              <w:rPr>
                <w:rFonts w:ascii="Calibri" w:hAnsi="Calibri"/>
                <w:b w:val="0"/>
                <w:sz w:val="19"/>
              </w:rPr>
              <w:t>Async generation</w:t>
            </w:r>
          </w:p>
        </w:tc>
        <w:tc>
          <w:tcPr>
            <w:tcW w:type="dxa" w:w="4762"/>
          </w:tcPr>
          <w:p>
            <w:pPr>
              <w:spacing w:after="20" w:before="20"/>
            </w:pPr>
            <w:r>
              <w:rPr>
                <w:rFonts w:ascii="Calibri" w:hAnsi="Calibri"/>
                <w:b w:val="0"/>
                <w:sz w:val="19"/>
              </w:rPr>
              <w:t>Background thread + polling</w:t>
            </w:r>
          </w:p>
        </w:tc>
        <w:tc>
          <w:tcPr>
            <w:tcW w:type="dxa" w:w="2721"/>
          </w:tcPr>
          <w:p>
            <w:pPr>
              <w:spacing w:after="20" w:before="20"/>
            </w:pPr>
            <w:r>
              <w:rPr>
                <w:rFonts w:ascii="Calibri" w:hAnsi="Calibri"/>
                <w:b w:val="0"/>
                <w:sz w:val="19"/>
              </w:rPr>
              <w:t>ASYNC_GENERATION</w:t>
            </w:r>
          </w:p>
        </w:tc>
      </w:tr>
      <w:tr>
        <w:tc>
          <w:tcPr>
            <w:tcW w:type="dxa" w:w="2041"/>
            <w:shd w:val="clear" w:color="auto" w:fill="EAF0F8"/>
          </w:tcPr>
          <w:p>
            <w:pPr>
              <w:spacing w:after="20" w:before="20"/>
            </w:pPr>
            <w:r>
              <w:rPr>
                <w:rFonts w:ascii="Calibri" w:hAnsi="Calibri"/>
                <w:b w:val="0"/>
                <w:sz w:val="19"/>
              </w:rPr>
              <w:t>Preview</w:t>
            </w:r>
          </w:p>
        </w:tc>
        <w:tc>
          <w:tcPr>
            <w:tcW w:type="dxa" w:w="4762"/>
            <w:shd w:val="clear" w:color="auto" w:fill="EAF0F8"/>
          </w:tcPr>
          <w:p>
            <w:pPr>
              <w:spacing w:after="20" w:before="20"/>
            </w:pPr>
            <w:r>
              <w:rPr>
                <w:rFonts w:ascii="Calibri" w:hAnsi="Calibri"/>
                <w:b w:val="0"/>
                <w:sz w:val="19"/>
              </w:rPr>
              <w:t>In-process sync / Celery+Redis</w:t>
            </w:r>
          </w:p>
        </w:tc>
        <w:tc>
          <w:tcPr>
            <w:tcW w:type="dxa" w:w="2721"/>
            <w:shd w:val="clear" w:color="auto" w:fill="EAF0F8"/>
          </w:tcPr>
          <w:p>
            <w:pPr>
              <w:spacing w:after="20" w:before="20"/>
            </w:pPr>
            <w:r>
              <w:rPr>
                <w:rFonts w:ascii="Calibri" w:hAnsi="Calibri"/>
                <w:b w:val="0"/>
                <w:sz w:val="19"/>
              </w:rPr>
              <w:t>CELERY_ENABLED</w:t>
            </w:r>
          </w:p>
        </w:tc>
      </w:tr>
      <w:tr>
        <w:tc>
          <w:tcPr>
            <w:tcW w:type="dxa" w:w="2041"/>
          </w:tcPr>
          <w:p>
            <w:pPr>
              <w:spacing w:after="20" w:before="20"/>
            </w:pPr>
            <w:r>
              <w:rPr>
                <w:rFonts w:ascii="Calibri" w:hAnsi="Calibri"/>
                <w:b w:val="0"/>
                <w:sz w:val="19"/>
              </w:rPr>
              <w:t>Agents</w:t>
            </w:r>
          </w:p>
        </w:tc>
        <w:tc>
          <w:tcPr>
            <w:tcW w:type="dxa" w:w="4762"/>
          </w:tcPr>
          <w:p>
            <w:pPr>
              <w:spacing w:after="20" w:before="20"/>
            </w:pPr>
            <w:r>
              <w:rPr>
                <w:rFonts w:ascii="Calibri" w:hAnsi="Calibri"/>
                <w:b w:val="0"/>
                <w:sz w:val="19"/>
              </w:rPr>
              <w:t>Google ADK (4 specialist sub-agents + orchestrator)</w:t>
            </w:r>
          </w:p>
        </w:tc>
        <w:tc>
          <w:tcPr>
            <w:tcW w:type="dxa" w:w="2721"/>
          </w:tcPr>
          <w:p>
            <w:pPr>
              <w:spacing w:after="20" w:before="20"/>
            </w:pPr>
            <w:r>
              <w:rPr>
                <w:rFonts w:ascii="Calibri" w:hAnsi="Calibri"/>
                <w:b w:val="0"/>
                <w:sz w:val="19"/>
              </w:rPr>
              <w:t>agents/</w:t>
            </w:r>
          </w:p>
        </w:tc>
      </w:tr>
    </w:tbl>
    <w:p>
      <w:pPr>
        <w:spacing w:after="40"/>
      </w:pPr>
    </w:p>
    <w:p>
      <w:pPr>
        <w:spacing w:after="80" w:before="0"/>
      </w:pPr>
    </w:p>
    <w:p>
      <w:pPr>
        <w:spacing w:after="80" w:before="0"/>
      </w:pPr>
      <w:r>
        <w:rPr>
          <w:b w:val="0"/>
          <w:i/>
          <w:color w:val="595959"/>
          <w:sz w:val="18"/>
        </w:rPr>
        <w:t>Prepared by the engineering team for internal technical review. Figures reflect the current branch (Databricks deploy + security + generation/preview + review agent).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763"/>
      <w:sz w:val="32"/>
      <w:szCs w:val="28"/>
      <w:u w:val="none"/>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763"/>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5B6"/>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