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left"/>
      </w:pPr>
      <w:r>
        <w:rPr>
          <w:rFonts w:ascii="Calibri" w:hAnsi="Calibri"/>
          <w:b/>
          <w:i w:val="0"/>
          <w:color w:val="0E3F6E"/>
          <w:sz w:val="44"/>
        </w:rPr>
        <w:t>DataX — Outlet Intelligence Final Round Submission</w:t>
      </w:r>
    </w:p>
    <w:p>
      <w:pPr>
        <w:spacing w:after="120" w:line="300" w:lineRule="auto"/>
      </w:pPr>
      <w:r>
        <w:rPr>
          <w:rFonts w:ascii="Calibri" w:hAnsi="Calibri"/>
          <w:b/>
          <w:i w:val="0"/>
          <w:color w:val="1A202C"/>
          <w:sz w:val="22"/>
        </w:rPr>
        <w:t>Team DataX</w:t>
      </w:r>
      <w:r>
        <w:rPr>
          <w:rFonts w:ascii="Calibri" w:hAnsi="Calibri"/>
          <w:b w:val="0"/>
          <w:i w:val="0"/>
          <w:color w:val="1A202C"/>
          <w:sz w:val="22"/>
        </w:rPr>
        <w:t xml:space="preserve"> A.G. Aditha Buwaneka Wimalasuriya · DataStorm v7.0</w:t>
      </w:r>
    </w:p>
    <w:p>
      <w:pPr>
        <w:pBdr>
          <w:bottom w:val="single" w:sz="6" w:space="1" w:color="B8C2CC"/>
        </w:pBdr>
      </w:pPr>
    </w:p>
    <w:p>
      <w:pPr>
        <w:spacing w:before="280" w:after="80"/>
        <w:pBdr>
          <w:bottom w:val="single" w:sz="8" w:space="2" w:color="0E7CBE"/>
        </w:pBdr>
      </w:pPr>
      <w:r>
        <w:rPr>
          <w:rFonts w:ascii="Calibri" w:hAnsi="Calibri"/>
          <w:b/>
          <w:i w:val="0"/>
          <w:color w:val="0E3F6E"/>
          <w:sz w:val="30"/>
        </w:rPr>
        <w:t>Executive summary</w:t>
      </w:r>
    </w:p>
    <w:p>
      <w:pPr>
        <w:spacing w:after="120" w:line="300" w:lineRule="auto"/>
      </w:pPr>
      <w:r>
        <w:rPr>
          <w:rFonts w:ascii="Calibri" w:hAnsi="Calibri"/>
          <w:b w:val="0"/>
          <w:i w:val="0"/>
          <w:color w:val="1A202C"/>
          <w:sz w:val="22"/>
        </w:rPr>
        <w:t xml:space="preserve">The problem statement specifies that historical monthly volume </w:t>
      </w:r>
      <w:r>
        <w:rPr>
          <w:rFonts w:ascii="Consolas" w:hAnsi="Consolas"/>
          <w:b w:val="0"/>
          <w:i w:val="0"/>
          <w:color w:val="1A202C"/>
          <w:sz w:val="21"/>
        </w:rPr>
        <w:t>V_{i,t}</w:t>
      </w:r>
      <w:r>
        <w:rPr>
          <w:rFonts w:ascii="Calibri" w:hAnsi="Calibri"/>
          <w:b w:val="0"/>
          <w:i w:val="0"/>
          <w:color w:val="1A202C"/>
          <w:sz w:val="22"/>
        </w:rPr>
        <w:t xml:space="preserve"> is the censored minimum of latent demand </w:t>
      </w:r>
      <w:r>
        <w:rPr>
          <w:rFonts w:ascii="Consolas" w:hAnsi="Consolas"/>
          <w:b w:val="0"/>
          <w:i w:val="0"/>
          <w:color w:val="1A202C"/>
          <w:sz w:val="21"/>
        </w:rPr>
        <w:t>D_{i,t}</w:t>
      </w:r>
      <w:r>
        <w:rPr>
          <w:rFonts w:ascii="Calibri" w:hAnsi="Calibri"/>
          <w:b w:val="0"/>
          <w:i w:val="0"/>
          <w:color w:val="1A202C"/>
          <w:sz w:val="22"/>
        </w:rPr>
        <w:t xml:space="preserve"> and a binding systemic constraint </w:t>
      </w:r>
      <w:r>
        <w:rPr>
          <w:rFonts w:ascii="Consolas" w:hAnsi="Consolas"/>
          <w:b w:val="0"/>
          <w:i w:val="0"/>
          <w:color w:val="1A202C"/>
          <w:sz w:val="21"/>
        </w:rPr>
        <w:t>C_{i,t}</w:t>
      </w:r>
      <w:r>
        <w:rPr>
          <w:rFonts w:ascii="Calibri" w:hAnsi="Calibri"/>
          <w:b w:val="0"/>
          <w:i w:val="0"/>
          <w:color w:val="1A202C"/>
          <w:sz w:val="22"/>
        </w:rPr>
        <w:t xml:space="preserve"> (credit, stockout, no cooler, delivery cap):</w:t>
      </w:r>
    </w:p>
    <w:p>
      <w:pPr>
        <w:spacing w:after="40"/>
        <w:ind w:left="340"/>
        <w:pBdr>
          <w:left w:val="single" w:sz="18" w:space="6" w:color="0E7CBE"/>
        </w:pBdr>
      </w:pPr>
      <w:r>
        <w:rPr>
          <w:rFonts w:ascii="Calibri" w:hAnsi="Calibri"/>
          <w:b w:val="0"/>
          <w:i w:val="0"/>
          <w:color w:val="5A6778"/>
          <w:sz w:val="22"/>
        </w:rPr>
        <w:t>V_{i,t} = min(D_{i,t}, C_{i,t})</w:t>
      </w:r>
    </w:p>
    <w:p>
      <w:pPr>
        <w:spacing w:after="120" w:line="300" w:lineRule="auto"/>
      </w:pPr>
      <w:r>
        <w:rPr>
          <w:rFonts w:ascii="Calibri" w:hAnsi="Calibri"/>
          <w:b w:val="0"/>
          <w:i w:val="0"/>
          <w:color w:val="1A202C"/>
          <w:sz w:val="22"/>
        </w:rPr>
        <w:t xml:space="preserve">There is no observed target. Our framework estimates </w:t>
      </w:r>
      <w:r>
        <w:rPr>
          <w:rFonts w:ascii="Consolas" w:hAnsi="Consolas"/>
          <w:b w:val="0"/>
          <w:i w:val="0"/>
          <w:color w:val="1A202C"/>
          <w:sz w:val="21"/>
        </w:rPr>
        <w:t>D</w:t>
      </w:r>
      <w:r>
        <w:rPr>
          <w:rFonts w:ascii="Calibri" w:hAnsi="Calibri"/>
          <w:b w:val="0"/>
          <w:i w:val="0"/>
          <w:color w:val="1A202C"/>
          <w:sz w:val="22"/>
        </w:rPr>
        <w:t xml:space="preserve"> for each of 20,000 outlets for January 2026 using a five-method statistical ensemble anchored on peer-conditional quantiles, validates the result against held-out January 2025, allocates a fixed LKR 5,000,000 trade-spend budget over 8,588 Western Province outlets through a concave water-filling optimiser, and surfaces every prediction with per-outlet feature attribution and an LLM-generated business narrative inside a Next.js web application.</w:t>
      </w:r>
    </w:p>
    <w:p>
      <w:pPr>
        <w:spacing w:after="120" w:line="300" w:lineRule="auto"/>
      </w:pPr>
      <w:r>
        <w:rPr>
          <w:rFonts w:ascii="Calibri" w:hAnsi="Calibri"/>
          <w:b w:val="0"/>
          <w:i w:val="0"/>
          <w:color w:val="1A202C"/>
          <w:sz w:val="22"/>
        </w:rPr>
        <w:t>Key headline numbers:</w:t>
      </w:r>
    </w:p>
    <w:tbl>
      <w:tblPr>
        <w:tblStyle w:val="LightGrid-Accent1"/>
        <w:tblW w:type="auto" w:w="0"/>
        <w:jc w:val="left"/>
        <w:tblLook w:firstColumn="1" w:firstRow="1" w:lastColumn="0" w:lastRow="0" w:noHBand="0" w:noVBand="1" w:val="04A0"/>
      </w:tblPr>
      <w:tblGrid>
        <w:gridCol w:w="4819"/>
        <w:gridCol w:w="4819"/>
      </w:tblGrid>
      <w:tr>
        <w:trPr>
          <w:tblHeader w:val="true"/>
        </w:trPr>
        <w:tc>
          <w:tcPr>
            <w:tcW w:type="dxa" w:w="4819"/>
            <w:shd w:val="clear" w:color="auto" w:fill="0E3F6E"/>
            <w:vAlign w:val="center"/>
          </w:tcPr>
          <w:p>
            <w:r/>
            <w:r>
              <w:rPr>
                <w:rFonts w:ascii="Calibri" w:hAnsi="Calibri"/>
                <w:b/>
                <w:i w:val="0"/>
                <w:color w:val="FFFFFF"/>
                <w:sz w:val="21"/>
              </w:rPr>
              <w:t>Metric</w:t>
            </w:r>
          </w:p>
        </w:tc>
        <w:tc>
          <w:tcPr>
            <w:tcW w:type="dxa" w:w="4819"/>
            <w:shd w:val="clear" w:color="auto" w:fill="0E3F6E"/>
            <w:vAlign w:val="center"/>
          </w:tcPr>
          <w:p>
            <w:r/>
            <w:r>
              <w:rPr>
                <w:rFonts w:ascii="Calibri" w:hAnsi="Calibri"/>
                <w:b/>
                <w:i w:val="0"/>
                <w:color w:val="FFFFFF"/>
                <w:sz w:val="21"/>
              </w:rPr>
              <w:t>Value</w:t>
            </w:r>
          </w:p>
        </w:tc>
      </w:tr>
      <w:tr>
        <w:tc>
          <w:tcPr>
            <w:tcW w:type="dxa" w:w="4819"/>
            <w:vAlign w:val="center"/>
          </w:tcPr>
          <w:p>
            <w:r/>
            <w:r>
              <w:rPr>
                <w:rFonts w:ascii="Calibri" w:hAnsi="Calibri"/>
                <w:b w:val="0"/>
                <w:i w:val="0"/>
                <w:color w:val="1A202C"/>
                <w:sz w:val="21"/>
              </w:rPr>
              <w:t>Outlets predicted for January 2026</w:t>
            </w:r>
          </w:p>
        </w:tc>
        <w:tc>
          <w:tcPr>
            <w:tcW w:type="dxa" w:w="4819"/>
            <w:vAlign w:val="center"/>
          </w:tcPr>
          <w:p>
            <w:r/>
            <w:r>
              <w:rPr>
                <w:rFonts w:ascii="Calibri" w:hAnsi="Calibri"/>
                <w:b w:val="0"/>
                <w:i w:val="0"/>
                <w:color w:val="1A202C"/>
                <w:sz w:val="21"/>
              </w:rPr>
              <w:t>20,000</w:t>
            </w:r>
          </w:p>
        </w:tc>
      </w:tr>
      <w:tr>
        <w:tc>
          <w:tcPr>
            <w:tcW w:type="dxa" w:w="4819"/>
            <w:shd w:val="clear" w:color="auto" w:fill="F4F6F9"/>
            <w:vAlign w:val="center"/>
          </w:tcPr>
          <w:p>
            <w:r/>
            <w:r>
              <w:rPr>
                <w:rFonts w:ascii="Calibri" w:hAnsi="Calibri"/>
                <w:b w:val="0"/>
                <w:i w:val="0"/>
                <w:color w:val="1A202C"/>
                <w:sz w:val="21"/>
              </w:rPr>
              <w:t>Engineered features per outlet</w:t>
            </w:r>
          </w:p>
        </w:tc>
        <w:tc>
          <w:tcPr>
            <w:tcW w:type="dxa" w:w="4819"/>
            <w:shd w:val="clear" w:color="auto" w:fill="F4F6F9"/>
            <w:vAlign w:val="center"/>
          </w:tcPr>
          <w:p>
            <w:r/>
            <w:r>
              <w:rPr>
                <w:rFonts w:ascii="Calibri" w:hAnsi="Calibri"/>
                <w:b w:val="0"/>
                <w:i w:val="0"/>
                <w:color w:val="1A202C"/>
                <w:sz w:val="21"/>
              </w:rPr>
              <w:t>229</w:t>
            </w:r>
          </w:p>
        </w:tc>
      </w:tr>
      <w:tr>
        <w:tc>
          <w:tcPr>
            <w:tcW w:type="dxa" w:w="4819"/>
            <w:vAlign w:val="center"/>
          </w:tcPr>
          <w:p>
            <w:r/>
            <w:r>
              <w:rPr>
                <w:rFonts w:ascii="Calibri" w:hAnsi="Calibri"/>
                <w:b w:val="0"/>
                <w:i w:val="0"/>
                <w:color w:val="1A202C"/>
                <w:sz w:val="21"/>
              </w:rPr>
              <w:t>Statistical methods cross-checked</w:t>
            </w:r>
          </w:p>
        </w:tc>
        <w:tc>
          <w:tcPr>
            <w:tcW w:type="dxa" w:w="4819"/>
            <w:vAlign w:val="center"/>
          </w:tcPr>
          <w:p>
            <w:r/>
            <w:r>
              <w:rPr>
                <w:rFonts w:ascii="Calibri" w:hAnsi="Calibri"/>
                <w:b w:val="0"/>
                <w:i w:val="0"/>
                <w:color w:val="1A202C"/>
                <w:sz w:val="21"/>
              </w:rPr>
              <w:t>5</w:t>
            </w:r>
          </w:p>
        </w:tc>
      </w:tr>
      <w:tr>
        <w:tc>
          <w:tcPr>
            <w:tcW w:type="dxa" w:w="4819"/>
            <w:shd w:val="clear" w:color="auto" w:fill="F4F6F9"/>
            <w:vAlign w:val="center"/>
          </w:tcPr>
          <w:p>
            <w:r/>
            <w:r>
              <w:rPr>
                <w:rFonts w:ascii="Calibri" w:hAnsi="Calibri"/>
                <w:b w:val="0"/>
                <w:i w:val="0"/>
                <w:color w:val="1A202C"/>
                <w:sz w:val="21"/>
              </w:rPr>
              <w:t>Pairwise method Spearman ρ</w:t>
            </w:r>
          </w:p>
        </w:tc>
        <w:tc>
          <w:tcPr>
            <w:tcW w:type="dxa" w:w="4819"/>
            <w:shd w:val="clear" w:color="auto" w:fill="F4F6F9"/>
            <w:vAlign w:val="center"/>
          </w:tcPr>
          <w:p>
            <w:r/>
            <w:r>
              <w:rPr>
                <w:rFonts w:ascii="Calibri" w:hAnsi="Calibri"/>
                <w:b w:val="0"/>
                <w:i w:val="0"/>
                <w:color w:val="1A202C"/>
                <w:sz w:val="21"/>
              </w:rPr>
              <w:t>all ≥ 0.83</w:t>
            </w:r>
          </w:p>
        </w:tc>
      </w:tr>
      <w:tr>
        <w:tc>
          <w:tcPr>
            <w:tcW w:type="dxa" w:w="4819"/>
            <w:vAlign w:val="center"/>
          </w:tcPr>
          <w:p>
            <w:r/>
            <w:r>
              <w:rPr>
                <w:rFonts w:ascii="Calibri" w:hAnsi="Calibri"/>
                <w:b w:val="0"/>
                <w:i w:val="0"/>
                <w:color w:val="1A202C"/>
                <w:sz w:val="21"/>
              </w:rPr>
              <w:t>Hold-out Spearman ρ (Jan 2025 predicted from 2023-24 only)</w:t>
            </w:r>
          </w:p>
        </w:tc>
        <w:tc>
          <w:tcPr>
            <w:tcW w:type="dxa" w:w="4819"/>
            <w:vAlign w:val="center"/>
          </w:tcPr>
          <w:p>
            <w:r/>
            <w:r>
              <w:rPr>
                <w:rFonts w:ascii="Calibri" w:hAnsi="Calibri"/>
                <w:b w:val="0"/>
                <w:i w:val="0"/>
                <w:color w:val="1A202C"/>
                <w:sz w:val="21"/>
              </w:rPr>
              <w:t>0.793 over 10,949 outlets</w:t>
            </w:r>
          </w:p>
        </w:tc>
      </w:tr>
      <w:tr>
        <w:tc>
          <w:tcPr>
            <w:tcW w:type="dxa" w:w="4819"/>
            <w:shd w:val="clear" w:color="auto" w:fill="F4F6F9"/>
            <w:vAlign w:val="center"/>
          </w:tcPr>
          <w:p>
            <w:r/>
            <w:r>
              <w:rPr>
                <w:rFonts w:ascii="Calibri" w:hAnsi="Calibri"/>
                <w:b w:val="0"/>
                <w:i w:val="0"/>
                <w:color w:val="1A202C"/>
                <w:sz w:val="21"/>
              </w:rPr>
              <w:t>LKR 5M actually allocated</w:t>
            </w:r>
          </w:p>
        </w:tc>
        <w:tc>
          <w:tcPr>
            <w:tcW w:type="dxa" w:w="4819"/>
            <w:shd w:val="clear" w:color="auto" w:fill="F4F6F9"/>
            <w:vAlign w:val="center"/>
          </w:tcPr>
          <w:p>
            <w:r/>
            <w:r>
              <w:rPr>
                <w:rFonts w:ascii="Calibri" w:hAnsi="Calibri"/>
                <w:b w:val="0"/>
                <w:i w:val="0"/>
                <w:color w:val="1A202C"/>
                <w:sz w:val="21"/>
              </w:rPr>
              <w:t>4,999,912.87 across 8,416 funded outlets</w:t>
            </w:r>
          </w:p>
        </w:tc>
      </w:tr>
      <w:tr>
        <w:tc>
          <w:tcPr>
            <w:tcW w:type="dxa" w:w="4819"/>
            <w:vAlign w:val="center"/>
          </w:tcPr>
          <w:p>
            <w:r/>
            <w:r>
              <w:rPr>
                <w:rFonts w:ascii="Calibri" w:hAnsi="Calibri"/>
                <w:b w:val="0"/>
                <w:i w:val="0"/>
                <w:color w:val="1A202C"/>
                <w:sz w:val="21"/>
              </w:rPr>
              <w:t>Channel split (Discount / Merch / Promo)</w:t>
            </w:r>
          </w:p>
        </w:tc>
        <w:tc>
          <w:tcPr>
            <w:tcW w:type="dxa" w:w="4819"/>
            <w:vAlign w:val="center"/>
          </w:tcPr>
          <w:p>
            <w:r/>
            <w:r>
              <w:rPr>
                <w:rFonts w:ascii="Calibri" w:hAnsi="Calibri"/>
                <w:b w:val="0"/>
                <w:i w:val="0"/>
                <w:color w:val="1A202C"/>
                <w:sz w:val="21"/>
              </w:rPr>
              <w:t>34.9% / 41.8% / 23.3%</w:t>
            </w:r>
          </w:p>
        </w:tc>
      </w:tr>
      <w:tr>
        <w:tc>
          <w:tcPr>
            <w:tcW w:type="dxa" w:w="4819"/>
            <w:shd w:val="clear" w:color="auto" w:fill="F4F6F9"/>
            <w:vAlign w:val="center"/>
          </w:tcPr>
          <w:p>
            <w:r/>
            <w:r>
              <w:rPr>
                <w:rFonts w:ascii="Calibri" w:hAnsi="Calibri"/>
                <w:b w:val="0"/>
                <w:i w:val="0"/>
                <w:color w:val="1A202C"/>
                <w:sz w:val="21"/>
              </w:rPr>
              <w:t>Cooler Top-100 24-month margin uplift</w:t>
            </w:r>
          </w:p>
        </w:tc>
        <w:tc>
          <w:tcPr>
            <w:tcW w:type="dxa" w:w="4819"/>
            <w:shd w:val="clear" w:color="auto" w:fill="F4F6F9"/>
            <w:vAlign w:val="center"/>
          </w:tcPr>
          <w:p>
            <w:r/>
            <w:r>
              <w:rPr>
                <w:rFonts w:ascii="Calibri" w:hAnsi="Calibri"/>
                <w:b w:val="0"/>
                <w:i w:val="0"/>
                <w:color w:val="1A202C"/>
                <w:sz w:val="21"/>
              </w:rPr>
              <w:t>LKR 36,650,325 (net 31.65M of 5M capex)</w:t>
            </w:r>
          </w:p>
        </w:tc>
      </w:tr>
      <w:tr>
        <w:tc>
          <w:tcPr>
            <w:tcW w:type="dxa" w:w="4819"/>
            <w:vAlign w:val="center"/>
          </w:tcPr>
          <w:p>
            <w:r/>
            <w:r>
              <w:rPr>
                <w:rFonts w:ascii="Calibri" w:hAnsi="Calibri"/>
                <w:b w:val="0"/>
                <w:i w:val="0"/>
                <w:color w:val="1A202C"/>
                <w:sz w:val="21"/>
              </w:rPr>
              <w:t>Dormancy classifier 5-fold CV AUC</w:t>
            </w:r>
          </w:p>
        </w:tc>
        <w:tc>
          <w:tcPr>
            <w:tcW w:type="dxa" w:w="4819"/>
            <w:vAlign w:val="center"/>
          </w:tcPr>
          <w:p>
            <w:r/>
            <w:r>
              <w:rPr>
                <w:rFonts w:ascii="Calibri" w:hAnsi="Calibri"/>
                <w:b w:val="0"/>
                <w:i w:val="0"/>
                <w:color w:val="1A202C"/>
                <w:sz w:val="21"/>
              </w:rPr>
              <w:t>0.879 ± 0.004</w:t>
            </w:r>
          </w:p>
        </w:tc>
      </w:tr>
      <w:tr>
        <w:tc>
          <w:tcPr>
            <w:tcW w:type="dxa" w:w="4819"/>
            <w:shd w:val="clear" w:color="auto" w:fill="F4F6F9"/>
            <w:vAlign w:val="center"/>
          </w:tcPr>
          <w:p>
            <w:r/>
            <w:r>
              <w:rPr>
                <w:rFonts w:ascii="Calibri" w:hAnsi="Calibri"/>
                <w:b w:val="0"/>
                <w:i w:val="0"/>
                <w:color w:val="1A202C"/>
                <w:sz w:val="21"/>
              </w:rPr>
              <w:t>HDBSCAN sub-province sales territories</w:t>
            </w:r>
          </w:p>
        </w:tc>
        <w:tc>
          <w:tcPr>
            <w:tcW w:type="dxa" w:w="4819"/>
            <w:shd w:val="clear" w:color="auto" w:fill="F4F6F9"/>
            <w:vAlign w:val="center"/>
          </w:tcPr>
          <w:p>
            <w:r/>
            <w:r>
              <w:rPr>
                <w:rFonts w:ascii="Calibri" w:hAnsi="Calibri"/>
                <w:b w:val="0"/>
                <w:i w:val="0"/>
                <w:color w:val="1A202C"/>
                <w:sz w:val="21"/>
              </w:rPr>
              <w:t>91</w:t>
            </w:r>
          </w:p>
        </w:tc>
      </w:tr>
    </w:tbl>
    <w:p>
      <w:pPr>
        <w:spacing w:after="80"/>
      </w:pPr>
    </w:p>
    <w:p>
      <w:pPr>
        <w:pBdr>
          <w:bottom w:val="single" w:sz="6" w:space="1" w:color="B8C2CC"/>
        </w:pBdr>
      </w:pPr>
    </w:p>
    <w:p>
      <w:pPr>
        <w:spacing w:before="280" w:after="80"/>
        <w:pBdr>
          <w:bottom w:val="single" w:sz="8" w:space="2" w:color="0E7CBE"/>
        </w:pBdr>
      </w:pPr>
      <w:r>
        <w:rPr>
          <w:rFonts w:ascii="Calibri" w:hAnsi="Calibri"/>
          <w:b/>
          <w:i w:val="0"/>
          <w:color w:val="0E3F6E"/>
          <w:sz w:val="30"/>
        </w:rPr>
        <w:t>a. Data Engineering and Scraping Pipeline</w:t>
      </w:r>
    </w:p>
    <w:p>
      <w:pPr>
        <w:spacing w:before="200" w:after="40"/>
      </w:pPr>
      <w:r>
        <w:rPr>
          <w:rFonts w:ascii="Calibri" w:hAnsi="Calibri"/>
          <w:b/>
          <w:i w:val="0"/>
          <w:color w:val="0E7CBE"/>
          <w:sz w:val="25"/>
        </w:rPr>
        <w:t>Lakehouse architecture</w:t>
      </w:r>
    </w:p>
    <w:p>
      <w:pPr>
        <w:spacing w:after="120" w:line="300" w:lineRule="auto"/>
      </w:pPr>
      <w:r>
        <w:rPr>
          <w:rFonts w:ascii="Calibri" w:hAnsi="Calibri"/>
          <w:b w:val="0"/>
          <w:i w:val="0"/>
          <w:color w:val="1A202C"/>
          <w:sz w:val="22"/>
        </w:rPr>
        <w:t xml:space="preserve">The codebase is organised as a Bronze → Silver → Gold lakehouse, orchestrated by a 12-phase entry point at </w:t>
      </w:r>
      <w:r>
        <w:rPr>
          <w:rFonts w:ascii="Consolas" w:hAnsi="Consolas"/>
          <w:b w:val="0"/>
          <w:i w:val="0"/>
          <w:color w:val="1A202C"/>
          <w:sz w:val="21"/>
        </w:rPr>
        <w:t>src/run_pipeline.py</w:t>
      </w:r>
      <w:r>
        <w:rPr>
          <w:rFonts w:ascii="Calibri" w:hAnsi="Calibri"/>
          <w:b w:val="0"/>
          <w:i w:val="0"/>
          <w:color w:val="1A202C"/>
          <w:sz w:val="22"/>
        </w:rPr>
        <w:t xml:space="preserve">. Bronze copies the five raw CSVs (plus the Excel codebook) byte-for-byte into </w:t>
      </w:r>
      <w:r>
        <w:rPr>
          <w:rFonts w:ascii="Consolas" w:hAnsi="Consolas"/>
          <w:b w:val="0"/>
          <w:i w:val="0"/>
          <w:color w:val="1A202C"/>
          <w:sz w:val="21"/>
        </w:rPr>
        <w:t>data/bronze/</w:t>
      </w:r>
      <w:r>
        <w:rPr>
          <w:rFonts w:ascii="Calibri" w:hAnsi="Calibri"/>
          <w:b w:val="0"/>
          <w:i w:val="0"/>
          <w:color w:val="1A202C"/>
          <w:sz w:val="22"/>
        </w:rPr>
        <w:t xml:space="preserve">, computes a sha256 manifest, and asserts cross-file </w:t>
      </w:r>
      <w:r>
        <w:rPr>
          <w:rFonts w:ascii="Consolas" w:hAnsi="Consolas"/>
          <w:b w:val="0"/>
          <w:i w:val="0"/>
          <w:color w:val="1A202C"/>
          <w:sz w:val="21"/>
        </w:rPr>
        <w:t>Outlet_ID</w:t>
      </w:r>
      <w:r>
        <w:rPr>
          <w:rFonts w:ascii="Calibri" w:hAnsi="Calibri"/>
          <w:b w:val="0"/>
          <w:i w:val="0"/>
          <w:color w:val="1A202C"/>
          <w:sz w:val="22"/>
        </w:rPr>
        <w:t xml:space="preserve"> set equality (0 orphans, 0 ghosts in this dataset). Silver applies the data-quality library to produce cleaned parquets in </w:t>
      </w:r>
      <w:r>
        <w:rPr>
          <w:rFonts w:ascii="Consolas" w:hAnsi="Consolas"/>
          <w:b w:val="0"/>
          <w:i w:val="0"/>
          <w:color w:val="1A202C"/>
          <w:sz w:val="21"/>
        </w:rPr>
        <w:t>data/silver/clean/</w:t>
      </w:r>
      <w:r>
        <w:rPr>
          <w:rFonts w:ascii="Calibri" w:hAnsi="Calibri"/>
          <w:b w:val="0"/>
          <w:i w:val="0"/>
          <w:color w:val="1A202C"/>
          <w:sz w:val="22"/>
        </w:rPr>
        <w:t xml:space="preserve"> and persists every rejected row with a documented </w:t>
      </w:r>
      <w:r>
        <w:rPr>
          <w:rFonts w:ascii="Consolas" w:hAnsi="Consolas"/>
          <w:b w:val="0"/>
          <w:i w:val="0"/>
          <w:color w:val="1A202C"/>
          <w:sz w:val="21"/>
        </w:rPr>
        <w:t>_rejection_reason</w:t>
      </w:r>
      <w:r>
        <w:rPr>
          <w:rFonts w:ascii="Calibri" w:hAnsi="Calibri"/>
          <w:b w:val="0"/>
          <w:i w:val="0"/>
          <w:color w:val="1A202C"/>
          <w:sz w:val="22"/>
        </w:rPr>
        <w:t xml:space="preserve"> to </w:t>
      </w:r>
      <w:r>
        <w:rPr>
          <w:rFonts w:ascii="Consolas" w:hAnsi="Consolas"/>
          <w:b w:val="0"/>
          <w:i w:val="0"/>
          <w:color w:val="1A202C"/>
          <w:sz w:val="21"/>
        </w:rPr>
        <w:t>data/silver/quarantine/</w:t>
      </w:r>
      <w:r>
        <w:rPr>
          <w:rFonts w:ascii="Calibri" w:hAnsi="Calibri"/>
          <w:b w:val="0"/>
          <w:i w:val="0"/>
          <w:color w:val="1A202C"/>
          <w:sz w:val="22"/>
        </w:rPr>
        <w:t>. Gold engineers the 229-column per-outlet feature frame plus the dense (Outlet × Month) panel of 720k rows.</w:t>
      </w:r>
    </w:p>
    <w:p>
      <w:pPr>
        <w:spacing w:before="200" w:after="40"/>
      </w:pPr>
      <w:r>
        <w:rPr>
          <w:rFonts w:ascii="Calibri" w:hAnsi="Calibri"/>
          <w:b/>
          <w:i w:val="0"/>
          <w:color w:val="0E7CBE"/>
          <w:sz w:val="25"/>
        </w:rPr>
        <w:t>Reusable data-quality library</w:t>
      </w:r>
    </w:p>
    <w:p>
      <w:pPr>
        <w:spacing w:after="120" w:line="300" w:lineRule="auto"/>
      </w:pPr>
      <w:r>
        <w:rPr>
          <w:rFonts w:ascii="Consolas" w:hAnsi="Consolas"/>
          <w:b w:val="0"/>
          <w:i w:val="0"/>
          <w:color w:val="1A202C"/>
          <w:sz w:val="21"/>
        </w:rPr>
        <w:t>src/dq_checks.py</w:t>
      </w:r>
      <w:r>
        <w:rPr>
          <w:rFonts w:ascii="Calibri" w:hAnsi="Calibri"/>
          <w:b w:val="0"/>
          <w:i w:val="0"/>
          <w:color w:val="1A202C"/>
          <w:sz w:val="22"/>
        </w:rPr>
        <w:t xml:space="preserve"> exposes six parameterised functions:</w:t>
      </w:r>
    </w:p>
    <w:tbl>
      <w:tblPr>
        <w:tblStyle w:val="LightGrid-Accent1"/>
        <w:tblW w:type="auto" w:w="0"/>
        <w:jc w:val="left"/>
        <w:tblLook w:firstColumn="1" w:firstRow="1" w:lastColumn="0" w:lastRow="0" w:noHBand="0" w:noVBand="1" w:val="04A0"/>
      </w:tblPr>
      <w:tblGrid>
        <w:gridCol w:w="4819"/>
        <w:gridCol w:w="4819"/>
      </w:tblGrid>
      <w:tr>
        <w:trPr>
          <w:tblHeader w:val="true"/>
        </w:trPr>
        <w:tc>
          <w:tcPr>
            <w:tcW w:type="dxa" w:w="4819"/>
            <w:shd w:val="clear" w:color="auto" w:fill="0E3F6E"/>
            <w:vAlign w:val="center"/>
          </w:tcPr>
          <w:p>
            <w:r/>
            <w:r>
              <w:rPr>
                <w:rFonts w:ascii="Calibri" w:hAnsi="Calibri"/>
                <w:b/>
                <w:i w:val="0"/>
                <w:color w:val="FFFFFF"/>
                <w:sz w:val="21"/>
              </w:rPr>
              <w:t>Function</w:t>
            </w:r>
          </w:p>
        </w:tc>
        <w:tc>
          <w:tcPr>
            <w:tcW w:type="dxa" w:w="4819"/>
            <w:shd w:val="clear" w:color="auto" w:fill="0E3F6E"/>
            <w:vAlign w:val="center"/>
          </w:tcPr>
          <w:p>
            <w:r/>
            <w:r>
              <w:rPr>
                <w:rFonts w:ascii="Calibri" w:hAnsi="Calibri"/>
                <w:b/>
                <w:i w:val="0"/>
                <w:color w:val="FFFFFF"/>
                <w:sz w:val="21"/>
              </w:rPr>
              <w:t>Purpose</w:t>
            </w:r>
          </w:p>
        </w:tc>
      </w:tr>
      <w:tr>
        <w:tc>
          <w:tcPr>
            <w:tcW w:type="dxa" w:w="4819"/>
            <w:vAlign w:val="center"/>
          </w:tcPr>
          <w:p>
            <w:r/>
            <w:r>
              <w:rPr>
                <w:rFonts w:ascii="Consolas" w:hAnsi="Consolas"/>
                <w:b w:val="0"/>
                <w:i w:val="0"/>
                <w:color w:val="1A202C"/>
                <w:sz w:val="20"/>
              </w:rPr>
              <w:t>check_duplicates(df, primary_keys)</w:t>
            </w:r>
          </w:p>
        </w:tc>
        <w:tc>
          <w:tcPr>
            <w:tcW w:type="dxa" w:w="4819"/>
            <w:vAlign w:val="center"/>
          </w:tcPr>
          <w:p>
            <w:r/>
            <w:r>
              <w:rPr>
                <w:rFonts w:ascii="Calibri" w:hAnsi="Calibri"/>
                <w:b w:val="0"/>
                <w:i w:val="0"/>
                <w:color w:val="1A202C"/>
                <w:sz w:val="21"/>
              </w:rPr>
              <w:t>Both rows of a duplicate go to rejected (keep nothing)</w:t>
            </w:r>
          </w:p>
        </w:tc>
      </w:tr>
      <w:tr>
        <w:tc>
          <w:tcPr>
            <w:tcW w:type="dxa" w:w="4819"/>
            <w:shd w:val="clear" w:color="auto" w:fill="F4F6F9"/>
            <w:vAlign w:val="center"/>
          </w:tcPr>
          <w:p>
            <w:r/>
            <w:r>
              <w:rPr>
                <w:rFonts w:ascii="Consolas" w:hAnsi="Consolas"/>
                <w:b w:val="0"/>
                <w:i w:val="0"/>
                <w:color w:val="1A202C"/>
                <w:sz w:val="20"/>
              </w:rPr>
              <w:t>check_nulls(df, mandatory_columns)</w:t>
            </w:r>
          </w:p>
        </w:tc>
        <w:tc>
          <w:tcPr>
            <w:tcW w:type="dxa" w:w="4819"/>
            <w:shd w:val="clear" w:color="auto" w:fill="F4F6F9"/>
            <w:vAlign w:val="center"/>
          </w:tcPr>
          <w:p>
            <w:r/>
            <w:r>
              <w:rPr>
                <w:rFonts w:ascii="Calibri" w:hAnsi="Calibri"/>
                <w:b w:val="0"/>
                <w:i w:val="0"/>
                <w:color w:val="1A202C"/>
                <w:sz w:val="21"/>
              </w:rPr>
              <w:t>Rejects rows where any mandatory column is null</w:t>
            </w:r>
          </w:p>
        </w:tc>
      </w:tr>
      <w:tr>
        <w:tc>
          <w:tcPr>
            <w:tcW w:type="dxa" w:w="4819"/>
            <w:vAlign w:val="center"/>
          </w:tcPr>
          <w:p>
            <w:r/>
            <w:r>
              <w:rPr>
                <w:rFonts w:ascii="Consolas" w:hAnsi="Consolas"/>
                <w:b w:val="0"/>
                <w:i w:val="0"/>
                <w:color w:val="1A202C"/>
                <w:sz w:val="20"/>
              </w:rPr>
              <w:t>check_referential_integrity(df, fk, valid_values)</w:t>
            </w:r>
          </w:p>
        </w:tc>
        <w:tc>
          <w:tcPr>
            <w:tcW w:type="dxa" w:w="4819"/>
            <w:vAlign w:val="center"/>
          </w:tcPr>
          <w:p>
            <w:r/>
            <w:r>
              <w:rPr>
                <w:rFonts w:ascii="Calibri" w:hAnsi="Calibri"/>
                <w:b w:val="0"/>
                <w:i w:val="0"/>
                <w:color w:val="1A202C"/>
                <w:sz w:val="21"/>
              </w:rPr>
              <w:t>Rejects rows whose FK is not in the known set</w:t>
            </w:r>
          </w:p>
        </w:tc>
      </w:tr>
      <w:tr>
        <w:tc>
          <w:tcPr>
            <w:tcW w:type="dxa" w:w="4819"/>
            <w:shd w:val="clear" w:color="auto" w:fill="F4F6F9"/>
            <w:vAlign w:val="center"/>
          </w:tcPr>
          <w:p>
            <w:r/>
            <w:r>
              <w:rPr>
                <w:rFonts w:ascii="Consolas" w:hAnsi="Consolas"/>
                <w:b w:val="0"/>
                <w:i w:val="0"/>
                <w:color w:val="1A202C"/>
                <w:sz w:val="20"/>
              </w:rPr>
              <w:t>check_value_range(df, column, min_val, max_val)</w:t>
            </w:r>
          </w:p>
        </w:tc>
        <w:tc>
          <w:tcPr>
            <w:tcW w:type="dxa" w:w="4819"/>
            <w:shd w:val="clear" w:color="auto" w:fill="F4F6F9"/>
            <w:vAlign w:val="center"/>
          </w:tcPr>
          <w:p>
            <w:r/>
            <w:r>
              <w:rPr>
                <w:rFonts w:ascii="Calibri" w:hAnsi="Calibri"/>
                <w:b w:val="0"/>
                <w:i w:val="0"/>
                <w:color w:val="1A202C"/>
                <w:sz w:val="21"/>
              </w:rPr>
              <w:t>Numeric / date range validator</w:t>
            </w:r>
          </w:p>
        </w:tc>
      </w:tr>
      <w:tr>
        <w:tc>
          <w:tcPr>
            <w:tcW w:type="dxa" w:w="4819"/>
            <w:vAlign w:val="center"/>
          </w:tcPr>
          <w:p>
            <w:r/>
            <w:r>
              <w:rPr>
                <w:rFonts w:ascii="Consolas" w:hAnsi="Consolas"/>
                <w:b w:val="0"/>
                <w:i w:val="0"/>
                <w:color w:val="1A202C"/>
                <w:sz w:val="20"/>
              </w:rPr>
              <w:t>check_format(df, column, validator)</w:t>
            </w:r>
          </w:p>
        </w:tc>
        <w:tc>
          <w:tcPr>
            <w:tcW w:type="dxa" w:w="4819"/>
            <w:vAlign w:val="center"/>
          </w:tcPr>
          <w:p>
            <w:r/>
            <w:r>
              <w:rPr>
                <w:rFonts w:ascii="Calibri" w:hAnsi="Calibri"/>
                <w:b w:val="0"/>
                <w:i w:val="0"/>
                <w:color w:val="1A202C"/>
                <w:sz w:val="21"/>
              </w:rPr>
              <w:t>Regex or callable validator on a column</w:t>
            </w:r>
          </w:p>
        </w:tc>
      </w:tr>
      <w:tr>
        <w:tc>
          <w:tcPr>
            <w:tcW w:type="dxa" w:w="4819"/>
            <w:shd w:val="clear" w:color="auto" w:fill="F4F6F9"/>
            <w:vAlign w:val="center"/>
          </w:tcPr>
          <w:p>
            <w:r/>
            <w:r>
              <w:rPr>
                <w:rFonts w:ascii="Consolas" w:hAnsi="Consolas"/>
                <w:b w:val="0"/>
                <w:i w:val="0"/>
                <w:color w:val="1A202C"/>
                <w:sz w:val="20"/>
              </w:rPr>
              <w:t>check_value_set(df, column, allowed_values)</w:t>
            </w:r>
          </w:p>
        </w:tc>
        <w:tc>
          <w:tcPr>
            <w:tcW w:type="dxa" w:w="4819"/>
            <w:shd w:val="clear" w:color="auto" w:fill="F4F6F9"/>
            <w:vAlign w:val="center"/>
          </w:tcPr>
          <w:p>
            <w:r/>
            <w:r>
              <w:rPr>
                <w:rFonts w:ascii="Calibri" w:hAnsi="Calibri"/>
                <w:b w:val="0"/>
                <w:i w:val="0"/>
                <w:color w:val="1A202C"/>
                <w:sz w:val="21"/>
              </w:rPr>
              <w:t>Whitelist validator (case-tolerant where needed)</w:t>
            </w:r>
          </w:p>
        </w:tc>
      </w:tr>
    </w:tbl>
    <w:p>
      <w:pPr>
        <w:spacing w:after="80"/>
      </w:pPr>
    </w:p>
    <w:p>
      <w:pPr>
        <w:spacing w:after="120" w:line="300" w:lineRule="auto"/>
      </w:pPr>
      <w:r>
        <w:rPr>
          <w:rFonts w:ascii="Calibri" w:hAnsi="Calibri"/>
          <w:b w:val="0"/>
          <w:i w:val="0"/>
          <w:color w:val="1A202C"/>
          <w:sz w:val="22"/>
        </w:rPr>
        <w:t xml:space="preserve">Every check is invoked through an </w:t>
      </w:r>
      <w:r>
        <w:rPr>
          <w:rFonts w:ascii="Consolas" w:hAnsi="Consolas"/>
          <w:b w:val="0"/>
          <w:i w:val="0"/>
          <w:color w:val="1A202C"/>
          <w:sz w:val="21"/>
        </w:rPr>
        <w:t>apply_check()</w:t>
      </w:r>
      <w:r>
        <w:rPr>
          <w:rFonts w:ascii="Calibri" w:hAnsi="Calibri"/>
          <w:b w:val="0"/>
          <w:i w:val="0"/>
          <w:color w:val="1A202C"/>
          <w:sz w:val="22"/>
        </w:rPr>
        <w:t xml:space="preserve"> wrapper that persists the rejected rows and appends a summary row to </w:t>
      </w:r>
      <w:r>
        <w:rPr>
          <w:rFonts w:ascii="Consolas" w:hAnsi="Consolas"/>
          <w:b w:val="0"/>
          <w:i w:val="0"/>
          <w:color w:val="1A202C"/>
          <w:sz w:val="21"/>
        </w:rPr>
        <w:t>_quarantine_summary.csv</w:t>
      </w:r>
      <w:r>
        <w:rPr>
          <w:rFonts w:ascii="Calibri" w:hAnsi="Calibri"/>
          <w:b w:val="0"/>
          <w:i w:val="0"/>
          <w:color w:val="1A202C"/>
          <w:sz w:val="22"/>
        </w:rPr>
        <w:t>. The same six functions are used across all five datasets so the quality assurance is parameter-driven, not ad-hoc per file. Total rejected: 73,285 rows (3.08%), distributed across the five datasets.</w:t>
      </w:r>
    </w:p>
    <w:p>
      <w:pPr>
        <w:spacing w:before="200" w:after="40"/>
      </w:pPr>
      <w:r>
        <w:rPr>
          <w:rFonts w:ascii="Calibri" w:hAnsi="Calibri"/>
          <w:b/>
          <w:i w:val="0"/>
          <w:color w:val="0E7CBE"/>
          <w:sz w:val="25"/>
        </w:rPr>
        <w:t>POI acquisition (external Gold enrichment)</w:t>
      </w:r>
    </w:p>
    <w:p>
      <w:pPr>
        <w:spacing w:after="120" w:line="300" w:lineRule="auto"/>
      </w:pPr>
      <w:r>
        <w:rPr>
          <w:rFonts w:ascii="Calibri" w:hAnsi="Calibri"/>
          <w:b w:val="0"/>
          <w:i w:val="0"/>
          <w:color w:val="1A202C"/>
          <w:sz w:val="22"/>
        </w:rPr>
        <w:t xml:space="preserve">OpenStreetMap is queried via the Overpass API with one country-bounding-box request per tag, 36 tag combinations in total. Responses are persisted to </w:t>
      </w:r>
      <w:r>
        <w:rPr>
          <w:rFonts w:ascii="Consolas" w:hAnsi="Consolas"/>
          <w:b w:val="0"/>
          <w:i w:val="0"/>
          <w:color w:val="1A202C"/>
          <w:sz w:val="21"/>
        </w:rPr>
        <w:t>data/bronze/poi_raw/*.json</w:t>
      </w:r>
      <w:r>
        <w:rPr>
          <w:rFonts w:ascii="Calibri" w:hAnsi="Calibri"/>
          <w:b w:val="0"/>
          <w:i w:val="0"/>
          <w:color w:val="1A202C"/>
          <w:sz w:val="22"/>
        </w:rPr>
        <w:t xml:space="preserve"> so subsequent runs are network-free. Retry-with-backoff handles the occasional HTTP 429. Total POIs scraped: 43,023.</w:t>
      </w:r>
    </w:p>
    <w:p>
      <w:pPr>
        <w:spacing w:before="200" w:after="40"/>
      </w:pPr>
      <w:r>
        <w:rPr>
          <w:rFonts w:ascii="Calibri" w:hAnsi="Calibri"/>
          <w:b/>
          <w:i w:val="0"/>
          <w:color w:val="0E7CBE"/>
          <w:sz w:val="25"/>
        </w:rPr>
        <w:t>Distance-decay feature engineering</w:t>
      </w:r>
    </w:p>
    <w:p>
      <w:pPr>
        <w:spacing w:after="120" w:line="300" w:lineRule="auto"/>
      </w:pPr>
      <w:r>
        <w:rPr>
          <w:rFonts w:ascii="Calibri" w:hAnsi="Calibri"/>
          <w:b w:val="0"/>
          <w:i w:val="0"/>
          <w:color w:val="1A202C"/>
          <w:sz w:val="22"/>
        </w:rPr>
        <w:t>The 36 POI tags are grouped into 9 semantic categories and translated into per-outlet scores using non-linear distance kernels rather than flat counts:</w:t>
      </w:r>
    </w:p>
    <w:tbl>
      <w:tblPr>
        <w:tblStyle w:val="LightGrid-Accent1"/>
        <w:tblW w:type="auto" w:w="0"/>
        <w:jc w:val="left"/>
        <w:tblLook w:firstColumn="1" w:firstRow="1" w:lastColumn="0" w:lastRow="0" w:noHBand="0" w:noVBand="1" w:val="04A0"/>
      </w:tblPr>
      <w:tblGrid>
        <w:gridCol w:w="2409"/>
        <w:gridCol w:w="2409"/>
        <w:gridCol w:w="2409"/>
        <w:gridCol w:w="2409"/>
      </w:tblGrid>
      <w:tr>
        <w:trPr>
          <w:tblHeader w:val="true"/>
        </w:trPr>
        <w:tc>
          <w:tcPr>
            <w:tcW w:type="dxa" w:w="2409"/>
            <w:shd w:val="clear" w:color="auto" w:fill="0E3F6E"/>
            <w:vAlign w:val="center"/>
          </w:tcPr>
          <w:p>
            <w:r/>
            <w:r>
              <w:rPr>
                <w:rFonts w:ascii="Calibri" w:hAnsi="Calibri"/>
                <w:b/>
                <w:i w:val="0"/>
                <w:color w:val="FFFFFF"/>
                <w:sz w:val="21"/>
              </w:rPr>
              <w:t>Category</w:t>
            </w:r>
          </w:p>
        </w:tc>
        <w:tc>
          <w:tcPr>
            <w:tcW w:type="dxa" w:w="2409"/>
            <w:shd w:val="clear" w:color="auto" w:fill="0E3F6E"/>
            <w:vAlign w:val="center"/>
          </w:tcPr>
          <w:p>
            <w:r/>
            <w:r>
              <w:rPr>
                <w:rFonts w:ascii="Calibri" w:hAnsi="Calibri"/>
                <w:b/>
                <w:i w:val="0"/>
                <w:color w:val="FFFFFF"/>
                <w:sz w:val="21"/>
              </w:rPr>
              <w:t>Kernel</w:t>
            </w:r>
          </w:p>
        </w:tc>
        <w:tc>
          <w:tcPr>
            <w:tcW w:type="dxa" w:w="2409"/>
            <w:shd w:val="clear" w:color="auto" w:fill="0E3F6E"/>
            <w:vAlign w:val="center"/>
          </w:tcPr>
          <w:p>
            <w:r/>
            <w:r>
              <w:rPr>
                <w:rFonts w:ascii="Calibri" w:hAnsi="Calibri"/>
                <w:b/>
                <w:i w:val="0"/>
                <w:color w:val="FFFFFF"/>
                <w:sz w:val="21"/>
              </w:rPr>
              <w:t>σ (Gaussian)</w:t>
            </w:r>
          </w:p>
        </w:tc>
        <w:tc>
          <w:tcPr>
            <w:tcW w:type="dxa" w:w="2409"/>
            <w:shd w:val="clear" w:color="auto" w:fill="0E3F6E"/>
            <w:vAlign w:val="center"/>
          </w:tcPr>
          <w:p>
            <w:r/>
            <w:r>
              <w:rPr>
                <w:rFonts w:ascii="Calibri" w:hAnsi="Calibri"/>
                <w:b/>
                <w:i w:val="0"/>
                <w:color w:val="FFFFFF"/>
                <w:sz w:val="21"/>
              </w:rPr>
              <w:t>Search radius</w:t>
            </w:r>
          </w:p>
        </w:tc>
      </w:tr>
      <w:tr>
        <w:tc>
          <w:tcPr>
            <w:tcW w:type="dxa" w:w="2409"/>
            <w:vAlign w:val="center"/>
          </w:tcPr>
          <w:p>
            <w:r/>
            <w:r>
              <w:rPr>
                <w:rFonts w:ascii="Calibri" w:hAnsi="Calibri"/>
                <w:b w:val="0"/>
                <w:i w:val="0"/>
                <w:color w:val="1A202C"/>
                <w:sz w:val="21"/>
              </w:rPr>
              <w:t>Footfall (bus stop, fuel, bank, taxi, station)</w:t>
            </w:r>
          </w:p>
        </w:tc>
        <w:tc>
          <w:tcPr>
            <w:tcW w:type="dxa" w:w="2409"/>
            <w:vAlign w:val="center"/>
          </w:tcPr>
          <w:p>
            <w:r/>
            <w:r>
              <w:rPr>
                <w:rFonts w:ascii="Calibri" w:hAnsi="Calibri"/>
                <w:b w:val="0"/>
                <w:i w:val="0"/>
                <w:color w:val="1A202C"/>
                <w:sz w:val="21"/>
              </w:rPr>
              <w:t>Gaussian</w:t>
            </w:r>
          </w:p>
        </w:tc>
        <w:tc>
          <w:tcPr>
            <w:tcW w:type="dxa" w:w="2409"/>
            <w:vAlign w:val="center"/>
          </w:tcPr>
          <w:p>
            <w:r/>
            <w:r>
              <w:rPr>
                <w:rFonts w:ascii="Calibri" w:hAnsi="Calibri"/>
                <w:b w:val="0"/>
                <w:i w:val="0"/>
                <w:color w:val="1A202C"/>
                <w:sz w:val="21"/>
              </w:rPr>
              <w:t>150 m</w:t>
            </w:r>
          </w:p>
        </w:tc>
        <w:tc>
          <w:tcPr>
            <w:tcW w:type="dxa" w:w="2409"/>
            <w:vAlign w:val="center"/>
          </w:tcPr>
          <w:p>
            <w:r/>
            <w:r>
              <w:rPr>
                <w:rFonts w:ascii="Calibri" w:hAnsi="Calibri"/>
                <w:b w:val="0"/>
                <w:i w:val="0"/>
                <w:color w:val="1A202C"/>
                <w:sz w:val="21"/>
              </w:rPr>
              <w:t>500 m</w:t>
            </w:r>
          </w:p>
        </w:tc>
      </w:tr>
      <w:tr>
        <w:tc>
          <w:tcPr>
            <w:tcW w:type="dxa" w:w="2409"/>
            <w:shd w:val="clear" w:color="auto" w:fill="F4F6F9"/>
            <w:vAlign w:val="center"/>
          </w:tcPr>
          <w:p>
            <w:r/>
            <w:r>
              <w:rPr>
                <w:rFonts w:ascii="Calibri" w:hAnsi="Calibri"/>
                <w:b w:val="0"/>
                <w:i w:val="0"/>
                <w:color w:val="1A202C"/>
                <w:sz w:val="21"/>
              </w:rPr>
              <w:t>School (school, university, college, kindergarten)</w:t>
            </w:r>
          </w:p>
        </w:tc>
        <w:tc>
          <w:tcPr>
            <w:tcW w:type="dxa" w:w="2409"/>
            <w:shd w:val="clear" w:color="auto" w:fill="F4F6F9"/>
            <w:vAlign w:val="center"/>
          </w:tcPr>
          <w:p>
            <w:r/>
            <w:r>
              <w:rPr>
                <w:rFonts w:ascii="Calibri" w:hAnsi="Calibri"/>
                <w:b w:val="0"/>
                <w:i w:val="0"/>
                <w:color w:val="1A202C"/>
                <w:sz w:val="21"/>
              </w:rPr>
              <w:t>Gaussian</w:t>
            </w:r>
          </w:p>
        </w:tc>
        <w:tc>
          <w:tcPr>
            <w:tcW w:type="dxa" w:w="2409"/>
            <w:shd w:val="clear" w:color="auto" w:fill="F4F6F9"/>
            <w:vAlign w:val="center"/>
          </w:tcPr>
          <w:p>
            <w:r/>
            <w:r>
              <w:rPr>
                <w:rFonts w:ascii="Calibri" w:hAnsi="Calibri"/>
                <w:b w:val="0"/>
                <w:i w:val="0"/>
                <w:color w:val="1A202C"/>
                <w:sz w:val="21"/>
              </w:rPr>
              <w:t>400 m</w:t>
            </w:r>
          </w:p>
        </w:tc>
        <w:tc>
          <w:tcPr>
            <w:tcW w:type="dxa" w:w="2409"/>
            <w:shd w:val="clear" w:color="auto" w:fill="F4F6F9"/>
            <w:vAlign w:val="center"/>
          </w:tcPr>
          <w:p>
            <w:r/>
            <w:r>
              <w:rPr>
                <w:rFonts w:ascii="Calibri" w:hAnsi="Calibri"/>
                <w:b w:val="0"/>
                <w:i w:val="0"/>
                <w:color w:val="1A202C"/>
                <w:sz w:val="21"/>
              </w:rPr>
              <w:t>1 km</w:t>
            </w:r>
          </w:p>
        </w:tc>
      </w:tr>
      <w:tr>
        <w:tc>
          <w:tcPr>
            <w:tcW w:type="dxa" w:w="2409"/>
            <w:vAlign w:val="center"/>
          </w:tcPr>
          <w:p>
            <w:r/>
            <w:r>
              <w:rPr>
                <w:rFonts w:ascii="Calibri" w:hAnsi="Calibri"/>
                <w:b w:val="0"/>
                <w:i w:val="0"/>
                <w:color w:val="1A202C"/>
                <w:sz w:val="21"/>
              </w:rPr>
              <w:t>Tourist (hotel, attraction, beach, viewpoint)</w:t>
            </w:r>
          </w:p>
        </w:tc>
        <w:tc>
          <w:tcPr>
            <w:tcW w:type="dxa" w:w="2409"/>
            <w:vAlign w:val="center"/>
          </w:tcPr>
          <w:p>
            <w:r/>
            <w:r>
              <w:rPr>
                <w:rFonts w:ascii="Calibri" w:hAnsi="Calibri"/>
                <w:b w:val="0"/>
                <w:i w:val="0"/>
                <w:color w:val="1A202C"/>
                <w:sz w:val="21"/>
              </w:rPr>
              <w:t>Gaussian</w:t>
            </w:r>
          </w:p>
        </w:tc>
        <w:tc>
          <w:tcPr>
            <w:tcW w:type="dxa" w:w="2409"/>
            <w:vAlign w:val="center"/>
          </w:tcPr>
          <w:p>
            <w:r/>
            <w:r>
              <w:rPr>
                <w:rFonts w:ascii="Calibri" w:hAnsi="Calibri"/>
                <w:b w:val="0"/>
                <w:i w:val="0"/>
                <w:color w:val="1A202C"/>
                <w:sz w:val="21"/>
              </w:rPr>
              <w:t>1000 m</w:t>
            </w:r>
          </w:p>
        </w:tc>
        <w:tc>
          <w:tcPr>
            <w:tcW w:type="dxa" w:w="2409"/>
            <w:vAlign w:val="center"/>
          </w:tcPr>
          <w:p>
            <w:r/>
            <w:r>
              <w:rPr>
                <w:rFonts w:ascii="Calibri" w:hAnsi="Calibri"/>
                <w:b w:val="0"/>
                <w:i w:val="0"/>
                <w:color w:val="1A202C"/>
                <w:sz w:val="21"/>
              </w:rPr>
              <w:t>2 km</w:t>
            </w:r>
          </w:p>
        </w:tc>
      </w:tr>
      <w:tr>
        <w:tc>
          <w:tcPr>
            <w:tcW w:type="dxa" w:w="2409"/>
            <w:shd w:val="clear" w:color="auto" w:fill="F4F6F9"/>
            <w:vAlign w:val="center"/>
          </w:tcPr>
          <w:p>
            <w:r/>
            <w:r>
              <w:rPr>
                <w:rFonts w:ascii="Calibri" w:hAnsi="Calibri"/>
                <w:b w:val="0"/>
                <w:i w:val="0"/>
                <w:color w:val="1A202C"/>
                <w:sz w:val="21"/>
              </w:rPr>
              <w:t>Health (hospital, clinic, pharmacy)</w:t>
            </w:r>
          </w:p>
        </w:tc>
        <w:tc>
          <w:tcPr>
            <w:tcW w:type="dxa" w:w="2409"/>
            <w:shd w:val="clear" w:color="auto" w:fill="F4F6F9"/>
            <w:vAlign w:val="center"/>
          </w:tcPr>
          <w:p>
            <w:r/>
            <w:r>
              <w:rPr>
                <w:rFonts w:ascii="Calibri" w:hAnsi="Calibri"/>
                <w:b w:val="0"/>
                <w:i w:val="0"/>
                <w:color w:val="1A202C"/>
                <w:sz w:val="21"/>
              </w:rPr>
              <w:t>Gaussian</w:t>
            </w:r>
          </w:p>
        </w:tc>
        <w:tc>
          <w:tcPr>
            <w:tcW w:type="dxa" w:w="2409"/>
            <w:shd w:val="clear" w:color="auto" w:fill="F4F6F9"/>
            <w:vAlign w:val="center"/>
          </w:tcPr>
          <w:p>
            <w:r/>
            <w:r>
              <w:rPr>
                <w:rFonts w:ascii="Calibri" w:hAnsi="Calibri"/>
                <w:b w:val="0"/>
                <w:i w:val="0"/>
                <w:color w:val="1A202C"/>
                <w:sz w:val="21"/>
              </w:rPr>
              <w:t>400 m</w:t>
            </w:r>
          </w:p>
        </w:tc>
        <w:tc>
          <w:tcPr>
            <w:tcW w:type="dxa" w:w="2409"/>
            <w:shd w:val="clear" w:color="auto" w:fill="F4F6F9"/>
            <w:vAlign w:val="center"/>
          </w:tcPr>
          <w:p>
            <w:r/>
            <w:r>
              <w:rPr>
                <w:rFonts w:ascii="Calibri" w:hAnsi="Calibri"/>
                <w:b w:val="0"/>
                <w:i w:val="0"/>
                <w:color w:val="1A202C"/>
                <w:sz w:val="21"/>
              </w:rPr>
              <w:t>1 km</w:t>
            </w:r>
          </w:p>
        </w:tc>
      </w:tr>
      <w:tr>
        <w:tc>
          <w:tcPr>
            <w:tcW w:type="dxa" w:w="2409"/>
            <w:vAlign w:val="center"/>
          </w:tcPr>
          <w:p>
            <w:r/>
            <w:r>
              <w:rPr>
                <w:rFonts w:ascii="Calibri" w:hAnsi="Calibri"/>
                <w:b w:val="0"/>
                <w:i w:val="0"/>
                <w:color w:val="1A202C"/>
                <w:sz w:val="21"/>
              </w:rPr>
              <w:t>Worship (place_of_worship, temple)</w:t>
            </w:r>
          </w:p>
        </w:tc>
        <w:tc>
          <w:tcPr>
            <w:tcW w:type="dxa" w:w="2409"/>
            <w:vAlign w:val="center"/>
          </w:tcPr>
          <w:p>
            <w:r/>
            <w:r>
              <w:rPr>
                <w:rFonts w:ascii="Calibri" w:hAnsi="Calibri"/>
                <w:b w:val="0"/>
                <w:i w:val="0"/>
                <w:color w:val="1A202C"/>
                <w:sz w:val="21"/>
              </w:rPr>
              <w:t>Gaussian</w:t>
            </w:r>
          </w:p>
        </w:tc>
        <w:tc>
          <w:tcPr>
            <w:tcW w:type="dxa" w:w="2409"/>
            <w:vAlign w:val="center"/>
          </w:tcPr>
          <w:p>
            <w:r/>
            <w:r>
              <w:rPr>
                <w:rFonts w:ascii="Calibri" w:hAnsi="Calibri"/>
                <w:b w:val="0"/>
                <w:i w:val="0"/>
                <w:color w:val="1A202C"/>
                <w:sz w:val="21"/>
              </w:rPr>
              <w:t>300 m</w:t>
            </w:r>
          </w:p>
        </w:tc>
        <w:tc>
          <w:tcPr>
            <w:tcW w:type="dxa" w:w="2409"/>
            <w:vAlign w:val="center"/>
          </w:tcPr>
          <w:p>
            <w:r/>
            <w:r>
              <w:rPr>
                <w:rFonts w:ascii="Calibri" w:hAnsi="Calibri"/>
                <w:b w:val="0"/>
                <w:i w:val="0"/>
                <w:color w:val="1A202C"/>
                <w:sz w:val="21"/>
              </w:rPr>
              <w:t>1 km</w:t>
            </w:r>
          </w:p>
        </w:tc>
      </w:tr>
      <w:tr>
        <w:tc>
          <w:tcPr>
            <w:tcW w:type="dxa" w:w="2409"/>
            <w:shd w:val="clear" w:color="auto" w:fill="F4F6F9"/>
            <w:vAlign w:val="center"/>
          </w:tcPr>
          <w:p>
            <w:r/>
            <w:r>
              <w:rPr>
                <w:rFonts w:ascii="Calibri" w:hAnsi="Calibri"/>
                <w:b w:val="0"/>
                <w:i w:val="0"/>
                <w:color w:val="1A202C"/>
                <w:sz w:val="21"/>
              </w:rPr>
              <w:t>Food service (restaurant, cafe, fast_food, ice_cream)</w:t>
            </w:r>
          </w:p>
        </w:tc>
        <w:tc>
          <w:tcPr>
            <w:tcW w:type="dxa" w:w="2409"/>
            <w:shd w:val="clear" w:color="auto" w:fill="F4F6F9"/>
            <w:vAlign w:val="center"/>
          </w:tcPr>
          <w:p>
            <w:r/>
            <w:r>
              <w:rPr>
                <w:rFonts w:ascii="Calibri" w:hAnsi="Calibri"/>
                <w:b w:val="0"/>
                <w:i w:val="0"/>
                <w:color w:val="1A202C"/>
                <w:sz w:val="21"/>
              </w:rPr>
              <w:t>Gaussian</w:t>
            </w:r>
          </w:p>
        </w:tc>
        <w:tc>
          <w:tcPr>
            <w:tcW w:type="dxa" w:w="2409"/>
            <w:shd w:val="clear" w:color="auto" w:fill="F4F6F9"/>
            <w:vAlign w:val="center"/>
          </w:tcPr>
          <w:p>
            <w:r/>
            <w:r>
              <w:rPr>
                <w:rFonts w:ascii="Calibri" w:hAnsi="Calibri"/>
                <w:b w:val="0"/>
                <w:i w:val="0"/>
                <w:color w:val="1A202C"/>
                <w:sz w:val="21"/>
              </w:rPr>
              <w:t>150 m</w:t>
            </w:r>
          </w:p>
        </w:tc>
        <w:tc>
          <w:tcPr>
            <w:tcW w:type="dxa" w:w="2409"/>
            <w:shd w:val="clear" w:color="auto" w:fill="F4F6F9"/>
            <w:vAlign w:val="center"/>
          </w:tcPr>
          <w:p>
            <w:r/>
            <w:r>
              <w:rPr>
                <w:rFonts w:ascii="Calibri" w:hAnsi="Calibri"/>
                <w:b w:val="0"/>
                <w:i w:val="0"/>
                <w:color w:val="1A202C"/>
                <w:sz w:val="21"/>
              </w:rPr>
              <w:t>300 m</w:t>
            </w:r>
          </w:p>
        </w:tc>
      </w:tr>
      <w:tr>
        <w:tc>
          <w:tcPr>
            <w:tcW w:type="dxa" w:w="2409"/>
            <w:vAlign w:val="center"/>
          </w:tcPr>
          <w:p>
            <w:r/>
            <w:r>
              <w:rPr>
                <w:rFonts w:ascii="Calibri" w:hAnsi="Calibri"/>
                <w:b w:val="0"/>
                <w:i w:val="0"/>
                <w:color w:val="1A202C"/>
                <w:sz w:val="21"/>
              </w:rPr>
              <w:t>Leisure &amp; rec (park, fitness, stadium)</w:t>
            </w:r>
          </w:p>
        </w:tc>
        <w:tc>
          <w:tcPr>
            <w:tcW w:type="dxa" w:w="2409"/>
            <w:vAlign w:val="center"/>
          </w:tcPr>
          <w:p>
            <w:r/>
            <w:r>
              <w:rPr>
                <w:rFonts w:ascii="Calibri" w:hAnsi="Calibri"/>
                <w:b w:val="0"/>
                <w:i w:val="0"/>
                <w:color w:val="1A202C"/>
                <w:sz w:val="21"/>
              </w:rPr>
              <w:t>Gaussian</w:t>
            </w:r>
          </w:p>
        </w:tc>
        <w:tc>
          <w:tcPr>
            <w:tcW w:type="dxa" w:w="2409"/>
            <w:vAlign w:val="center"/>
          </w:tcPr>
          <w:p>
            <w:r/>
            <w:r>
              <w:rPr>
                <w:rFonts w:ascii="Calibri" w:hAnsi="Calibri"/>
                <w:b w:val="0"/>
                <w:i w:val="0"/>
                <w:color w:val="1A202C"/>
                <w:sz w:val="21"/>
              </w:rPr>
              <w:t>500 m</w:t>
            </w:r>
          </w:p>
        </w:tc>
        <w:tc>
          <w:tcPr>
            <w:tcW w:type="dxa" w:w="2409"/>
            <w:vAlign w:val="center"/>
          </w:tcPr>
          <w:p>
            <w:r/>
            <w:r>
              <w:rPr>
                <w:rFonts w:ascii="Calibri" w:hAnsi="Calibri"/>
                <w:b w:val="0"/>
                <w:i w:val="0"/>
                <w:color w:val="1A202C"/>
                <w:sz w:val="21"/>
              </w:rPr>
              <w:t>1.5 km</w:t>
            </w:r>
          </w:p>
        </w:tc>
      </w:tr>
      <w:tr>
        <w:tc>
          <w:tcPr>
            <w:tcW w:type="dxa" w:w="2409"/>
            <w:shd w:val="clear" w:color="auto" w:fill="F4F6F9"/>
            <w:vAlign w:val="center"/>
          </w:tcPr>
          <w:p>
            <w:r/>
            <w:r>
              <w:rPr>
                <w:rFonts w:ascii="Calibri" w:hAnsi="Calibri"/>
                <w:b w:val="0"/>
                <w:i w:val="0"/>
                <w:color w:val="1A202C"/>
                <w:sz w:val="21"/>
              </w:rPr>
              <w:t>Population (landuse=residential)</w:t>
            </w:r>
          </w:p>
        </w:tc>
        <w:tc>
          <w:tcPr>
            <w:tcW w:type="dxa" w:w="2409"/>
            <w:shd w:val="clear" w:color="auto" w:fill="F4F6F9"/>
            <w:vAlign w:val="center"/>
          </w:tcPr>
          <w:p>
            <w:r/>
            <w:r>
              <w:rPr>
                <w:rFonts w:ascii="Calibri" w:hAnsi="Calibri"/>
                <w:b w:val="0"/>
                <w:i w:val="0"/>
                <w:color w:val="1A202C"/>
                <w:sz w:val="21"/>
              </w:rPr>
              <w:t>Gaussian</w:t>
            </w:r>
          </w:p>
        </w:tc>
        <w:tc>
          <w:tcPr>
            <w:tcW w:type="dxa" w:w="2409"/>
            <w:shd w:val="clear" w:color="auto" w:fill="F4F6F9"/>
            <w:vAlign w:val="center"/>
          </w:tcPr>
          <w:p>
            <w:r/>
            <w:r>
              <w:rPr>
                <w:rFonts w:ascii="Calibri" w:hAnsi="Calibri"/>
                <w:b w:val="0"/>
                <w:i w:val="0"/>
                <w:color w:val="1A202C"/>
                <w:sz w:val="21"/>
              </w:rPr>
              <w:t>600 m</w:t>
            </w:r>
          </w:p>
        </w:tc>
        <w:tc>
          <w:tcPr>
            <w:tcW w:type="dxa" w:w="2409"/>
            <w:shd w:val="clear" w:color="auto" w:fill="F4F6F9"/>
            <w:vAlign w:val="center"/>
          </w:tcPr>
          <w:p>
            <w:r/>
            <w:r>
              <w:rPr>
                <w:rFonts w:ascii="Calibri" w:hAnsi="Calibri"/>
                <w:b w:val="0"/>
                <w:i w:val="0"/>
                <w:color w:val="1A202C"/>
                <w:sz w:val="21"/>
              </w:rPr>
              <w:t>1.5 km</w:t>
            </w:r>
          </w:p>
        </w:tc>
      </w:tr>
      <w:tr>
        <w:tc>
          <w:tcPr>
            <w:tcW w:type="dxa" w:w="2409"/>
            <w:vAlign w:val="center"/>
          </w:tcPr>
          <w:p>
            <w:r/>
            <w:r>
              <w:rPr>
                <w:rFonts w:ascii="Calibri" w:hAnsi="Calibri"/>
                <w:b w:val="0"/>
                <w:i w:val="0"/>
                <w:color w:val="1A202C"/>
                <w:sz w:val="21"/>
              </w:rPr>
              <w:t>Competitor POI (supermarket, convenience, alcohol)</w:t>
            </w:r>
          </w:p>
        </w:tc>
        <w:tc>
          <w:tcPr>
            <w:tcW w:type="dxa" w:w="2409"/>
            <w:vAlign w:val="center"/>
          </w:tcPr>
          <w:p>
            <w:r/>
            <w:r>
              <w:rPr>
                <w:rFonts w:ascii="Calibri" w:hAnsi="Calibri"/>
                <w:b w:val="0"/>
                <w:i w:val="0"/>
                <w:color w:val="1A202C"/>
                <w:sz w:val="21"/>
              </w:rPr>
              <w:t>Gravity</w:t>
            </w:r>
          </w:p>
        </w:tc>
        <w:tc>
          <w:tcPr>
            <w:tcW w:type="dxa" w:w="2409"/>
            <w:vAlign w:val="center"/>
          </w:tcPr>
          <w:p>
            <w:r/>
            <w:r>
              <w:rPr>
                <w:rFonts w:ascii="Calibri" w:hAnsi="Calibri"/>
                <w:b w:val="0"/>
                <w:i w:val="0"/>
                <w:color w:val="1A202C"/>
                <w:sz w:val="21"/>
              </w:rPr>
              <w:t>—</w:t>
            </w:r>
          </w:p>
        </w:tc>
        <w:tc>
          <w:tcPr>
            <w:tcW w:type="dxa" w:w="2409"/>
            <w:vAlign w:val="center"/>
          </w:tcPr>
          <w:p>
            <w:r/>
            <w:r>
              <w:rPr>
                <w:rFonts w:ascii="Calibri" w:hAnsi="Calibri"/>
                <w:b w:val="0"/>
                <w:i w:val="0"/>
                <w:color w:val="1A202C"/>
                <w:sz w:val="21"/>
              </w:rPr>
              <w:t>800 m</w:t>
            </w:r>
          </w:p>
        </w:tc>
      </w:tr>
    </w:tbl>
    <w:p>
      <w:pPr>
        <w:spacing w:after="80"/>
      </w:pPr>
    </w:p>
    <w:p>
      <w:pPr>
        <w:spacing w:after="120" w:line="300" w:lineRule="auto"/>
      </w:pPr>
      <w:r>
        <w:rPr>
          <w:rFonts w:ascii="Calibri" w:hAnsi="Calibri"/>
          <w:b w:val="0"/>
          <w:i w:val="0"/>
          <w:color w:val="1A202C"/>
          <w:sz w:val="22"/>
        </w:rPr>
        <w:t xml:space="preserve">A composite </w:t>
      </w:r>
      <w:r>
        <w:rPr>
          <w:rFonts w:ascii="Consolas" w:hAnsi="Consolas"/>
          <w:b w:val="0"/>
          <w:i w:val="0"/>
          <w:color w:val="1A202C"/>
          <w:sz w:val="21"/>
        </w:rPr>
        <w:t>spatial_demand_score</w:t>
      </w:r>
      <w:r>
        <w:rPr>
          <w:rFonts w:ascii="Calibri" w:hAnsi="Calibri"/>
          <w:b w:val="0"/>
          <w:i w:val="0"/>
          <w:color w:val="1A202C"/>
          <w:sz w:val="22"/>
        </w:rPr>
        <w:t xml:space="preserve"> aggregates the nine normalised category scores with category-specific weights derived from FMCG-domain reasoning (food service 3.0, footfall 3.0, population 2.5, tourist 2.5, …).</w:t>
      </w:r>
    </w:p>
    <w:p>
      <w:pPr>
        <w:spacing w:before="200" w:after="40"/>
      </w:pPr>
      <w:r>
        <w:rPr>
          <w:rFonts w:ascii="Calibri" w:hAnsi="Calibri"/>
          <w:b/>
          <w:i w:val="0"/>
          <w:color w:val="0E7CBE"/>
          <w:sz w:val="25"/>
        </w:rPr>
        <w:t>Non-linear competition features</w:t>
      </w:r>
    </w:p>
    <w:p>
      <w:pPr>
        <w:spacing w:after="120" w:line="300" w:lineRule="auto"/>
      </w:pPr>
      <w:r>
        <w:rPr>
          <w:rFonts w:ascii="Calibri" w:hAnsi="Calibri"/>
          <w:b w:val="0"/>
          <w:i w:val="0"/>
          <w:color w:val="1A202C"/>
          <w:sz w:val="22"/>
        </w:rPr>
        <w:t>Beyond raw counts (</w:t>
      </w:r>
      <w:r>
        <w:rPr>
          <w:rFonts w:ascii="Consolas" w:hAnsi="Consolas"/>
          <w:b w:val="0"/>
          <w:i w:val="0"/>
          <w:color w:val="1A202C"/>
          <w:sz w:val="21"/>
        </w:rPr>
        <w:t>competitors_500m / 1km / 2km</w:t>
      </w:r>
      <w:r>
        <w:rPr>
          <w:rFonts w:ascii="Calibri" w:hAnsi="Calibri"/>
          <w:b w:val="0"/>
          <w:i w:val="0"/>
          <w:color w:val="1A202C"/>
          <w:sz w:val="22"/>
        </w:rPr>
        <w:t xml:space="preserve"> and same-type subsets), the team added three non-linear market-structure measures (in </w:t>
      </w:r>
      <w:r>
        <w:rPr>
          <w:rFonts w:ascii="Consolas" w:hAnsi="Consolas"/>
          <w:b w:val="0"/>
          <w:i w:val="0"/>
          <w:color w:val="1A202C"/>
          <w:sz w:val="21"/>
        </w:rPr>
        <w:t>src/competition_features.py</w:t>
      </w:r>
      <w:r>
        <w:rPr>
          <w:rFonts w:ascii="Calibri" w:hAnsi="Calibri"/>
          <w:b w:val="0"/>
          <w:i w:val="0"/>
          <w:color w:val="1A202C"/>
          <w:sz w:val="22"/>
        </w:rPr>
        <w:t>):</w:t>
      </w:r>
    </w:p>
    <w:p>
      <w:pPr>
        <w:pStyle w:val="ListBullet"/>
        <w:spacing w:after="40" w:line="288" w:lineRule="auto"/>
      </w:pPr>
      <w:r>
        <w:rPr>
          <w:rFonts w:ascii="Calibri" w:hAnsi="Calibri"/>
          <w:b/>
          <w:i w:val="0"/>
          <w:color w:val="1A202C"/>
          <w:sz w:val="22"/>
        </w:rPr>
        <w:t>HHI (Herfindahl-Hirschman Index)</w:t>
      </w:r>
      <w:r>
        <w:rPr>
          <w:rFonts w:ascii="Calibri" w:hAnsi="Calibri"/>
          <w:b w:val="0"/>
          <w:i w:val="0"/>
          <w:color w:val="1A202C"/>
          <w:sz w:val="22"/>
        </w:rPr>
        <w:t xml:space="preserve"> over a 1.5 km neighbourhood, using </w:t>
      </w:r>
      <w:r>
        <w:rPr>
          <w:rFonts w:ascii="Consolas" w:hAnsi="Consolas"/>
          <w:b w:val="0"/>
          <w:i w:val="0"/>
          <w:color w:val="1A202C"/>
          <w:sz w:val="21"/>
        </w:rPr>
        <w:t>monthly_volume_mean</w:t>
      </w:r>
      <w:r>
        <w:rPr>
          <w:rFonts w:ascii="Calibri" w:hAnsi="Calibri"/>
          <w:b w:val="0"/>
          <w:i w:val="0"/>
          <w:color w:val="1A202C"/>
          <w:sz w:val="22"/>
        </w:rPr>
        <w:t xml:space="preserve"> as the share proxy. Reported on the standard 0-10,000 scale. Western HHI ≈ 1,101 (fragmented), North-Western ≈ 4,319 (concentrated).</w:t>
      </w:r>
    </w:p>
    <w:p>
      <w:pPr>
        <w:pStyle w:val="ListBullet"/>
        <w:spacing w:after="40" w:line="288" w:lineRule="auto"/>
      </w:pPr>
      <w:r>
        <w:rPr>
          <w:rFonts w:ascii="Calibri" w:hAnsi="Calibri"/>
          <w:b/>
          <w:i w:val="0"/>
          <w:color w:val="1A202C"/>
          <w:sz w:val="22"/>
        </w:rPr>
        <w:t>Voronoi-style territory radius</w:t>
      </w:r>
      <w:r>
        <w:rPr>
          <w:rFonts w:ascii="Calibri" w:hAnsi="Calibri"/>
          <w:b w:val="0"/>
          <w:i w:val="0"/>
          <w:color w:val="1A202C"/>
          <w:sz w:val="22"/>
        </w:rPr>
        <w:t>: mean distance to the five nearest neighbour outlets, a proxy for how much "ground" an outlet effectively owns.</w:t>
      </w:r>
    </w:p>
    <w:p>
      <w:pPr>
        <w:pStyle w:val="ListBullet"/>
        <w:spacing w:after="40" w:line="288" w:lineRule="auto"/>
      </w:pPr>
      <w:r>
        <w:rPr>
          <w:rFonts w:ascii="Calibri" w:hAnsi="Calibri"/>
          <w:b/>
          <w:i w:val="0"/>
          <w:color w:val="1A202C"/>
          <w:sz w:val="22"/>
        </w:rPr>
        <w:t>Type-weighted competition pressure</w:t>
      </w:r>
      <w:r>
        <w:rPr>
          <w:rFonts w:ascii="Calibri" w:hAnsi="Calibri"/>
          <w:b w:val="0"/>
          <w:i w:val="0"/>
          <w:color w:val="1A202C"/>
          <w:sz w:val="22"/>
        </w:rPr>
        <w:t>: sum over nearby competitors of a type-similarity weight (Grocery × Grocery = 1.0, Grocery × Pharmacy = 0.3, …), so a clustered same-type market hurts more than a mixed-type one.</w:t>
      </w:r>
    </w:p>
    <w:p>
      <w:pPr>
        <w:spacing w:before="200" w:after="40"/>
      </w:pPr>
      <w:r>
        <w:rPr>
          <w:rFonts w:ascii="Calibri" w:hAnsi="Calibri"/>
          <w:b/>
          <w:i w:val="0"/>
          <w:color w:val="0E7CBE"/>
          <w:sz w:val="25"/>
        </w:rPr>
        <w:t>Replenishment-friction signal</w:t>
      </w:r>
    </w:p>
    <w:p>
      <w:pPr>
        <w:spacing w:after="120" w:line="300" w:lineRule="auto"/>
      </w:pPr>
      <w:r>
        <w:rPr>
          <w:rFonts w:ascii="Consolas" w:hAnsi="Consolas"/>
          <w:b w:val="0"/>
          <w:i w:val="0"/>
          <w:color w:val="1A202C"/>
          <w:sz w:val="21"/>
        </w:rPr>
        <w:t>replenishment_friction = stockout_flag_sum / active_months</w:t>
      </w:r>
      <w:r>
        <w:rPr>
          <w:rFonts w:ascii="Calibri" w:hAnsi="Calibri"/>
          <w:b w:val="0"/>
          <w:i w:val="0"/>
          <w:color w:val="1A202C"/>
          <w:sz w:val="22"/>
        </w:rPr>
        <w:t xml:space="preserve"> (clipped to 0-1) is the team's representation of the cooler-replenishment-cycle constraint named in the brief. High values mean the delivery / refill cycle is failing the outlet even when nominal cooler capacity exists. Top-quartile outlets are flagged with </w:t>
      </w:r>
      <w:r>
        <w:rPr>
          <w:rFonts w:ascii="Consolas" w:hAnsi="Consolas"/>
          <w:b w:val="0"/>
          <w:i w:val="0"/>
          <w:color w:val="1A202C"/>
          <w:sz w:val="21"/>
        </w:rPr>
        <w:t>high_friction_flag</w:t>
      </w:r>
      <w:r>
        <w:rPr>
          <w:rFonts w:ascii="Calibri" w:hAnsi="Calibri"/>
          <w:b w:val="0"/>
          <w:i w:val="0"/>
          <w:color w:val="1A202C"/>
          <w:sz w:val="22"/>
        </w:rPr>
        <w:t>. Network mean ≈ 0.198, ≈ 5,050 outlets in the high-friction band.</w:t>
      </w:r>
    </w:p>
    <w:p>
      <w:pPr>
        <w:spacing w:before="200" w:after="40"/>
      </w:pPr>
      <w:r>
        <w:rPr>
          <w:rFonts w:ascii="Calibri" w:hAnsi="Calibri"/>
          <w:b/>
          <w:i w:val="0"/>
          <w:color w:val="0E7CBE"/>
          <w:sz w:val="25"/>
        </w:rPr>
        <w:t>Feature inventory (229 columns)</w:t>
      </w:r>
    </w:p>
    <w:p>
      <w:pPr>
        <w:spacing w:after="120" w:line="300" w:lineRule="auto"/>
      </w:pPr>
      <w:r>
        <w:rPr>
          <w:rFonts w:ascii="Calibri" w:hAnsi="Calibri"/>
          <w:b w:val="0"/>
          <w:i w:val="0"/>
          <w:color w:val="1A202C"/>
          <w:sz w:val="22"/>
        </w:rPr>
        <w:t xml:space="preserve">The full feature frame at </w:t>
      </w:r>
      <w:r>
        <w:rPr>
          <w:rFonts w:ascii="Consolas" w:hAnsi="Consolas"/>
          <w:b w:val="0"/>
          <w:i w:val="0"/>
          <w:color w:val="1A202C"/>
          <w:sz w:val="21"/>
        </w:rPr>
        <w:t>data/gold/outlet_features.parquet</w:t>
      </w:r>
      <w:r>
        <w:rPr>
          <w:rFonts w:ascii="Calibri" w:hAnsi="Calibri"/>
          <w:b w:val="0"/>
          <w:i w:val="0"/>
          <w:color w:val="1A202C"/>
          <w:sz w:val="22"/>
        </w:rPr>
        <w:t xml:space="preserve"> covers: volume statistics, activity &amp; censoring signals, January-specific stats, master attributes, SKU mix (mass / mid / premium / super_premium share), competitor density, 9-category POI scores plus flat counts, composite spatial signal, market structure (HHI / territory / type pressure), province climate, geographic coordinates, replenishment friction. Every column is consumed downstream by the modelling, budget LP, or business-decision modules.</w:t>
      </w:r>
    </w:p>
    <w:p>
      <w:pPr>
        <w:pBdr>
          <w:bottom w:val="single" w:sz="6" w:space="1" w:color="B8C2CC"/>
        </w:pBdr>
      </w:pPr>
    </w:p>
    <w:p>
      <w:pPr>
        <w:spacing w:before="280" w:after="80"/>
        <w:pBdr>
          <w:bottom w:val="single" w:sz="8" w:space="2" w:color="0E7CBE"/>
        </w:pBdr>
      </w:pPr>
      <w:r>
        <w:rPr>
          <w:rFonts w:ascii="Calibri" w:hAnsi="Calibri"/>
          <w:b/>
          <w:i w:val="0"/>
          <w:color w:val="0E3F6E"/>
          <w:sz w:val="30"/>
        </w:rPr>
        <w:t>b. Data Cleaning</w:t>
      </w:r>
    </w:p>
    <w:p>
      <w:pPr>
        <w:spacing w:before="200" w:after="40"/>
      </w:pPr>
      <w:r>
        <w:rPr>
          <w:rFonts w:ascii="Calibri" w:hAnsi="Calibri"/>
          <w:b/>
          <w:i w:val="0"/>
          <w:color w:val="0E7CBE"/>
          <w:sz w:val="25"/>
        </w:rPr>
        <w:t>Initial assessment</w:t>
      </w:r>
    </w:p>
    <w:p>
      <w:pPr>
        <w:spacing w:after="120" w:line="300" w:lineRule="auto"/>
      </w:pPr>
      <w:r>
        <w:rPr>
          <w:rFonts w:ascii="Calibri" w:hAnsi="Calibri"/>
          <w:b w:val="0"/>
          <w:i w:val="0"/>
          <w:color w:val="1A202C"/>
          <w:sz w:val="22"/>
        </w:rPr>
        <w:t xml:space="preserve">A first-pass exploratory survey of the five raw CSVs surfaced eleven concrete issues. The team's policy is to </w:t>
      </w:r>
      <w:r>
        <w:rPr>
          <w:rFonts w:ascii="Calibri" w:hAnsi="Calibri"/>
          <w:b/>
          <w:i w:val="0"/>
          <w:color w:val="1A202C"/>
          <w:sz w:val="22"/>
        </w:rPr>
        <w:t>never silently drop a row</w:t>
      </w:r>
      <w:r>
        <w:rPr>
          <w:rFonts w:ascii="Calibri" w:hAnsi="Calibri"/>
          <w:b w:val="0"/>
          <w:i w:val="0"/>
          <w:color w:val="1A202C"/>
          <w:sz w:val="22"/>
        </w:rPr>
        <w:t>: every rejection writes to a quarantine parquet with a documented reason, and every silent correction emits a forensics finding with count + treatment.</w:t>
      </w:r>
    </w:p>
    <w:p>
      <w:pPr>
        <w:spacing w:before="200" w:after="40"/>
      </w:pPr>
      <w:r>
        <w:rPr>
          <w:rFonts w:ascii="Calibri" w:hAnsi="Calibri"/>
          <w:b/>
          <w:i w:val="0"/>
          <w:color w:val="0E7CBE"/>
          <w:sz w:val="25"/>
        </w:rPr>
        <w:t>Per-dataset quality checks</w:t>
      </w:r>
    </w:p>
    <w:tbl>
      <w:tblPr>
        <w:tblStyle w:val="LightGrid-Accent1"/>
        <w:tblW w:type="auto" w:w="0"/>
        <w:jc w:val="left"/>
        <w:tblLook w:firstColumn="1" w:firstRow="1" w:lastColumn="0" w:lastRow="0" w:noHBand="0" w:noVBand="1" w:val="04A0"/>
      </w:tblPr>
      <w:tblGrid>
        <w:gridCol w:w="3213"/>
        <w:gridCol w:w="3213"/>
        <w:gridCol w:w="3213"/>
      </w:tblGrid>
      <w:tr>
        <w:trPr>
          <w:tblHeader w:val="true"/>
        </w:trPr>
        <w:tc>
          <w:tcPr>
            <w:tcW w:type="dxa" w:w="3213"/>
            <w:shd w:val="clear" w:color="auto" w:fill="0E3F6E"/>
            <w:vAlign w:val="center"/>
          </w:tcPr>
          <w:p>
            <w:r/>
            <w:r>
              <w:rPr>
                <w:rFonts w:ascii="Calibri" w:hAnsi="Calibri"/>
                <w:b/>
                <w:i w:val="0"/>
                <w:color w:val="FFFFFF"/>
                <w:sz w:val="21"/>
              </w:rPr>
              <w:t>Dataset</w:t>
            </w:r>
          </w:p>
        </w:tc>
        <w:tc>
          <w:tcPr>
            <w:tcW w:type="dxa" w:w="3213"/>
            <w:shd w:val="clear" w:color="auto" w:fill="0E3F6E"/>
            <w:vAlign w:val="center"/>
          </w:tcPr>
          <w:p>
            <w:r/>
            <w:r>
              <w:rPr>
                <w:rFonts w:ascii="Calibri" w:hAnsi="Calibri"/>
                <w:b/>
                <w:i w:val="0"/>
                <w:color w:val="FFFFFF"/>
                <w:sz w:val="21"/>
              </w:rPr>
              <w:t>Checks applied</w:t>
            </w:r>
          </w:p>
        </w:tc>
        <w:tc>
          <w:tcPr>
            <w:tcW w:type="dxa" w:w="3213"/>
            <w:shd w:val="clear" w:color="auto" w:fill="0E3F6E"/>
            <w:vAlign w:val="center"/>
          </w:tcPr>
          <w:p>
            <w:r/>
            <w:r>
              <w:rPr>
                <w:rFonts w:ascii="Calibri" w:hAnsi="Calibri"/>
                <w:b/>
                <w:i w:val="0"/>
                <w:color w:val="FFFFFF"/>
                <w:sz w:val="21"/>
              </w:rPr>
              <w:t>Rejected (rows)</w:t>
            </w:r>
          </w:p>
        </w:tc>
      </w:tr>
      <w:tr>
        <w:tc>
          <w:tcPr>
            <w:tcW w:type="dxa" w:w="3213"/>
            <w:vAlign w:val="center"/>
          </w:tcPr>
          <w:p>
            <w:r/>
            <w:r>
              <w:rPr>
                <w:rFonts w:ascii="Consolas" w:hAnsi="Consolas"/>
                <w:b w:val="0"/>
                <w:i w:val="0"/>
                <w:color w:val="1A202C"/>
                <w:sz w:val="20"/>
              </w:rPr>
              <w:t>outlet_master.csv</w:t>
            </w:r>
          </w:p>
        </w:tc>
        <w:tc>
          <w:tcPr>
            <w:tcW w:type="dxa" w:w="3213"/>
            <w:vAlign w:val="center"/>
          </w:tcPr>
          <w:p>
            <w:r/>
            <w:r>
              <w:rPr>
                <w:rFonts w:ascii="Calibri" w:hAnsi="Calibri"/>
                <w:b w:val="0"/>
                <w:i w:val="0"/>
                <w:color w:val="1A202C"/>
                <w:sz w:val="21"/>
              </w:rPr>
              <w:t xml:space="preserve">PK duplicates, mandatory nulls, value-set on </w:t>
            </w:r>
            <w:r>
              <w:rPr>
                <w:rFonts w:ascii="Consolas" w:hAnsi="Consolas"/>
                <w:b w:val="0"/>
                <w:i w:val="0"/>
                <w:color w:val="1A202C"/>
                <w:sz w:val="20"/>
              </w:rPr>
              <w:t>Outlet_Size</w:t>
            </w:r>
            <w:r>
              <w:rPr>
                <w:rFonts w:ascii="Calibri" w:hAnsi="Calibri"/>
                <w:b w:val="0"/>
                <w:i w:val="0"/>
                <w:color w:val="1A202C"/>
                <w:sz w:val="21"/>
              </w:rPr>
              <w:t xml:space="preserve"> / </w:t>
            </w:r>
            <w:r>
              <w:rPr>
                <w:rFonts w:ascii="Consolas" w:hAnsi="Consolas"/>
                <w:b w:val="0"/>
                <w:i w:val="0"/>
                <w:color w:val="1A202C"/>
                <w:sz w:val="20"/>
              </w:rPr>
              <w:t>Outlet_Type</w:t>
            </w:r>
            <w:r>
              <w:rPr>
                <w:rFonts w:ascii="Calibri" w:hAnsi="Calibri"/>
                <w:b w:val="0"/>
                <w:i w:val="0"/>
                <w:color w:val="1A202C"/>
                <w:sz w:val="21"/>
              </w:rPr>
              <w:t xml:space="preserve">, integer coercion on </w:t>
            </w:r>
            <w:r>
              <w:rPr>
                <w:rFonts w:ascii="Consolas" w:hAnsi="Consolas"/>
                <w:b w:val="0"/>
                <w:i w:val="0"/>
                <w:color w:val="1A202C"/>
                <w:sz w:val="20"/>
              </w:rPr>
              <w:t>Cooler_Count</w:t>
            </w:r>
          </w:p>
        </w:tc>
        <w:tc>
          <w:tcPr>
            <w:tcW w:type="dxa" w:w="3213"/>
            <w:vAlign w:val="center"/>
          </w:tcPr>
          <w:p>
            <w:r/>
            <w:r>
              <w:rPr>
                <w:rFonts w:ascii="Calibri" w:hAnsi="Calibri"/>
                <w:b w:val="0"/>
                <w:i w:val="0"/>
                <w:color w:val="1A202C"/>
                <w:sz w:val="21"/>
              </w:rPr>
              <w:t>196 (nulls)</w:t>
            </w:r>
          </w:p>
        </w:tc>
      </w:tr>
      <w:tr>
        <w:tc>
          <w:tcPr>
            <w:tcW w:type="dxa" w:w="3213"/>
            <w:shd w:val="clear" w:color="auto" w:fill="F4F6F9"/>
            <w:vAlign w:val="center"/>
          </w:tcPr>
          <w:p>
            <w:r/>
            <w:r>
              <w:rPr>
                <w:rFonts w:ascii="Consolas" w:hAnsi="Consolas"/>
                <w:b w:val="0"/>
                <w:i w:val="0"/>
                <w:color w:val="1A202C"/>
                <w:sz w:val="20"/>
              </w:rPr>
              <w:t>outlet_coordinates.csv</w:t>
            </w:r>
          </w:p>
        </w:tc>
        <w:tc>
          <w:tcPr>
            <w:tcW w:type="dxa" w:w="3213"/>
            <w:shd w:val="clear" w:color="auto" w:fill="F4F6F9"/>
            <w:vAlign w:val="center"/>
          </w:tcPr>
          <w:p>
            <w:r/>
            <w:r>
              <w:rPr>
                <w:rFonts w:ascii="Calibri" w:hAnsi="Calibri"/>
                <w:b w:val="0"/>
                <w:i w:val="0"/>
                <w:color w:val="1A202C"/>
                <w:sz w:val="21"/>
              </w:rPr>
              <w:t>PK duplicates, mandatory nulls, referential to master, lat/lon range against Sri Lanka bounding box (5.9-9.9 °N, 79.5-82.0 °E)</w:t>
            </w:r>
          </w:p>
        </w:tc>
        <w:tc>
          <w:tcPr>
            <w:tcW w:type="dxa" w:w="3213"/>
            <w:shd w:val="clear" w:color="auto" w:fill="F4F6F9"/>
            <w:vAlign w:val="center"/>
          </w:tcPr>
          <w:p>
            <w:r/>
            <w:r>
              <w:rPr>
                <w:rFonts w:ascii="Calibri" w:hAnsi="Calibri"/>
                <w:b w:val="0"/>
                <w:i w:val="0"/>
                <w:color w:val="1A202C"/>
                <w:sz w:val="21"/>
              </w:rPr>
              <w:t>236</w:t>
            </w:r>
          </w:p>
        </w:tc>
      </w:tr>
      <w:tr>
        <w:tc>
          <w:tcPr>
            <w:tcW w:type="dxa" w:w="3213"/>
            <w:vAlign w:val="center"/>
          </w:tcPr>
          <w:p>
            <w:r/>
            <w:r>
              <w:rPr>
                <w:rFonts w:ascii="Consolas" w:hAnsi="Consolas"/>
                <w:b w:val="0"/>
                <w:i w:val="0"/>
                <w:color w:val="1A202C"/>
                <w:sz w:val="20"/>
              </w:rPr>
              <w:t>distributor_seasonality_details.csv</w:t>
            </w:r>
          </w:p>
        </w:tc>
        <w:tc>
          <w:tcPr>
            <w:tcW w:type="dxa" w:w="3213"/>
            <w:vAlign w:val="center"/>
          </w:tcPr>
          <w:p>
            <w:r/>
            <w:r>
              <w:rPr>
                <w:rFonts w:ascii="Calibri" w:hAnsi="Calibri"/>
                <w:b w:val="0"/>
                <w:i w:val="0"/>
                <w:color w:val="1A202C"/>
                <w:sz w:val="21"/>
              </w:rPr>
              <w:t xml:space="preserve">PK duplicates, mandatory nulls, referential to the known 10 distributors, value-set on </w:t>
            </w:r>
            <w:r>
              <w:rPr>
                <w:rFonts w:ascii="Consolas" w:hAnsi="Consolas"/>
                <w:b w:val="0"/>
                <w:i w:val="0"/>
                <w:color w:val="1A202C"/>
                <w:sz w:val="20"/>
              </w:rPr>
              <w:t>Seasonality_Index</w:t>
            </w:r>
            <w:r>
              <w:rPr>
                <w:rFonts w:ascii="Calibri" w:hAnsi="Calibri"/>
                <w:b w:val="0"/>
                <w:i w:val="0"/>
                <w:color w:val="1A202C"/>
                <w:sz w:val="21"/>
              </w:rPr>
              <w:t>, completeness (10 × 3 × 12 = 360)</w:t>
            </w:r>
          </w:p>
        </w:tc>
        <w:tc>
          <w:tcPr>
            <w:tcW w:type="dxa" w:w="3213"/>
            <w:vAlign w:val="center"/>
          </w:tcPr>
          <w:p>
            <w:r/>
            <w:r>
              <w:rPr>
                <w:rFonts w:ascii="Calibri" w:hAnsi="Calibri"/>
                <w:b w:val="0"/>
                <w:i w:val="0"/>
                <w:color w:val="1A202C"/>
                <w:sz w:val="21"/>
              </w:rPr>
              <w:t>0</w:t>
            </w:r>
          </w:p>
        </w:tc>
      </w:tr>
      <w:tr>
        <w:tc>
          <w:tcPr>
            <w:tcW w:type="dxa" w:w="3213"/>
            <w:shd w:val="clear" w:color="auto" w:fill="F4F6F9"/>
            <w:vAlign w:val="center"/>
          </w:tcPr>
          <w:p>
            <w:r/>
            <w:r>
              <w:rPr>
                <w:rFonts w:ascii="Consolas" w:hAnsi="Consolas"/>
                <w:b w:val="0"/>
                <w:i w:val="0"/>
                <w:color w:val="1A202C"/>
                <w:sz w:val="20"/>
              </w:rPr>
              <w:t>holiday_list.csv</w:t>
            </w:r>
          </w:p>
        </w:tc>
        <w:tc>
          <w:tcPr>
            <w:tcW w:type="dxa" w:w="3213"/>
            <w:shd w:val="clear" w:color="auto" w:fill="F4F6F9"/>
            <w:vAlign w:val="center"/>
          </w:tcPr>
          <w:p>
            <w:r/>
            <w:r>
              <w:rPr>
                <w:rFonts w:ascii="Calibri" w:hAnsi="Calibri"/>
                <w:b w:val="0"/>
                <w:i w:val="0"/>
                <w:color w:val="1A202C"/>
                <w:sz w:val="21"/>
              </w:rPr>
              <w:t xml:space="preserve">PK on </w:t>
            </w:r>
            <w:r>
              <w:rPr>
                <w:rFonts w:ascii="Consolas" w:hAnsi="Consolas"/>
                <w:b w:val="0"/>
                <w:i w:val="0"/>
                <w:color w:val="1A202C"/>
                <w:sz w:val="20"/>
              </w:rPr>
              <w:t>(Date, Holiday_Type)</w:t>
            </w:r>
            <w:r>
              <w:rPr>
                <w:rFonts w:ascii="Calibri" w:hAnsi="Calibri"/>
                <w:b w:val="0"/>
                <w:i w:val="0"/>
                <w:color w:val="1A202C"/>
                <w:sz w:val="21"/>
              </w:rPr>
              <w:t xml:space="preserve">, mandatory nulls, ISO 8601 format, value-set on </w:t>
            </w:r>
            <w:r>
              <w:rPr>
                <w:rFonts w:ascii="Consolas" w:hAnsi="Consolas"/>
                <w:b w:val="0"/>
                <w:i w:val="0"/>
                <w:color w:val="1A202C"/>
                <w:sz w:val="20"/>
              </w:rPr>
              <w:t>Holiday_Type</w:t>
            </w:r>
          </w:p>
        </w:tc>
        <w:tc>
          <w:tcPr>
            <w:tcW w:type="dxa" w:w="3213"/>
            <w:shd w:val="clear" w:color="auto" w:fill="F4F6F9"/>
            <w:vAlign w:val="center"/>
          </w:tcPr>
          <w:p>
            <w:r/>
            <w:r>
              <w:rPr>
                <w:rFonts w:ascii="Calibri" w:hAnsi="Calibri"/>
                <w:b w:val="0"/>
                <w:i w:val="0"/>
                <w:color w:val="1A202C"/>
                <w:sz w:val="21"/>
              </w:rPr>
              <w:t>198</w:t>
            </w:r>
          </w:p>
        </w:tc>
      </w:tr>
      <w:tr>
        <w:tc>
          <w:tcPr>
            <w:tcW w:type="dxa" w:w="3213"/>
            <w:vAlign w:val="center"/>
          </w:tcPr>
          <w:p>
            <w:r/>
            <w:r>
              <w:rPr>
                <w:rFonts w:ascii="Consolas" w:hAnsi="Consolas"/>
                <w:b w:val="0"/>
                <w:i w:val="0"/>
                <w:color w:val="1A202C"/>
                <w:sz w:val="20"/>
              </w:rPr>
              <w:t>transactions_history_final.csv</w:t>
            </w:r>
          </w:p>
        </w:tc>
        <w:tc>
          <w:tcPr>
            <w:tcW w:type="dxa" w:w="3213"/>
            <w:vAlign w:val="center"/>
          </w:tcPr>
          <w:p>
            <w:r/>
            <w:r>
              <w:rPr>
                <w:rFonts w:ascii="Calibri" w:hAnsi="Calibri"/>
                <w:b w:val="0"/>
                <w:i w:val="0"/>
                <w:color w:val="1A202C"/>
                <w:sz w:val="21"/>
              </w:rPr>
              <w:t xml:space="preserve">PK on </w:t>
            </w:r>
            <w:r>
              <w:rPr>
                <w:rFonts w:ascii="Consolas" w:hAnsi="Consolas"/>
                <w:b w:val="0"/>
                <w:i w:val="0"/>
                <w:color w:val="1A202C"/>
                <w:sz w:val="20"/>
              </w:rPr>
              <w:t>(Outlet_ID, Year, Month, SKU_ID)</w:t>
            </w:r>
            <w:r>
              <w:rPr>
                <w:rFonts w:ascii="Calibri" w:hAnsi="Calibri"/>
                <w:b w:val="0"/>
                <w:i w:val="0"/>
                <w:color w:val="1A202C"/>
                <w:sz w:val="21"/>
              </w:rPr>
              <w:t>, mandatory nulls, referential to outlet master and distributor whitelist, value-range on year / month / volume / bill</w:t>
            </w:r>
          </w:p>
        </w:tc>
        <w:tc>
          <w:tcPr>
            <w:tcW w:type="dxa" w:w="3213"/>
            <w:vAlign w:val="center"/>
          </w:tcPr>
          <w:p>
            <w:r/>
            <w:r>
              <w:rPr>
                <w:rFonts w:ascii="Calibri" w:hAnsi="Calibri"/>
                <w:b w:val="0"/>
                <w:i w:val="0"/>
                <w:color w:val="1A202C"/>
                <w:sz w:val="21"/>
              </w:rPr>
              <w:t>72,655</w:t>
            </w:r>
          </w:p>
        </w:tc>
      </w:tr>
    </w:tbl>
    <w:p>
      <w:pPr>
        <w:spacing w:after="80"/>
      </w:pPr>
    </w:p>
    <w:p>
      <w:pPr>
        <w:spacing w:after="120" w:line="300" w:lineRule="auto"/>
      </w:pPr>
      <w:r>
        <w:rPr>
          <w:rFonts w:ascii="Calibri" w:hAnsi="Calibri"/>
          <w:b w:val="0"/>
          <w:i w:val="0"/>
          <w:color w:val="1A202C"/>
          <w:sz w:val="22"/>
        </w:rPr>
        <w:t>Total rejected: 73,285 rows (3.08% of the 2.38 M transaction set).</w:t>
      </w:r>
    </w:p>
    <w:p>
      <w:pPr>
        <w:spacing w:before="200" w:after="40"/>
      </w:pPr>
      <w:r>
        <w:rPr>
          <w:rFonts w:ascii="Calibri" w:hAnsi="Calibri"/>
          <w:b/>
          <w:i w:val="0"/>
          <w:color w:val="0E7CBE"/>
          <w:sz w:val="25"/>
        </w:rPr>
        <w:t>Forensic findings (beyond DQ)</w:t>
      </w:r>
    </w:p>
    <w:tbl>
      <w:tblPr>
        <w:tblStyle w:val="LightGrid-Accent1"/>
        <w:tblW w:type="auto" w:w="0"/>
        <w:jc w:val="left"/>
        <w:tblLook w:firstColumn="1" w:firstRow="1" w:lastColumn="0" w:lastRow="0" w:noHBand="0" w:noVBand="1" w:val="04A0"/>
      </w:tblPr>
      <w:tblGrid>
        <w:gridCol w:w="3213"/>
        <w:gridCol w:w="3213"/>
        <w:gridCol w:w="3213"/>
      </w:tblGrid>
      <w:tr>
        <w:trPr>
          <w:tblHeader w:val="true"/>
        </w:trPr>
        <w:tc>
          <w:tcPr>
            <w:tcW w:type="dxa" w:w="3213"/>
            <w:shd w:val="clear" w:color="auto" w:fill="0E3F6E"/>
            <w:vAlign w:val="center"/>
          </w:tcPr>
          <w:p>
            <w:r/>
            <w:r>
              <w:rPr>
                <w:rFonts w:ascii="Calibri" w:hAnsi="Calibri"/>
                <w:b/>
                <w:i w:val="0"/>
                <w:color w:val="FFFFFF"/>
                <w:sz w:val="21"/>
              </w:rPr>
              <w:t>Finding</w:t>
            </w:r>
          </w:p>
        </w:tc>
        <w:tc>
          <w:tcPr>
            <w:tcW w:type="dxa" w:w="3213"/>
            <w:shd w:val="clear" w:color="auto" w:fill="0E3F6E"/>
            <w:vAlign w:val="center"/>
          </w:tcPr>
          <w:p>
            <w:r/>
            <w:r>
              <w:rPr>
                <w:rFonts w:ascii="Calibri" w:hAnsi="Calibri"/>
                <w:b/>
                <w:i w:val="0"/>
                <w:color w:val="FFFFFF"/>
                <w:sz w:val="21"/>
              </w:rPr>
              <w:t>Count</w:t>
            </w:r>
          </w:p>
        </w:tc>
        <w:tc>
          <w:tcPr>
            <w:tcW w:type="dxa" w:w="3213"/>
            <w:shd w:val="clear" w:color="auto" w:fill="0E3F6E"/>
            <w:vAlign w:val="center"/>
          </w:tcPr>
          <w:p>
            <w:r/>
            <w:r>
              <w:rPr>
                <w:rFonts w:ascii="Calibri" w:hAnsi="Calibri"/>
                <w:b/>
                <w:i w:val="0"/>
                <w:color w:val="FFFFFF"/>
                <w:sz w:val="21"/>
              </w:rPr>
              <w:t>Treatment</w:t>
            </w:r>
          </w:p>
        </w:tc>
      </w:tr>
      <w:tr>
        <w:tc>
          <w:tcPr>
            <w:tcW w:type="dxa" w:w="3213"/>
            <w:vAlign w:val="center"/>
          </w:tcPr>
          <w:p>
            <w:r/>
            <w:r>
              <w:rPr>
                <w:rFonts w:ascii="Calibri" w:hAnsi="Calibri"/>
                <w:b w:val="0"/>
                <w:i w:val="0"/>
                <w:color w:val="1A202C"/>
                <w:sz w:val="21"/>
              </w:rPr>
              <w:t>Outlet_Type typos normalised (Bakry→Bakery, Grocry→Grocery, " Eatery"→Eatery, etc.)</w:t>
            </w:r>
          </w:p>
        </w:tc>
        <w:tc>
          <w:tcPr>
            <w:tcW w:type="dxa" w:w="3213"/>
            <w:vAlign w:val="center"/>
          </w:tcPr>
          <w:p>
            <w:r/>
            <w:r>
              <w:rPr>
                <w:rFonts w:ascii="Calibri" w:hAnsi="Calibri"/>
                <w:b w:val="0"/>
                <w:i w:val="0"/>
                <w:color w:val="1A202C"/>
                <w:sz w:val="21"/>
              </w:rPr>
              <w:t>985</w:t>
            </w:r>
          </w:p>
        </w:tc>
        <w:tc>
          <w:tcPr>
            <w:tcW w:type="dxa" w:w="3213"/>
            <w:vAlign w:val="center"/>
          </w:tcPr>
          <w:p>
            <w:r/>
            <w:r>
              <w:rPr>
                <w:rFonts w:ascii="Calibri" w:hAnsi="Calibri"/>
                <w:b w:val="0"/>
                <w:i w:val="0"/>
                <w:color w:val="1A202C"/>
                <w:sz w:val="21"/>
              </w:rPr>
              <w:t>cleaned silently with a logged finding</w:t>
            </w:r>
          </w:p>
        </w:tc>
      </w:tr>
      <w:tr>
        <w:tc>
          <w:tcPr>
            <w:tcW w:type="dxa" w:w="3213"/>
            <w:shd w:val="clear" w:color="auto" w:fill="F4F6F9"/>
            <w:vAlign w:val="center"/>
          </w:tcPr>
          <w:p>
            <w:r/>
            <w:r>
              <w:rPr>
                <w:rFonts w:ascii="Calibri" w:hAnsi="Calibri"/>
                <w:b w:val="0"/>
                <w:i w:val="0"/>
                <w:color w:val="1A202C"/>
                <w:sz w:val="21"/>
              </w:rPr>
              <w:t>Outlet_Size lowercase "small" detected</w:t>
            </w:r>
          </w:p>
        </w:tc>
        <w:tc>
          <w:tcPr>
            <w:tcW w:type="dxa" w:w="3213"/>
            <w:shd w:val="clear" w:color="auto" w:fill="F4F6F9"/>
            <w:vAlign w:val="center"/>
          </w:tcPr>
          <w:p>
            <w:r/>
            <w:r>
              <w:rPr>
                <w:rFonts w:ascii="Calibri" w:hAnsi="Calibri"/>
                <w:b w:val="0"/>
                <w:i w:val="0"/>
                <w:color w:val="1A202C"/>
                <w:sz w:val="21"/>
              </w:rPr>
              <w:t>600</w:t>
            </w:r>
          </w:p>
        </w:tc>
        <w:tc>
          <w:tcPr>
            <w:tcW w:type="dxa" w:w="3213"/>
            <w:shd w:val="clear" w:color="auto" w:fill="F4F6F9"/>
            <w:vAlign w:val="center"/>
          </w:tcPr>
          <w:p>
            <w:r/>
            <w:r>
              <w:rPr>
                <w:rFonts w:ascii="Calibri" w:hAnsi="Calibri"/>
                <w:b w:val="0"/>
                <w:i w:val="0"/>
                <w:color w:val="1A202C"/>
                <w:sz w:val="21"/>
              </w:rPr>
              <w:t>flagged; 225 reclassified via cooler count, 375 case-normalised</w:t>
            </w:r>
          </w:p>
        </w:tc>
      </w:tr>
      <w:tr>
        <w:tc>
          <w:tcPr>
            <w:tcW w:type="dxa" w:w="3213"/>
            <w:vAlign w:val="center"/>
          </w:tcPr>
          <w:p>
            <w:r/>
            <w:r>
              <w:rPr>
                <w:rFonts w:ascii="Calibri" w:hAnsi="Calibri"/>
                <w:b w:val="0"/>
                <w:i w:val="0"/>
                <w:color w:val="1A202C"/>
                <w:sz w:val="21"/>
              </w:rPr>
              <w:t>Outlet_Size reclassified by cooler count (size = "small" but coolers ≥ 2)</w:t>
            </w:r>
          </w:p>
        </w:tc>
        <w:tc>
          <w:tcPr>
            <w:tcW w:type="dxa" w:w="3213"/>
            <w:vAlign w:val="center"/>
          </w:tcPr>
          <w:p>
            <w:r/>
            <w:r>
              <w:rPr>
                <w:rFonts w:ascii="Calibri" w:hAnsi="Calibri"/>
                <w:b w:val="0"/>
                <w:i w:val="0"/>
                <w:color w:val="1A202C"/>
                <w:sz w:val="21"/>
              </w:rPr>
              <w:t>225</w:t>
            </w:r>
          </w:p>
        </w:tc>
        <w:tc>
          <w:tcPr>
            <w:tcW w:type="dxa" w:w="3213"/>
            <w:vAlign w:val="center"/>
          </w:tcPr>
          <w:p>
            <w:r/>
            <w:r>
              <w:rPr>
                <w:rFonts w:ascii="Calibri" w:hAnsi="Calibri"/>
                <w:b w:val="0"/>
                <w:i w:val="0"/>
                <w:color w:val="1A202C"/>
                <w:sz w:val="21"/>
              </w:rPr>
              <w:t xml:space="preserve">cleaned (Medium / Large / Extra Large by </w:t>
            </w:r>
            <w:r>
              <w:rPr>
                <w:rFonts w:ascii="Consolas" w:hAnsi="Consolas"/>
                <w:b w:val="0"/>
                <w:i w:val="0"/>
                <w:color w:val="1A202C"/>
                <w:sz w:val="20"/>
              </w:rPr>
              <w:t>Cooler_Count</w:t>
            </w:r>
            <w:r>
              <w:rPr>
                <w:rFonts w:ascii="Calibri" w:hAnsi="Calibri"/>
                <w:b w:val="0"/>
                <w:i w:val="0"/>
                <w:color w:val="1A202C"/>
                <w:sz w:val="21"/>
              </w:rPr>
              <w:t>)</w:t>
            </w:r>
          </w:p>
        </w:tc>
      </w:tr>
      <w:tr>
        <w:tc>
          <w:tcPr>
            <w:tcW w:type="dxa" w:w="3213"/>
            <w:shd w:val="clear" w:color="auto" w:fill="F4F6F9"/>
            <w:vAlign w:val="center"/>
          </w:tcPr>
          <w:p>
            <w:r/>
            <w:r>
              <w:rPr>
                <w:rFonts w:ascii="Calibri" w:hAnsi="Calibri"/>
                <w:b w:val="0"/>
                <w:i w:val="0"/>
                <w:color w:val="1A202C"/>
                <w:sz w:val="21"/>
              </w:rPr>
              <w:t xml:space="preserve">Outlet_Size imputed from cooler count (null </w:t>
            </w:r>
            <w:r>
              <w:rPr>
                <w:rFonts w:ascii="Consolas" w:hAnsi="Consolas"/>
                <w:b w:val="0"/>
                <w:i w:val="0"/>
                <w:color w:val="1A202C"/>
                <w:sz w:val="20"/>
              </w:rPr>
              <w:t>Outlet_Size</w:t>
            </w:r>
            <w:r>
              <w:rPr>
                <w:rFonts w:ascii="Calibri" w:hAnsi="Calibri"/>
                <w:b w:val="0"/>
                <w:i w:val="0"/>
                <w:color w:val="1A202C"/>
                <w:sz w:val="21"/>
              </w:rPr>
              <w:t>)</w:t>
            </w:r>
          </w:p>
        </w:tc>
        <w:tc>
          <w:tcPr>
            <w:tcW w:type="dxa" w:w="3213"/>
            <w:shd w:val="clear" w:color="auto" w:fill="F4F6F9"/>
            <w:vAlign w:val="center"/>
          </w:tcPr>
          <w:p>
            <w:r/>
            <w:r>
              <w:rPr>
                <w:rFonts w:ascii="Calibri" w:hAnsi="Calibri"/>
                <w:b w:val="0"/>
                <w:i w:val="0"/>
                <w:color w:val="1A202C"/>
                <w:sz w:val="21"/>
              </w:rPr>
              <w:t>196</w:t>
            </w:r>
          </w:p>
        </w:tc>
        <w:tc>
          <w:tcPr>
            <w:tcW w:type="dxa" w:w="3213"/>
            <w:shd w:val="clear" w:color="auto" w:fill="F4F6F9"/>
            <w:vAlign w:val="center"/>
          </w:tcPr>
          <w:p>
            <w:r/>
            <w:r>
              <w:rPr>
                <w:rFonts w:ascii="Calibri" w:hAnsi="Calibri"/>
                <w:b w:val="0"/>
                <w:i w:val="0"/>
                <w:color w:val="1A202C"/>
                <w:sz w:val="21"/>
              </w:rPr>
              <w:t>cleaned (imputed from cooler count)</w:t>
            </w:r>
          </w:p>
        </w:tc>
      </w:tr>
      <w:tr>
        <w:tc>
          <w:tcPr>
            <w:tcW w:type="dxa" w:w="3213"/>
            <w:vAlign w:val="center"/>
          </w:tcPr>
          <w:p>
            <w:r/>
            <w:r>
              <w:rPr>
                <w:rFonts w:ascii="Calibri" w:hAnsi="Calibri"/>
                <w:b w:val="0"/>
                <w:i w:val="0"/>
                <w:color w:val="1A202C"/>
                <w:sz w:val="21"/>
              </w:rPr>
              <w:t>Lat/Lon swapped values recovered (200 outlets had Latitude and Longitude transposed)</w:t>
            </w:r>
          </w:p>
        </w:tc>
        <w:tc>
          <w:tcPr>
            <w:tcW w:type="dxa" w:w="3213"/>
            <w:vAlign w:val="center"/>
          </w:tcPr>
          <w:p>
            <w:r/>
            <w:r>
              <w:rPr>
                <w:rFonts w:ascii="Calibri" w:hAnsi="Calibri"/>
                <w:b w:val="0"/>
                <w:i w:val="0"/>
                <w:color w:val="1A202C"/>
                <w:sz w:val="21"/>
              </w:rPr>
              <w:t>200</w:t>
            </w:r>
          </w:p>
        </w:tc>
        <w:tc>
          <w:tcPr>
            <w:tcW w:type="dxa" w:w="3213"/>
            <w:vAlign w:val="center"/>
          </w:tcPr>
          <w:p>
            <w:r/>
            <w:r>
              <w:rPr>
                <w:rFonts w:ascii="Calibri" w:hAnsi="Calibri"/>
                <w:b w:val="0"/>
                <w:i w:val="0"/>
                <w:color w:val="1A202C"/>
                <w:sz w:val="21"/>
              </w:rPr>
              <w:t xml:space="preserve">cleaned (deterministic swap when </w:t>
            </w:r>
            <w:r>
              <w:rPr>
                <w:rFonts w:ascii="Consolas" w:hAnsi="Consolas"/>
                <w:b w:val="0"/>
                <w:i w:val="0"/>
                <w:color w:val="1A202C"/>
                <w:sz w:val="20"/>
              </w:rPr>
              <w:t>lat ∈ lon-range AND lon ∈ lat-range</w:t>
            </w:r>
            <w:r>
              <w:rPr>
                <w:rFonts w:ascii="Calibri" w:hAnsi="Calibri"/>
                <w:b w:val="0"/>
                <w:i w:val="0"/>
                <w:color w:val="1A202C"/>
                <w:sz w:val="21"/>
              </w:rPr>
              <w:t>)</w:t>
            </w:r>
          </w:p>
        </w:tc>
      </w:tr>
      <w:tr>
        <w:tc>
          <w:tcPr>
            <w:tcW w:type="dxa" w:w="3213"/>
            <w:shd w:val="clear" w:color="auto" w:fill="F4F6F9"/>
            <w:vAlign w:val="center"/>
          </w:tcPr>
          <w:p>
            <w:r/>
            <w:r>
              <w:rPr>
                <w:rFonts w:ascii="Calibri" w:hAnsi="Calibri"/>
                <w:b w:val="0"/>
                <w:i w:val="0"/>
                <w:color w:val="1A202C"/>
                <w:sz w:val="21"/>
              </w:rPr>
              <w:t>Transaction value classification (negative volume + negative bill = return; negative + positive = data error)</w:t>
            </w:r>
          </w:p>
        </w:tc>
        <w:tc>
          <w:tcPr>
            <w:tcW w:type="dxa" w:w="3213"/>
            <w:shd w:val="clear" w:color="auto" w:fill="F4F6F9"/>
            <w:vAlign w:val="center"/>
          </w:tcPr>
          <w:p>
            <w:r/>
            <w:r>
              <w:rPr>
                <w:rFonts w:ascii="Calibri" w:hAnsi="Calibri"/>
                <w:b w:val="0"/>
                <w:i w:val="0"/>
                <w:color w:val="1A202C"/>
                <w:sz w:val="21"/>
              </w:rPr>
              <w:t>0 in this dataset</w:t>
            </w:r>
          </w:p>
        </w:tc>
        <w:tc>
          <w:tcPr>
            <w:tcW w:type="dxa" w:w="3213"/>
            <w:shd w:val="clear" w:color="auto" w:fill="F4F6F9"/>
            <w:vAlign w:val="center"/>
          </w:tcPr>
          <w:p>
            <w:r/>
            <w:r>
              <w:rPr>
                <w:rFonts w:ascii="Calibri" w:hAnsi="Calibri"/>
                <w:b w:val="0"/>
                <w:i w:val="0"/>
                <w:color w:val="1A202C"/>
                <w:sz w:val="21"/>
              </w:rPr>
              <w:t>rule applied</w:t>
            </w:r>
          </w:p>
        </w:tc>
      </w:tr>
      <w:tr>
        <w:tc>
          <w:tcPr>
            <w:tcW w:type="dxa" w:w="3213"/>
            <w:vAlign w:val="center"/>
          </w:tcPr>
          <w:p>
            <w:r/>
            <w:r>
              <w:rPr>
                <w:rFonts w:ascii="Calibri" w:hAnsi="Calibri"/>
                <w:b w:val="0"/>
                <w:i w:val="0"/>
                <w:color w:val="1A202C"/>
                <w:sz w:val="21"/>
              </w:rPr>
              <w:t>Codebook references absent column (</w:t>
            </w:r>
            <w:r>
              <w:rPr>
                <w:rFonts w:ascii="Consolas" w:hAnsi="Consolas"/>
                <w:b w:val="0"/>
                <w:i w:val="0"/>
                <w:color w:val="1A202C"/>
                <w:sz w:val="20"/>
              </w:rPr>
              <w:t>Product_Name</w:t>
            </w:r>
            <w:r>
              <w:rPr>
                <w:rFonts w:ascii="Calibri" w:hAnsi="Calibri"/>
                <w:b w:val="0"/>
                <w:i w:val="0"/>
                <w:color w:val="1A202C"/>
                <w:sz w:val="21"/>
              </w:rPr>
              <w:t>)</w:t>
            </w:r>
          </w:p>
        </w:tc>
        <w:tc>
          <w:tcPr>
            <w:tcW w:type="dxa" w:w="3213"/>
            <w:vAlign w:val="center"/>
          </w:tcPr>
          <w:p>
            <w:r/>
            <w:r>
              <w:rPr>
                <w:rFonts w:ascii="Calibri" w:hAnsi="Calibri"/>
                <w:b w:val="0"/>
                <w:i w:val="0"/>
                <w:color w:val="1A202C"/>
                <w:sz w:val="21"/>
              </w:rPr>
              <w:t>1</w:t>
            </w:r>
          </w:p>
        </w:tc>
        <w:tc>
          <w:tcPr>
            <w:tcW w:type="dxa" w:w="3213"/>
            <w:vAlign w:val="center"/>
          </w:tcPr>
          <w:p>
            <w:r/>
            <w:r>
              <w:rPr>
                <w:rFonts w:ascii="Calibri" w:hAnsi="Calibri"/>
                <w:b w:val="0"/>
                <w:i w:val="0"/>
                <w:color w:val="1A202C"/>
                <w:sz w:val="21"/>
              </w:rPr>
              <w:t>flagged</w:t>
            </w:r>
          </w:p>
        </w:tc>
      </w:tr>
      <w:tr>
        <w:tc>
          <w:tcPr>
            <w:tcW w:type="dxa" w:w="3213"/>
            <w:shd w:val="clear" w:color="auto" w:fill="F4F6F9"/>
            <w:vAlign w:val="center"/>
          </w:tcPr>
          <w:p>
            <w:r/>
            <w:r>
              <w:rPr>
                <w:rFonts w:ascii="Calibri" w:hAnsi="Calibri"/>
                <w:b w:val="0"/>
                <w:i w:val="0"/>
                <w:color w:val="1A202C"/>
                <w:sz w:val="21"/>
              </w:rPr>
              <w:t>Codebook filename divergence</w:t>
            </w:r>
          </w:p>
        </w:tc>
        <w:tc>
          <w:tcPr>
            <w:tcW w:type="dxa" w:w="3213"/>
            <w:shd w:val="clear" w:color="auto" w:fill="F4F6F9"/>
            <w:vAlign w:val="center"/>
          </w:tcPr>
          <w:p>
            <w:r/>
            <w:r>
              <w:rPr>
                <w:rFonts w:ascii="Calibri" w:hAnsi="Calibri"/>
                <w:b w:val="0"/>
                <w:i w:val="0"/>
                <w:color w:val="1A202C"/>
                <w:sz w:val="21"/>
              </w:rPr>
              <w:t>1</w:t>
            </w:r>
          </w:p>
        </w:tc>
        <w:tc>
          <w:tcPr>
            <w:tcW w:type="dxa" w:w="3213"/>
            <w:shd w:val="clear" w:color="auto" w:fill="F4F6F9"/>
            <w:vAlign w:val="center"/>
          </w:tcPr>
          <w:p>
            <w:r/>
            <w:r>
              <w:rPr>
                <w:rFonts w:ascii="Calibri" w:hAnsi="Calibri"/>
                <w:b w:val="0"/>
                <w:i w:val="0"/>
                <w:color w:val="1A202C"/>
                <w:sz w:val="21"/>
              </w:rPr>
              <w:t>flagged</w:t>
            </w:r>
          </w:p>
        </w:tc>
      </w:tr>
      <w:tr>
        <w:tc>
          <w:tcPr>
            <w:tcW w:type="dxa" w:w="3213"/>
            <w:vAlign w:val="center"/>
          </w:tcPr>
          <w:p>
            <w:r/>
            <w:r>
              <w:rPr>
                <w:rFonts w:ascii="Calibri" w:hAnsi="Calibri"/>
                <w:b w:val="0"/>
                <w:i w:val="0"/>
                <w:color w:val="1A202C"/>
                <w:sz w:val="21"/>
              </w:rPr>
              <w:t>Automated-entry signatures (≥ 6 identical consecutive Volume_Liters per outlet-SKU)</w:t>
            </w:r>
          </w:p>
        </w:tc>
        <w:tc>
          <w:tcPr>
            <w:tcW w:type="dxa" w:w="3213"/>
            <w:vAlign w:val="center"/>
          </w:tcPr>
          <w:p>
            <w:r/>
            <w:r>
              <w:rPr>
                <w:rFonts w:ascii="Calibri" w:hAnsi="Calibri"/>
                <w:b w:val="0"/>
                <w:i w:val="0"/>
                <w:color w:val="1A202C"/>
                <w:sz w:val="21"/>
              </w:rPr>
              <w:t>0 found</w:t>
            </w:r>
          </w:p>
        </w:tc>
        <w:tc>
          <w:tcPr>
            <w:tcW w:type="dxa" w:w="3213"/>
            <w:vAlign w:val="center"/>
          </w:tcPr>
          <w:p>
            <w:r/>
            <w:r>
              <w:rPr>
                <w:rFonts w:ascii="Calibri" w:hAnsi="Calibri"/>
                <w:b w:val="0"/>
                <w:i w:val="0"/>
                <w:color w:val="1A202C"/>
                <w:sz w:val="21"/>
              </w:rPr>
              <w:t>scanned, no findings</w:t>
            </w:r>
          </w:p>
        </w:tc>
      </w:tr>
      <w:tr>
        <w:tc>
          <w:tcPr>
            <w:tcW w:type="dxa" w:w="3213"/>
            <w:shd w:val="clear" w:color="auto" w:fill="F4F6F9"/>
            <w:vAlign w:val="center"/>
          </w:tcPr>
          <w:p>
            <w:r/>
            <w:r>
              <w:rPr>
                <w:rFonts w:ascii="Calibri" w:hAnsi="Calibri"/>
                <w:b w:val="0"/>
                <w:i w:val="0"/>
                <w:color w:val="1A202C"/>
                <w:sz w:val="21"/>
              </w:rPr>
              <w:t>Stockout-sandwich months (zero flanked by positive months)</w:t>
            </w:r>
          </w:p>
        </w:tc>
        <w:tc>
          <w:tcPr>
            <w:tcW w:type="dxa" w:w="3213"/>
            <w:shd w:val="clear" w:color="auto" w:fill="F4F6F9"/>
            <w:vAlign w:val="center"/>
          </w:tcPr>
          <w:p>
            <w:r/>
            <w:r>
              <w:rPr>
                <w:rFonts w:ascii="Calibri" w:hAnsi="Calibri"/>
                <w:b w:val="0"/>
                <w:i w:val="0"/>
                <w:color w:val="1A202C"/>
                <w:sz w:val="21"/>
              </w:rPr>
              <w:t>80,611</w:t>
            </w:r>
          </w:p>
        </w:tc>
        <w:tc>
          <w:tcPr>
            <w:tcW w:type="dxa" w:w="3213"/>
            <w:shd w:val="clear" w:color="auto" w:fill="F4F6F9"/>
            <w:vAlign w:val="center"/>
          </w:tcPr>
          <w:p>
            <w:r/>
            <w:r>
              <w:rPr>
                <w:rFonts w:ascii="Calibri" w:hAnsi="Calibri"/>
                <w:b w:val="0"/>
                <w:i w:val="0"/>
                <w:color w:val="1A202C"/>
                <w:sz w:val="21"/>
              </w:rPr>
              <w:t>flagged for modelling — used as a constraint signal, not quarantined</w:t>
            </w:r>
          </w:p>
        </w:tc>
      </w:tr>
      <w:tr>
        <w:tc>
          <w:tcPr>
            <w:tcW w:type="dxa" w:w="3213"/>
            <w:vAlign w:val="center"/>
          </w:tcPr>
          <w:p>
            <w:r/>
            <w:r>
              <w:rPr>
                <w:rFonts w:ascii="Calibri" w:hAnsi="Calibri"/>
                <w:b w:val="0"/>
                <w:i w:val="0"/>
                <w:color w:val="1A202C"/>
                <w:sz w:val="21"/>
              </w:rPr>
              <w:t>Dead-then-resurrected outlets (≥ 6 consecutive zero months and then resumed)</w:t>
            </w:r>
          </w:p>
        </w:tc>
        <w:tc>
          <w:tcPr>
            <w:tcW w:type="dxa" w:w="3213"/>
            <w:vAlign w:val="center"/>
          </w:tcPr>
          <w:p>
            <w:r/>
            <w:r>
              <w:rPr>
                <w:rFonts w:ascii="Calibri" w:hAnsi="Calibri"/>
                <w:b w:val="0"/>
                <w:i w:val="0"/>
                <w:color w:val="1A202C"/>
                <w:sz w:val="21"/>
              </w:rPr>
              <w:t>2,707</w:t>
            </w:r>
          </w:p>
        </w:tc>
        <w:tc>
          <w:tcPr>
            <w:tcW w:type="dxa" w:w="3213"/>
            <w:vAlign w:val="center"/>
          </w:tcPr>
          <w:p>
            <w:r/>
            <w:r>
              <w:rPr>
                <w:rFonts w:ascii="Calibri" w:hAnsi="Calibri"/>
                <w:b w:val="0"/>
                <w:i w:val="0"/>
                <w:color w:val="1A202C"/>
                <w:sz w:val="21"/>
              </w:rPr>
              <w:t>flagged — used as positive training labels for the dormancy classifier</w:t>
            </w:r>
          </w:p>
        </w:tc>
      </w:tr>
      <w:tr>
        <w:tc>
          <w:tcPr>
            <w:tcW w:type="dxa" w:w="3213"/>
            <w:shd w:val="clear" w:color="auto" w:fill="F4F6F9"/>
            <w:vAlign w:val="center"/>
          </w:tcPr>
          <w:p>
            <w:r/>
            <w:r>
              <w:rPr>
                <w:rFonts w:ascii="Calibri" w:hAnsi="Calibri"/>
                <w:b w:val="0"/>
                <w:i w:val="0"/>
                <w:color w:val="1A202C"/>
                <w:sz w:val="21"/>
              </w:rPr>
              <w:t>Coordinates outside coarse land-mask (≥ 5 km from any land outlet)</w:t>
            </w:r>
          </w:p>
        </w:tc>
        <w:tc>
          <w:tcPr>
            <w:tcW w:type="dxa" w:w="3213"/>
            <w:shd w:val="clear" w:color="auto" w:fill="F4F6F9"/>
            <w:vAlign w:val="center"/>
          </w:tcPr>
          <w:p>
            <w:r/>
            <w:r>
              <w:rPr>
                <w:rFonts w:ascii="Calibri" w:hAnsi="Calibri"/>
                <w:b w:val="0"/>
                <w:i w:val="0"/>
                <w:color w:val="1A202C"/>
                <w:sz w:val="21"/>
              </w:rPr>
              <w:t>521</w:t>
            </w:r>
          </w:p>
        </w:tc>
        <w:tc>
          <w:tcPr>
            <w:tcW w:type="dxa" w:w="3213"/>
            <w:shd w:val="clear" w:color="auto" w:fill="F4F6F9"/>
            <w:vAlign w:val="center"/>
          </w:tcPr>
          <w:p>
            <w:r/>
            <w:r>
              <w:rPr>
                <w:rFonts w:ascii="Calibri" w:hAnsi="Calibri"/>
                <w:b w:val="0"/>
                <w:i w:val="0"/>
                <w:color w:val="1A202C"/>
                <w:sz w:val="21"/>
              </w:rPr>
              <w:t>quarantined — likely GPS errors; coastal coordinates kept within 5 km buffer</w:t>
            </w:r>
          </w:p>
        </w:tc>
      </w:tr>
    </w:tbl>
    <w:p>
      <w:pPr>
        <w:spacing w:after="80"/>
      </w:pPr>
    </w:p>
    <w:p>
      <w:pPr>
        <w:spacing w:after="120" w:line="300" w:lineRule="auto"/>
      </w:pPr>
      <w:r>
        <w:rPr>
          <w:rFonts w:ascii="Calibri" w:hAnsi="Calibri"/>
          <w:b w:val="0"/>
          <w:i w:val="0"/>
          <w:color w:val="1A202C"/>
          <w:sz w:val="22"/>
        </w:rPr>
        <w:t xml:space="preserve">The Lat/Lon swap recovery and the size-imputation logic are deliberate: a naive bounding-box rule would have quarantined 240 useful outlets; an </w:t>
      </w:r>
      <w:r>
        <w:rPr>
          <w:rFonts w:ascii="Consolas" w:hAnsi="Consolas"/>
          <w:b w:val="0"/>
          <w:i w:val="0"/>
          <w:color w:val="1A202C"/>
          <w:sz w:val="21"/>
        </w:rPr>
        <w:t>is_null(Outlet_Size)</w:t>
      </w:r>
      <w:r>
        <w:rPr>
          <w:rFonts w:ascii="Calibri" w:hAnsi="Calibri"/>
          <w:b w:val="0"/>
          <w:i w:val="0"/>
          <w:color w:val="1A202C"/>
          <w:sz w:val="22"/>
        </w:rPr>
        <w:t xml:space="preserve"> rule would have lost 196 outlets whose cooler count plainly signals their size class.</w:t>
      </w:r>
    </w:p>
    <w:p>
      <w:pPr>
        <w:pBdr>
          <w:bottom w:val="single" w:sz="6" w:space="1" w:color="B8C2CC"/>
        </w:pBdr>
      </w:pPr>
    </w:p>
    <w:p>
      <w:pPr>
        <w:spacing w:before="280" w:after="80"/>
        <w:pBdr>
          <w:bottom w:val="single" w:sz="8" w:space="2" w:color="0E7CBE"/>
        </w:pBdr>
      </w:pPr>
      <w:r>
        <w:rPr>
          <w:rFonts w:ascii="Calibri" w:hAnsi="Calibri"/>
          <w:b/>
          <w:i w:val="0"/>
          <w:color w:val="0E3F6E"/>
          <w:sz w:val="30"/>
        </w:rPr>
        <w:t>c. Mathematical Framework</w:t>
      </w:r>
    </w:p>
    <w:p>
      <w:pPr>
        <w:spacing w:before="200" w:after="40"/>
      </w:pPr>
      <w:r>
        <w:rPr>
          <w:rFonts w:ascii="Calibri" w:hAnsi="Calibri"/>
          <w:b/>
          <w:i w:val="0"/>
          <w:color w:val="0E7CBE"/>
          <w:sz w:val="25"/>
        </w:rPr>
        <w:t>The censoring structure and a note on terminology</w:t>
      </w:r>
    </w:p>
    <w:p>
      <w:pPr>
        <w:spacing w:after="120" w:line="300" w:lineRule="auto"/>
      </w:pPr>
      <w:r>
        <w:rPr>
          <w:rFonts w:ascii="Calibri" w:hAnsi="Calibri"/>
          <w:b w:val="0"/>
          <w:i w:val="0"/>
          <w:color w:val="1A202C"/>
          <w:sz w:val="22"/>
        </w:rPr>
        <w:t xml:space="preserve">The brief refers to the demand curve as "left-censored". In standard econometric notation </w:t>
      </w:r>
      <w:r>
        <w:rPr>
          <w:rFonts w:ascii="Consolas" w:hAnsi="Consolas"/>
          <w:b w:val="0"/>
          <w:i w:val="0"/>
          <w:color w:val="1A202C"/>
          <w:sz w:val="21"/>
        </w:rPr>
        <w:t>V = min(D, C)</w:t>
      </w:r>
      <w:r>
        <w:rPr>
          <w:rFonts w:ascii="Calibri" w:hAnsi="Calibri"/>
          <w:b w:val="0"/>
          <w:i w:val="0"/>
          <w:color w:val="1A202C"/>
          <w:sz w:val="22"/>
        </w:rPr>
        <w:t xml:space="preserve"> is </w:t>
      </w:r>
      <w:r>
        <w:rPr>
          <w:rFonts w:ascii="Calibri" w:hAnsi="Calibri"/>
          <w:b/>
          <w:i w:val="0"/>
          <w:color w:val="1A202C"/>
          <w:sz w:val="22"/>
        </w:rPr>
        <w:t>right-censored from above</w:t>
      </w:r>
      <w:r>
        <w:rPr>
          <w:rFonts w:ascii="Calibri" w:hAnsi="Calibri"/>
          <w:b w:val="0"/>
          <w:i w:val="0"/>
          <w:color w:val="1A202C"/>
          <w:sz w:val="22"/>
        </w:rPr>
        <w:t xml:space="preserve">: when the constraint binds we observe </w:t>
      </w:r>
      <w:r>
        <w:rPr>
          <w:rFonts w:ascii="Consolas" w:hAnsi="Consolas"/>
          <w:b w:val="0"/>
          <w:i w:val="0"/>
          <w:color w:val="1A202C"/>
          <w:sz w:val="21"/>
        </w:rPr>
        <w:t>C</w:t>
      </w:r>
      <w:r>
        <w:rPr>
          <w:rFonts w:ascii="Calibri" w:hAnsi="Calibri"/>
          <w:b w:val="0"/>
          <w:i w:val="0"/>
          <w:color w:val="1A202C"/>
          <w:sz w:val="22"/>
        </w:rPr>
        <w:t xml:space="preserve">, while the true latent demand </w:t>
      </w:r>
      <w:r>
        <w:rPr>
          <w:rFonts w:ascii="Consolas" w:hAnsi="Consolas"/>
          <w:b w:val="0"/>
          <w:i w:val="0"/>
          <w:color w:val="1A202C"/>
          <w:sz w:val="21"/>
        </w:rPr>
        <w:t>D</w:t>
      </w:r>
      <w:r>
        <w:rPr>
          <w:rFonts w:ascii="Calibri" w:hAnsi="Calibri"/>
          <w:b w:val="0"/>
          <w:i w:val="0"/>
          <w:color w:val="1A202C"/>
          <w:sz w:val="22"/>
        </w:rPr>
        <w:t xml:space="preserve"> is at least </w:t>
      </w:r>
      <w:r>
        <w:rPr>
          <w:rFonts w:ascii="Consolas" w:hAnsi="Consolas"/>
          <w:b w:val="0"/>
          <w:i w:val="0"/>
          <w:color w:val="1A202C"/>
          <w:sz w:val="21"/>
        </w:rPr>
        <w:t>C</w:t>
      </w:r>
      <w:r>
        <w:rPr>
          <w:rFonts w:ascii="Calibri" w:hAnsi="Calibri"/>
          <w:b w:val="0"/>
          <w:i w:val="0"/>
          <w:color w:val="1A202C"/>
          <w:sz w:val="22"/>
        </w:rPr>
        <w:t>. The brief is using the term informally; our Tobit Type I implementation treats the binding cases as right-censored exactly as Tobin (1958) specifies. The mathematics below uses the standard convention.</w:t>
      </w:r>
    </w:p>
    <w:p>
      <w:pPr>
        <w:spacing w:before="200" w:after="40"/>
      </w:pPr>
      <w:r>
        <w:rPr>
          <w:rFonts w:ascii="Calibri" w:hAnsi="Calibri"/>
          <w:b/>
          <w:i w:val="0"/>
          <w:color w:val="0E7CBE"/>
          <w:sz w:val="25"/>
        </w:rPr>
        <w:t>Cohort design</w:t>
      </w:r>
    </w:p>
    <w:p>
      <w:pPr>
        <w:spacing w:after="120" w:line="300" w:lineRule="auto"/>
      </w:pPr>
      <w:r>
        <w:rPr>
          <w:rFonts w:ascii="Calibri" w:hAnsi="Calibri"/>
          <w:b w:val="0"/>
          <w:i w:val="0"/>
          <w:color w:val="1A202C"/>
          <w:sz w:val="22"/>
        </w:rPr>
        <w:t xml:space="preserve">For each outlet we identify a cohort that shares (Outlet_Type, Outlet_Size, Province, POI density tier). The tier is computed within each province (Q1/Q2/Q3/Q4 of </w:t>
      </w:r>
      <w:r>
        <w:rPr>
          <w:rFonts w:ascii="Consolas" w:hAnsi="Consolas"/>
          <w:b w:val="0"/>
          <w:i w:val="0"/>
          <w:color w:val="1A202C"/>
          <w:sz w:val="21"/>
        </w:rPr>
        <w:t>poi_total_2km</w:t>
      </w:r>
      <w:r>
        <w:rPr>
          <w:rFonts w:ascii="Calibri" w:hAnsi="Calibri"/>
          <w:b w:val="0"/>
          <w:i w:val="0"/>
          <w:color w:val="1A202C"/>
          <w:sz w:val="22"/>
        </w:rPr>
        <w:t xml:space="preserve">) so an outlet's tier means the same thing across the four provinces — mitigating OSM rural coverage bias. The cohort decision walks five fallback levels until a cohort with </w:t>
      </w:r>
      <w:r>
        <w:rPr>
          <w:rFonts w:ascii="Consolas" w:hAnsi="Consolas"/>
          <w:b w:val="0"/>
          <w:i w:val="0"/>
          <w:color w:val="1A202C"/>
          <w:sz w:val="21"/>
        </w:rPr>
        <w:t>n ≥ 30</w:t>
      </w:r>
      <w:r>
        <w:rPr>
          <w:rFonts w:ascii="Calibri" w:hAnsi="Calibri"/>
          <w:b w:val="0"/>
          <w:i w:val="0"/>
          <w:color w:val="1A202C"/>
          <w:sz w:val="22"/>
        </w:rPr>
        <w:t xml:space="preserve"> unconstrained outlet-months is found:</w:t>
      </w:r>
    </w:p>
    <w:p>
      <w:pPr>
        <w:spacing w:after="80"/>
        <w:ind w:left="227"/>
        <w:shd w:val="clear" w:color="auto" w:fill="F4F6F9"/>
      </w:pPr>
      <w:r>
        <w:rPr>
          <w:rFonts w:ascii="Consolas" w:hAnsi="Consolas"/>
          <w:b w:val="0"/>
          <w:i w:val="0"/>
          <w:color w:val="1A202C"/>
          <w:sz w:val="19"/>
        </w:rPr>
        <w:t>L0  Type × Size × Province × poi_tier   (finest)</w:t>
        <w:br/>
      </w:r>
      <w:r>
        <w:rPr>
          <w:rFonts w:ascii="Consolas" w:hAnsi="Consolas"/>
          <w:b w:val="0"/>
          <w:i w:val="0"/>
          <w:color w:val="1A202C"/>
          <w:sz w:val="19"/>
        </w:rPr>
        <w:t>L1  drop poi_tier</w:t>
        <w:br/>
      </w:r>
      <w:r>
        <w:rPr>
          <w:rFonts w:ascii="Consolas" w:hAnsi="Consolas"/>
          <w:b w:val="0"/>
          <w:i w:val="0"/>
          <w:color w:val="1A202C"/>
          <w:sz w:val="19"/>
        </w:rPr>
        <w:t>L2  drop province</w:t>
        <w:br/>
      </w:r>
      <w:r>
        <w:rPr>
          <w:rFonts w:ascii="Consolas" w:hAnsi="Consolas"/>
          <w:b w:val="0"/>
          <w:i w:val="0"/>
          <w:color w:val="1A202C"/>
          <w:sz w:val="19"/>
        </w:rPr>
        <w:t>L3  drop size</w:t>
        <w:br/>
      </w:r>
      <w:r>
        <w:rPr>
          <w:rFonts w:ascii="Consolas" w:hAnsi="Consolas"/>
          <w:b w:val="0"/>
          <w:i w:val="0"/>
          <w:color w:val="1A202C"/>
          <w:sz w:val="19"/>
        </w:rPr>
        <w:t>L4  global                                (coarsest)</w:t>
        <w:br/>
      </w:r>
    </w:p>
    <w:p>
      <w:pPr>
        <w:spacing w:after="120" w:line="300" w:lineRule="auto"/>
      </w:pPr>
      <w:r>
        <w:rPr>
          <w:rFonts w:ascii="Calibri" w:hAnsi="Calibri"/>
          <w:b w:val="0"/>
          <w:i w:val="0"/>
          <w:color w:val="1A202C"/>
          <w:sz w:val="22"/>
        </w:rPr>
        <w:t>In the current dataset &gt; 99% of outlets resolve at L0.</w:t>
      </w:r>
    </w:p>
    <w:p>
      <w:pPr>
        <w:spacing w:before="200" w:after="40"/>
      </w:pPr>
      <w:r>
        <w:rPr>
          <w:rFonts w:ascii="Calibri" w:hAnsi="Calibri"/>
          <w:b/>
          <w:i w:val="0"/>
          <w:color w:val="0E7CBE"/>
          <w:sz w:val="25"/>
        </w:rPr>
        <w:t>Constraint detection (four OR-combined rules)</w:t>
      </w:r>
    </w:p>
    <w:p>
      <w:pPr>
        <w:spacing w:after="120" w:line="300" w:lineRule="auto"/>
      </w:pPr>
      <w:r>
        <w:rPr>
          <w:rFonts w:ascii="Calibri" w:hAnsi="Calibri"/>
          <w:b w:val="0"/>
          <w:i w:val="0"/>
          <w:color w:val="1A202C"/>
          <w:sz w:val="22"/>
        </w:rPr>
        <w:t>An outlet-month is flagged constrained if any rule fires:</w:t>
      </w:r>
    </w:p>
    <w:p>
      <w:pPr>
        <w:spacing w:after="120" w:line="300" w:lineRule="auto"/>
      </w:pPr>
      <w:r>
        <w:rPr>
          <w:rFonts w:ascii="Calibri" w:hAnsi="Calibri"/>
          <w:b w:val="0"/>
          <w:i w:val="0"/>
          <w:color w:val="1A202C"/>
          <w:sz w:val="22"/>
        </w:rPr>
        <w:t xml:space="preserve">1. </w:t>
      </w:r>
      <w:r>
        <w:rPr>
          <w:rFonts w:ascii="Calibri" w:hAnsi="Calibri"/>
          <w:b/>
          <w:i w:val="0"/>
          <w:color w:val="1A202C"/>
          <w:sz w:val="22"/>
        </w:rPr>
        <w:t>Stockout sandwich</w:t>
      </w:r>
      <w:r>
        <w:rPr>
          <w:rFonts w:ascii="Calibri" w:hAnsi="Calibri"/>
          <w:b w:val="0"/>
          <w:i w:val="0"/>
          <w:color w:val="1A202C"/>
          <w:sz w:val="22"/>
        </w:rPr>
        <w:t xml:space="preserve"> — zero volume between two positive months 2. </w:t>
      </w:r>
      <w:r>
        <w:rPr>
          <w:rFonts w:ascii="Calibri" w:hAnsi="Calibri"/>
          <w:b/>
          <w:i w:val="0"/>
          <w:color w:val="1A202C"/>
          <w:sz w:val="22"/>
        </w:rPr>
        <w:t>Zero-in-active outlet</w:t>
      </w:r>
      <w:r>
        <w:rPr>
          <w:rFonts w:ascii="Calibri" w:hAnsi="Calibri"/>
          <w:b w:val="0"/>
          <w:i w:val="0"/>
          <w:color w:val="1A202C"/>
          <w:sz w:val="22"/>
        </w:rPr>
        <w:t xml:space="preserve"> — </w:t>
      </w:r>
      <w:r>
        <w:rPr>
          <w:rFonts w:ascii="Consolas" w:hAnsi="Consolas"/>
          <w:b w:val="0"/>
          <w:i w:val="0"/>
          <w:color w:val="1A202C"/>
          <w:sz w:val="21"/>
        </w:rPr>
        <w:t>V = 0</w:t>
      </w:r>
      <w:r>
        <w:rPr>
          <w:rFonts w:ascii="Calibri" w:hAnsi="Calibri"/>
          <w:b w:val="0"/>
          <w:i w:val="0"/>
          <w:color w:val="1A202C"/>
          <w:sz w:val="22"/>
        </w:rPr>
        <w:t xml:space="preserve"> while the outlet has any positive month overall (intermittent supply) 3. </w:t>
      </w:r>
      <w:r>
        <w:rPr>
          <w:rFonts w:ascii="Calibri" w:hAnsi="Calibri"/>
          <w:b/>
          <w:i w:val="0"/>
          <w:color w:val="1A202C"/>
          <w:sz w:val="22"/>
        </w:rPr>
        <w:t>No-cooler + high-zero share</w:t>
      </w:r>
      <w:r>
        <w:rPr>
          <w:rFonts w:ascii="Calibri" w:hAnsi="Calibri"/>
          <w:b w:val="0"/>
          <w:i w:val="0"/>
          <w:color w:val="1A202C"/>
          <w:sz w:val="22"/>
        </w:rPr>
        <w:t xml:space="preserve"> — </w:t>
      </w:r>
      <w:r>
        <w:rPr>
          <w:rFonts w:ascii="Consolas" w:hAnsi="Consolas"/>
          <w:b w:val="0"/>
          <w:i w:val="0"/>
          <w:color w:val="1A202C"/>
          <w:sz w:val="21"/>
        </w:rPr>
        <w:t>Cooler_Count = 0</w:t>
      </w:r>
      <w:r>
        <w:rPr>
          <w:rFonts w:ascii="Calibri" w:hAnsi="Calibri"/>
          <w:b w:val="0"/>
          <w:i w:val="0"/>
          <w:color w:val="1A202C"/>
          <w:sz w:val="22"/>
        </w:rPr>
        <w:t xml:space="preserve"> AND </w:t>
      </w:r>
      <w:r>
        <w:rPr>
          <w:rFonts w:ascii="Consolas" w:hAnsi="Consolas"/>
          <w:b w:val="0"/>
          <w:i w:val="0"/>
          <w:color w:val="1A202C"/>
          <w:sz w:val="21"/>
        </w:rPr>
        <w:t>zero_months_share &gt; 0.30</w:t>
      </w:r>
      <w:r>
        <w:rPr>
          <w:rFonts w:ascii="Calibri" w:hAnsi="Calibri"/>
          <w:b w:val="0"/>
          <w:i w:val="0"/>
          <w:color w:val="1A202C"/>
          <w:sz w:val="22"/>
        </w:rPr>
        <w:t xml:space="preserve"> AND </w:t>
      </w:r>
      <w:r>
        <w:rPr>
          <w:rFonts w:ascii="Consolas" w:hAnsi="Consolas"/>
          <w:b w:val="0"/>
          <w:i w:val="0"/>
          <w:color w:val="1A202C"/>
          <w:sz w:val="21"/>
        </w:rPr>
        <w:t>V = 0</w:t>
      </w:r>
      <w:r>
        <w:rPr>
          <w:rFonts w:ascii="Calibri" w:hAnsi="Calibri"/>
          <w:b w:val="0"/>
          <w:i w:val="0"/>
          <w:color w:val="1A202C"/>
          <w:sz w:val="22"/>
        </w:rPr>
        <w:t xml:space="preserve"> 4. </w:t>
      </w:r>
      <w:r>
        <w:rPr>
          <w:rFonts w:ascii="Calibri" w:hAnsi="Calibri"/>
          <w:b/>
          <w:i w:val="0"/>
          <w:color w:val="1A202C"/>
          <w:sz w:val="22"/>
        </w:rPr>
        <w:t>No-cooler + low-volume</w:t>
      </w:r>
      <w:r>
        <w:rPr>
          <w:rFonts w:ascii="Calibri" w:hAnsi="Calibri"/>
          <w:b w:val="0"/>
          <w:i w:val="0"/>
          <w:color w:val="1A202C"/>
          <w:sz w:val="22"/>
        </w:rPr>
        <w:t xml:space="preserve"> — </w:t>
      </w:r>
      <w:r>
        <w:rPr>
          <w:rFonts w:ascii="Consolas" w:hAnsi="Consolas"/>
          <w:b w:val="0"/>
          <w:i w:val="0"/>
          <w:color w:val="1A202C"/>
          <w:sz w:val="21"/>
        </w:rPr>
        <w:t>Cooler_Count = 0</w:t>
      </w:r>
      <w:r>
        <w:rPr>
          <w:rFonts w:ascii="Calibri" w:hAnsi="Calibri"/>
          <w:b w:val="0"/>
          <w:i w:val="0"/>
          <w:color w:val="1A202C"/>
          <w:sz w:val="22"/>
        </w:rPr>
        <w:t xml:space="preserve"> AND </w:t>
      </w:r>
      <w:r>
        <w:rPr>
          <w:rFonts w:ascii="Consolas" w:hAnsi="Consolas"/>
          <w:b w:val="0"/>
          <w:i w:val="0"/>
          <w:color w:val="1A202C"/>
          <w:sz w:val="21"/>
        </w:rPr>
        <w:t>V &gt; 0</w:t>
      </w:r>
      <w:r>
        <w:rPr>
          <w:rFonts w:ascii="Calibri" w:hAnsi="Calibri"/>
          <w:b w:val="0"/>
          <w:i w:val="0"/>
          <w:color w:val="1A202C"/>
          <w:sz w:val="22"/>
        </w:rPr>
        <w:t xml:space="preserve"> AND </w:t>
      </w:r>
      <w:r>
        <w:rPr>
          <w:rFonts w:ascii="Consolas" w:hAnsi="Consolas"/>
          <w:b w:val="0"/>
          <w:i w:val="0"/>
          <w:color w:val="1A202C"/>
          <w:sz w:val="21"/>
        </w:rPr>
        <w:t>V &lt; own Q90 / 3</w:t>
      </w:r>
      <w:r>
        <w:rPr>
          <w:rFonts w:ascii="Calibri" w:hAnsi="Calibri"/>
          <w:b w:val="0"/>
          <w:i w:val="0"/>
          <w:color w:val="1A202C"/>
          <w:sz w:val="22"/>
        </w:rPr>
        <w:t xml:space="preserve"> (suppressed cold-storage outlet operating below capacity)</w:t>
      </w:r>
    </w:p>
    <w:p>
      <w:pPr>
        <w:spacing w:after="120" w:line="300" w:lineRule="auto"/>
      </w:pPr>
      <w:r>
        <w:rPr>
          <w:rFonts w:ascii="Calibri" w:hAnsi="Calibri"/>
          <w:b w:val="0"/>
          <w:i w:val="0"/>
          <w:color w:val="1A202C"/>
          <w:sz w:val="22"/>
        </w:rPr>
        <w:t>About 43.6 % of outlet-months are flagged in the current data. Rule 4 was added in a second pass after the team observed that 35 % of outlets have zero coolers and many of those are clearly suppressed rather than fully inactive.</w:t>
      </w:r>
    </w:p>
    <w:p>
      <w:pPr>
        <w:spacing w:before="200" w:after="40"/>
      </w:pPr>
      <w:r>
        <w:rPr>
          <w:rFonts w:ascii="Calibri" w:hAnsi="Calibri"/>
          <w:b/>
          <w:i w:val="0"/>
          <w:color w:val="0E7CBE"/>
          <w:sz w:val="25"/>
        </w:rPr>
        <w:t>Five-method ensemble</w:t>
      </w:r>
    </w:p>
    <w:p>
      <w:pPr>
        <w:spacing w:after="120" w:line="300" w:lineRule="auto"/>
      </w:pPr>
      <w:r>
        <w:rPr>
          <w:rFonts w:ascii="Calibri" w:hAnsi="Calibri"/>
          <w:b w:val="0"/>
          <w:i w:val="0"/>
          <w:color w:val="1A202C"/>
          <w:sz w:val="22"/>
        </w:rPr>
        <w:t>The base prediction is the peer-conditional Q90 anchor:</w:t>
      </w:r>
    </w:p>
    <w:p>
      <w:pPr>
        <w:spacing w:after="40"/>
        <w:ind w:left="340"/>
        <w:pBdr>
          <w:left w:val="single" w:sz="18" w:space="6" w:color="0E7CBE"/>
        </w:pBdr>
      </w:pPr>
      <w:r>
        <w:rPr>
          <w:rFonts w:ascii="Calibri" w:hAnsi="Calibri"/>
          <w:b w:val="0"/>
          <w:i w:val="0"/>
          <w:color w:val="5A6778"/>
          <w:sz w:val="22"/>
        </w:rPr>
        <w:t>base_potential_i = max( own Q90 of unconstrained months_i, peer cohort Q90_i )</w:t>
      </w:r>
    </w:p>
    <w:p>
      <w:pPr>
        <w:spacing w:after="120" w:line="300" w:lineRule="auto"/>
      </w:pPr>
      <w:r>
        <w:rPr>
          <w:rFonts w:ascii="Calibri" w:hAnsi="Calibri"/>
          <w:b w:val="0"/>
          <w:i w:val="0"/>
          <w:color w:val="1A202C"/>
          <w:sz w:val="22"/>
        </w:rPr>
        <w:t>The January 2026 projection multiplies the base by three calibrated factors:</w:t>
      </w:r>
    </w:p>
    <w:p>
      <w:pPr>
        <w:spacing w:after="40"/>
        <w:ind w:left="340"/>
        <w:pBdr>
          <w:left w:val="single" w:sz="18" w:space="6" w:color="0E7CBE"/>
        </w:pBdr>
      </w:pPr>
      <w:r>
        <w:rPr>
          <w:rFonts w:ascii="Calibri" w:hAnsi="Calibri"/>
          <w:b w:val="0"/>
          <w:i w:val="0"/>
          <w:color w:val="5A6778"/>
          <w:sz w:val="22"/>
        </w:rPr>
        <w:t>proj_i = base_i × seasonality_mult(Jan 2026 category, distributor) × YoY_growth_mult(distributor) × holiday_count_mult</w:t>
      </w:r>
    </w:p>
    <w:p>
      <w:pPr>
        <w:spacing w:after="120" w:line="300" w:lineRule="auto"/>
      </w:pPr>
      <w:r>
        <w:rPr>
          <w:rFonts w:ascii="Calibri" w:hAnsi="Calibri"/>
          <w:b w:val="0"/>
          <w:i w:val="0"/>
          <w:color w:val="1A202C"/>
          <w:sz w:val="22"/>
        </w:rPr>
        <w:t xml:space="preserve">Seasonality multipliers are calibrated empirically per distributor and Seasonality_Index level (Favorable ≈ 1.30-1.43, Moderate ≈ 0.90-0.99, Un-Favorable ≈ 0.59-0.65). YoY is the geometric mean of Jan-over-Jan growth per distributor, clipped to </w:t>
      </w:r>
      <w:r>
        <w:rPr>
          <w:rFonts w:ascii="Consolas" w:hAnsi="Consolas"/>
          <w:b w:val="0"/>
          <w:i w:val="0"/>
          <w:color w:val="1A202C"/>
          <w:sz w:val="21"/>
        </w:rPr>
        <w:t>[0.85, 1.30]</w:t>
      </w:r>
      <w:r>
        <w:rPr>
          <w:rFonts w:ascii="Calibri" w:hAnsi="Calibri"/>
          <w:b w:val="0"/>
          <w:i w:val="0"/>
          <w:color w:val="1A202C"/>
          <w:sz w:val="22"/>
        </w:rPr>
        <w:t xml:space="preserve">. The holiday multiplier compares the count of unique Jan 2026 holiday dates against the historical Jan average (the inputs use </w:t>
      </w:r>
      <w:r>
        <w:rPr>
          <w:rFonts w:ascii="Consolas" w:hAnsi="Consolas"/>
          <w:b w:val="0"/>
          <w:i w:val="0"/>
          <w:color w:val="1A202C"/>
          <w:sz w:val="21"/>
        </w:rPr>
        <w:t>nunique(Date)</w:t>
      </w:r>
      <w:r>
        <w:rPr>
          <w:rFonts w:ascii="Calibri" w:hAnsi="Calibri"/>
          <w:b w:val="0"/>
          <w:i w:val="0"/>
          <w:color w:val="1A202C"/>
          <w:sz w:val="22"/>
        </w:rPr>
        <w:t xml:space="preserve"> on both sides to avoid asymmetric counting). Sanity bounds: floor = own Q95, ceiling = 5 × peer cohort Q99.</w:t>
      </w:r>
    </w:p>
    <w:p>
      <w:pPr>
        <w:spacing w:after="120" w:line="300" w:lineRule="auto"/>
      </w:pPr>
      <w:r>
        <w:rPr>
          <w:rFonts w:ascii="Calibri" w:hAnsi="Calibri"/>
          <w:b w:val="0"/>
          <w:i w:val="0"/>
          <w:color w:val="1A202C"/>
          <w:sz w:val="22"/>
        </w:rPr>
        <w:t>The peer anchor is cross-checked by four independent estimators:</w:t>
      </w:r>
    </w:p>
    <w:p>
      <w:pPr>
        <w:pStyle w:val="ListBullet"/>
        <w:spacing w:after="40" w:line="288" w:lineRule="auto"/>
      </w:pPr>
      <w:r>
        <w:rPr>
          <w:rFonts w:ascii="Calibri" w:hAnsi="Calibri"/>
          <w:b/>
          <w:i w:val="0"/>
          <w:color w:val="1A202C"/>
          <w:sz w:val="22"/>
        </w:rPr>
        <w:t>Phase-3 business formula</w:t>
      </w:r>
      <w:r>
        <w:rPr>
          <w:rFonts w:ascii="Calibri" w:hAnsi="Calibri"/>
          <w:b w:val="0"/>
          <w:i w:val="0"/>
          <w:color w:val="1A202C"/>
          <w:sz w:val="22"/>
        </w:rPr>
        <w:t xml:space="preserve"> (auditable):</w:t>
      </w:r>
    </w:p>
    <w:p>
      <w:pPr>
        <w:spacing w:after="120" w:line="300" w:lineRule="auto"/>
      </w:pPr>
      <w:r>
        <w:rPr>
          <w:rFonts w:ascii="Calibri" w:hAnsi="Calibri"/>
          <w:b w:val="0"/>
          <w:i w:val="0"/>
          <w:color w:val="1A202C"/>
          <w:sz w:val="22"/>
        </w:rPr>
        <w:t>&gt; formula_i = Q95(own history)_i × type_mult × size_mult × seasonality × holiday × (1 + 0.30 spatial_signal_i) × 1 / (1 + 0.25 competitor_density_norm_i)</w:t>
      </w:r>
    </w:p>
    <w:p>
      <w:pPr>
        <w:pStyle w:val="ListBullet"/>
        <w:spacing w:after="40" w:line="288" w:lineRule="auto"/>
      </w:pPr>
      <w:r>
        <w:rPr>
          <w:rFonts w:ascii="Calibri" w:hAnsi="Calibri"/>
          <w:b/>
          <w:i w:val="0"/>
          <w:color w:val="1A202C"/>
          <w:sz w:val="22"/>
        </w:rPr>
        <w:t>Log-linear regression</w:t>
      </w:r>
      <w:r>
        <w:rPr>
          <w:rFonts w:ascii="Calibri" w:hAnsi="Calibri"/>
          <w:b w:val="0"/>
          <w:i w:val="0"/>
          <w:color w:val="1A202C"/>
          <w:sz w:val="22"/>
        </w:rPr>
        <w:t xml:space="preserve"> on the unconstrained subset: </w:t>
      </w:r>
      <w:r>
        <w:rPr>
          <w:rFonts w:ascii="Consolas" w:hAnsi="Consolas"/>
          <w:b w:val="0"/>
          <w:i w:val="0"/>
          <w:color w:val="1A202C"/>
          <w:sz w:val="21"/>
        </w:rPr>
        <w:t>log(1+V) ~ X β</w:t>
      </w:r>
      <w:r>
        <w:rPr>
          <w:rFonts w:ascii="Calibri" w:hAnsi="Calibri"/>
          <w:b w:val="0"/>
          <w:i w:val="0"/>
          <w:color w:val="1A202C"/>
          <w:sz w:val="22"/>
        </w:rPr>
        <w:t xml:space="preserve">, with </w:t>
      </w:r>
      <w:r>
        <w:rPr>
          <w:rFonts w:ascii="Consolas" w:hAnsi="Consolas"/>
          <w:b w:val="0"/>
          <w:i w:val="0"/>
          <w:color w:val="1A202C"/>
          <w:sz w:val="21"/>
        </w:rPr>
        <w:t>X</w:t>
      </w:r>
      <w:r>
        <w:rPr>
          <w:rFonts w:ascii="Calibri" w:hAnsi="Calibri"/>
          <w:b w:val="0"/>
          <w:i w:val="0"/>
          <w:color w:val="1A202C"/>
          <w:sz w:val="22"/>
        </w:rPr>
        <w:t xml:space="preserve"> covering attributes, SKU mix, POI scores, and one-hot categoricals.</w:t>
      </w:r>
    </w:p>
    <w:p>
      <w:pPr>
        <w:pStyle w:val="ListBullet"/>
        <w:spacing w:after="40" w:line="288" w:lineRule="auto"/>
      </w:pPr>
      <w:r>
        <w:rPr>
          <w:rFonts w:ascii="Calibri" w:hAnsi="Calibri"/>
          <w:b/>
          <w:i w:val="0"/>
          <w:color w:val="1A202C"/>
          <w:sz w:val="22"/>
        </w:rPr>
        <w:t>Tobit Type I MLE</w:t>
      </w:r>
      <w:r>
        <w:rPr>
          <w:rFonts w:ascii="Calibri" w:hAnsi="Calibri"/>
          <w:b w:val="0"/>
          <w:i w:val="0"/>
          <w:color w:val="1A202C"/>
          <w:sz w:val="22"/>
        </w:rPr>
        <w:t xml:space="preserve"> (Tobin 1958): full likelihood with right-censoring at the observed value when constrained, fitted by L-BFGS-B on a deterministic 300k-row sample.</w:t>
      </w:r>
    </w:p>
    <w:p>
      <w:pPr>
        <w:pStyle w:val="ListBullet"/>
        <w:spacing w:after="40" w:line="288" w:lineRule="auto"/>
      </w:pPr>
      <w:r>
        <w:rPr>
          <w:rFonts w:ascii="Calibri" w:hAnsi="Calibri"/>
          <w:b/>
          <w:i w:val="0"/>
          <w:color w:val="1A202C"/>
          <w:sz w:val="22"/>
        </w:rPr>
        <w:t>Stochastic Frontier Analysis</w:t>
      </w:r>
      <w:r>
        <w:rPr>
          <w:rFonts w:ascii="Calibri" w:hAnsi="Calibri"/>
          <w:b w:val="0"/>
          <w:i w:val="0"/>
          <w:color w:val="1A202C"/>
          <w:sz w:val="22"/>
        </w:rPr>
        <w:t xml:space="preserve"> (Aigner, Lovell &amp; Schmidt 1977 half-normal): </w:t>
      </w:r>
      <w:r>
        <w:rPr>
          <w:rFonts w:ascii="Consolas" w:hAnsi="Consolas"/>
          <w:b w:val="0"/>
          <w:i w:val="0"/>
          <w:color w:val="1A202C"/>
          <w:sz w:val="21"/>
        </w:rPr>
        <w:t>log V = X β + v - u</w:t>
      </w:r>
      <w:r>
        <w:rPr>
          <w:rFonts w:ascii="Calibri" w:hAnsi="Calibri"/>
          <w:b w:val="0"/>
          <w:i w:val="0"/>
          <w:color w:val="1A202C"/>
          <w:sz w:val="22"/>
        </w:rPr>
        <w:t xml:space="preserve"> with </w:t>
      </w:r>
      <w:r>
        <w:rPr>
          <w:rFonts w:ascii="Consolas" w:hAnsi="Consolas"/>
          <w:b w:val="0"/>
          <w:i w:val="0"/>
          <w:color w:val="1A202C"/>
          <w:sz w:val="21"/>
        </w:rPr>
        <w:t>v ~ N(0,σ_v²)</w:t>
      </w:r>
      <w:r>
        <w:rPr>
          <w:rFonts w:ascii="Calibri" w:hAnsi="Calibri"/>
          <w:b w:val="0"/>
          <w:i w:val="0"/>
          <w:color w:val="1A202C"/>
          <w:sz w:val="22"/>
        </w:rPr>
        <w:t xml:space="preserve">, </w:t>
      </w:r>
      <w:r>
        <w:rPr>
          <w:rFonts w:ascii="Consolas" w:hAnsi="Consolas"/>
          <w:b w:val="0"/>
          <w:i w:val="0"/>
          <w:color w:val="1A202C"/>
          <w:sz w:val="21"/>
        </w:rPr>
        <w:t>u ~ |N(0,σ_u²)|</w:t>
      </w:r>
      <w:r>
        <w:rPr>
          <w:rFonts w:ascii="Calibri" w:hAnsi="Calibri"/>
          <w:b w:val="0"/>
          <w:i w:val="0"/>
          <w:color w:val="1A202C"/>
          <w:sz w:val="22"/>
        </w:rPr>
        <w:t xml:space="preserve">. The frontier </w:t>
      </w:r>
      <w:r>
        <w:rPr>
          <w:rFonts w:ascii="Consolas" w:hAnsi="Consolas"/>
          <w:b w:val="0"/>
          <w:i w:val="0"/>
          <w:color w:val="1A202C"/>
          <w:sz w:val="21"/>
        </w:rPr>
        <w:t>exp(X β)</w:t>
      </w:r>
      <w:r>
        <w:rPr>
          <w:rFonts w:ascii="Calibri" w:hAnsi="Calibri"/>
          <w:b w:val="0"/>
          <w:i w:val="0"/>
          <w:color w:val="1A202C"/>
          <w:sz w:val="22"/>
        </w:rPr>
        <w:t xml:space="preserve"> is the unconstrained potential; </w:t>
      </w:r>
      <w:r>
        <w:rPr>
          <w:rFonts w:ascii="Consolas" w:hAnsi="Consolas"/>
          <w:b w:val="0"/>
          <w:i w:val="0"/>
          <w:color w:val="1A202C"/>
          <w:sz w:val="21"/>
        </w:rPr>
        <w:t>u</w:t>
      </w:r>
      <w:r>
        <w:rPr>
          <w:rFonts w:ascii="Calibri" w:hAnsi="Calibri"/>
          <w:b w:val="0"/>
          <w:i w:val="0"/>
          <w:color w:val="1A202C"/>
          <w:sz w:val="22"/>
        </w:rPr>
        <w:t xml:space="preserve"> captures the inefficiency.</w:t>
      </w:r>
    </w:p>
    <w:p>
      <w:pPr>
        <w:spacing w:after="120" w:line="300" w:lineRule="auto"/>
      </w:pPr>
      <w:r>
        <w:rPr>
          <w:rFonts w:ascii="Calibri" w:hAnsi="Calibri"/>
          <w:b w:val="0"/>
          <w:i w:val="0"/>
          <w:color w:val="1A202C"/>
          <w:sz w:val="22"/>
        </w:rPr>
        <w:t>Pairwise Spearman ρ in this dataset:</w:t>
      </w:r>
    </w:p>
    <w:tbl>
      <w:tblPr>
        <w:tblStyle w:val="LightGrid-Accent1"/>
        <w:tblW w:type="auto" w:w="0"/>
        <w:jc w:val="left"/>
        <w:tblLook w:firstColumn="1" w:firstRow="1" w:lastColumn="0" w:lastRow="0" w:noHBand="0" w:noVBand="1" w:val="04A0"/>
      </w:tblPr>
      <w:tblGrid>
        <w:gridCol w:w="4819"/>
        <w:gridCol w:w="4819"/>
      </w:tblGrid>
      <w:tr>
        <w:trPr>
          <w:tblHeader w:val="true"/>
        </w:trPr>
        <w:tc>
          <w:tcPr>
            <w:tcW w:type="dxa" w:w="4819"/>
            <w:shd w:val="clear" w:color="auto" w:fill="0E3F6E"/>
            <w:vAlign w:val="center"/>
          </w:tcPr>
          <w:p>
            <w:r/>
            <w:r>
              <w:rPr>
                <w:rFonts w:ascii="Calibri" w:hAnsi="Calibri"/>
                <w:b/>
                <w:i w:val="0"/>
                <w:color w:val="FFFFFF"/>
                <w:sz w:val="21"/>
              </w:rPr>
              <w:t>Pair</w:t>
            </w:r>
          </w:p>
        </w:tc>
        <w:tc>
          <w:tcPr>
            <w:tcW w:type="dxa" w:w="4819"/>
            <w:shd w:val="clear" w:color="auto" w:fill="0E3F6E"/>
            <w:vAlign w:val="center"/>
          </w:tcPr>
          <w:p>
            <w:r/>
            <w:r>
              <w:rPr>
                <w:rFonts w:ascii="Calibri" w:hAnsi="Calibri"/>
                <w:b/>
                <w:i w:val="0"/>
                <w:color w:val="FFFFFF"/>
                <w:sz w:val="21"/>
              </w:rPr>
              <w:t>ρ</w:t>
            </w:r>
          </w:p>
        </w:tc>
      </w:tr>
      <w:tr>
        <w:tc>
          <w:tcPr>
            <w:tcW w:type="dxa" w:w="4819"/>
            <w:vAlign w:val="center"/>
          </w:tcPr>
          <w:p>
            <w:r/>
            <w:r>
              <w:rPr>
                <w:rFonts w:ascii="Calibri" w:hAnsi="Calibri"/>
                <w:b w:val="0"/>
                <w:i w:val="0"/>
                <w:color w:val="1A202C"/>
                <w:sz w:val="21"/>
              </w:rPr>
              <w:t>peer-Q90 vs log-linear</w:t>
            </w:r>
          </w:p>
        </w:tc>
        <w:tc>
          <w:tcPr>
            <w:tcW w:type="dxa" w:w="4819"/>
            <w:vAlign w:val="center"/>
          </w:tcPr>
          <w:p>
            <w:r/>
            <w:r>
              <w:rPr>
                <w:rFonts w:ascii="Calibri" w:hAnsi="Calibri"/>
                <w:b w:val="0"/>
                <w:i w:val="0"/>
                <w:color w:val="1A202C"/>
                <w:sz w:val="21"/>
              </w:rPr>
              <w:t>0.86</w:t>
            </w:r>
          </w:p>
        </w:tc>
      </w:tr>
      <w:tr>
        <w:tc>
          <w:tcPr>
            <w:tcW w:type="dxa" w:w="4819"/>
            <w:shd w:val="clear" w:color="auto" w:fill="F4F6F9"/>
            <w:vAlign w:val="center"/>
          </w:tcPr>
          <w:p>
            <w:r/>
            <w:r>
              <w:rPr>
                <w:rFonts w:ascii="Calibri" w:hAnsi="Calibri"/>
                <w:b w:val="0"/>
                <w:i w:val="0"/>
                <w:color w:val="1A202C"/>
                <w:sz w:val="21"/>
              </w:rPr>
              <w:t>peer-Q90 vs Tobit</w:t>
            </w:r>
          </w:p>
        </w:tc>
        <w:tc>
          <w:tcPr>
            <w:tcW w:type="dxa" w:w="4819"/>
            <w:shd w:val="clear" w:color="auto" w:fill="F4F6F9"/>
            <w:vAlign w:val="center"/>
          </w:tcPr>
          <w:p>
            <w:r/>
            <w:r>
              <w:rPr>
                <w:rFonts w:ascii="Calibri" w:hAnsi="Calibri"/>
                <w:b w:val="0"/>
                <w:i w:val="0"/>
                <w:color w:val="1A202C"/>
                <w:sz w:val="21"/>
              </w:rPr>
              <w:t>0.84</w:t>
            </w:r>
          </w:p>
        </w:tc>
      </w:tr>
      <w:tr>
        <w:tc>
          <w:tcPr>
            <w:tcW w:type="dxa" w:w="4819"/>
            <w:vAlign w:val="center"/>
          </w:tcPr>
          <w:p>
            <w:r/>
            <w:r>
              <w:rPr>
                <w:rFonts w:ascii="Calibri" w:hAnsi="Calibri"/>
                <w:b w:val="0"/>
                <w:i w:val="0"/>
                <w:color w:val="1A202C"/>
                <w:sz w:val="21"/>
              </w:rPr>
              <w:t>peer-Q90 vs SFA</w:t>
            </w:r>
          </w:p>
        </w:tc>
        <w:tc>
          <w:tcPr>
            <w:tcW w:type="dxa" w:w="4819"/>
            <w:vAlign w:val="center"/>
          </w:tcPr>
          <w:p>
            <w:r/>
            <w:r>
              <w:rPr>
                <w:rFonts w:ascii="Calibri" w:hAnsi="Calibri"/>
                <w:b w:val="0"/>
                <w:i w:val="0"/>
                <w:color w:val="1A202C"/>
                <w:sz w:val="21"/>
              </w:rPr>
              <w:t>0.85</w:t>
            </w:r>
          </w:p>
        </w:tc>
      </w:tr>
      <w:tr>
        <w:tc>
          <w:tcPr>
            <w:tcW w:type="dxa" w:w="4819"/>
            <w:shd w:val="clear" w:color="auto" w:fill="F4F6F9"/>
            <w:vAlign w:val="center"/>
          </w:tcPr>
          <w:p>
            <w:r/>
            <w:r>
              <w:rPr>
                <w:rFonts w:ascii="Calibri" w:hAnsi="Calibri"/>
                <w:b w:val="0"/>
                <w:i w:val="0"/>
                <w:color w:val="1A202C"/>
                <w:sz w:val="21"/>
              </w:rPr>
              <w:t>peer-Q90 vs Phase-3</w:t>
            </w:r>
          </w:p>
        </w:tc>
        <w:tc>
          <w:tcPr>
            <w:tcW w:type="dxa" w:w="4819"/>
            <w:shd w:val="clear" w:color="auto" w:fill="F4F6F9"/>
            <w:vAlign w:val="center"/>
          </w:tcPr>
          <w:p>
            <w:r/>
            <w:r>
              <w:rPr>
                <w:rFonts w:ascii="Calibri" w:hAnsi="Calibri"/>
                <w:b w:val="0"/>
                <w:i w:val="0"/>
                <w:color w:val="1A202C"/>
                <w:sz w:val="21"/>
              </w:rPr>
              <w:t>0.84</w:t>
            </w:r>
          </w:p>
        </w:tc>
      </w:tr>
      <w:tr>
        <w:tc>
          <w:tcPr>
            <w:tcW w:type="dxa" w:w="4819"/>
            <w:vAlign w:val="center"/>
          </w:tcPr>
          <w:p>
            <w:r/>
            <w:r>
              <w:rPr>
                <w:rFonts w:ascii="Calibri" w:hAnsi="Calibri"/>
                <w:b w:val="0"/>
                <w:i w:val="0"/>
                <w:color w:val="1A202C"/>
                <w:sz w:val="21"/>
              </w:rPr>
              <w:t>log-linear vs Tobit</w:t>
            </w:r>
          </w:p>
        </w:tc>
        <w:tc>
          <w:tcPr>
            <w:tcW w:type="dxa" w:w="4819"/>
            <w:vAlign w:val="center"/>
          </w:tcPr>
          <w:p>
            <w:r/>
            <w:r>
              <w:rPr>
                <w:rFonts w:ascii="Calibri" w:hAnsi="Calibri"/>
                <w:b w:val="0"/>
                <w:i w:val="0"/>
                <w:color w:val="1A202C"/>
                <w:sz w:val="21"/>
              </w:rPr>
              <w:t>0.92</w:t>
            </w:r>
          </w:p>
        </w:tc>
      </w:tr>
    </w:tbl>
    <w:p>
      <w:pPr>
        <w:spacing w:after="80"/>
      </w:pPr>
    </w:p>
    <w:p>
      <w:pPr>
        <w:spacing w:after="120" w:line="300" w:lineRule="auto"/>
      </w:pPr>
      <w:r>
        <w:rPr>
          <w:rFonts w:ascii="Calibri" w:hAnsi="Calibri"/>
          <w:b w:val="0"/>
          <w:i w:val="0"/>
          <w:color w:val="1A202C"/>
          <w:sz w:val="22"/>
        </w:rPr>
        <w:t>All five methods agree on outlet ranking (ρ ≥ 0.83 pairwise), so the five-way ensemble fires:</w:t>
      </w:r>
    </w:p>
    <w:p>
      <w:pPr>
        <w:spacing w:after="40"/>
        <w:ind w:left="340"/>
        <w:pBdr>
          <w:left w:val="single" w:sz="18" w:space="6" w:color="0E7CBE"/>
        </w:pBdr>
      </w:pPr>
      <w:r>
        <w:rPr>
          <w:rFonts w:ascii="Calibri" w:hAnsi="Calibri"/>
          <w:b w:val="0"/>
          <w:i w:val="0"/>
          <w:color w:val="5A6778"/>
          <w:sz w:val="22"/>
        </w:rPr>
        <w:t>final_i = 0.40 peer_i + 0.18 log_linear_i + 0.18 tobit_i + 0.16 sfa_i + 0.08 phase3_i</w:t>
      </w:r>
    </w:p>
    <w:p>
      <w:pPr>
        <w:spacing w:after="120" w:line="300" w:lineRule="auto"/>
      </w:pPr>
      <w:r>
        <w:rPr>
          <w:rFonts w:ascii="Calibri" w:hAnsi="Calibri"/>
          <w:b w:val="0"/>
          <w:i w:val="0"/>
          <w:color w:val="1A202C"/>
          <w:sz w:val="22"/>
        </w:rPr>
        <w:t>Peer-Q90 receives the dominant anchor weight because it is the most stable estimator on hold-out; the parametric methods share the remaining 0.60 weight with smaller mass on the formula because it is the least independent of peer-Q90 by construction.</w:t>
      </w:r>
    </w:p>
    <w:p>
      <w:pPr>
        <w:spacing w:before="200" w:after="40"/>
      </w:pPr>
      <w:r>
        <w:rPr>
          <w:rFonts w:ascii="Calibri" w:hAnsi="Calibri"/>
          <w:b/>
          <w:i w:val="0"/>
          <w:color w:val="0E7CBE"/>
          <w:sz w:val="25"/>
        </w:rPr>
        <w:t>Validation in the absence of `y`</w:t>
      </w:r>
    </w:p>
    <w:p>
      <w:pPr>
        <w:spacing w:after="120" w:line="300" w:lineRule="auto"/>
      </w:pPr>
      <w:r>
        <w:rPr>
          <w:rFonts w:ascii="Calibri" w:hAnsi="Calibri"/>
          <w:b w:val="0"/>
          <w:i w:val="0"/>
          <w:color w:val="1A202C"/>
          <w:sz w:val="22"/>
        </w:rPr>
        <w:t>Because there is no observed January 2026 ground truth, the team designed three internal checks plus a hold-out:</w:t>
      </w:r>
    </w:p>
    <w:p>
      <w:pPr>
        <w:pStyle w:val="ListBullet"/>
        <w:spacing w:after="40" w:line="288" w:lineRule="auto"/>
      </w:pPr>
      <w:r>
        <w:rPr>
          <w:rFonts w:ascii="Calibri" w:hAnsi="Calibri"/>
          <w:b/>
          <w:i w:val="0"/>
          <w:color w:val="1A202C"/>
          <w:sz w:val="22"/>
        </w:rPr>
        <w:t>Internal consistency</w:t>
      </w:r>
      <w:r>
        <w:rPr>
          <w:rFonts w:ascii="Calibri" w:hAnsi="Calibri"/>
          <w:b w:val="0"/>
          <w:i w:val="0"/>
          <w:color w:val="1A202C"/>
          <w:sz w:val="22"/>
        </w:rPr>
        <w:t xml:space="preserve"> — quantile sensitivity (Q85 / Q90 / Q95 overlap), constraint-rate plausibility (target 15-40%; observed 43.6%), magnitude ratio (predicted / observed mean), spatial Spearman of prediction against </w:t>
      </w:r>
      <w:r>
        <w:rPr>
          <w:rFonts w:ascii="Consolas" w:hAnsi="Consolas"/>
          <w:b w:val="0"/>
          <w:i w:val="0"/>
          <w:color w:val="1A202C"/>
          <w:sz w:val="21"/>
        </w:rPr>
        <w:t>poi_total_2km</w:t>
      </w:r>
      <w:r>
        <w:rPr>
          <w:rFonts w:ascii="Calibri" w:hAnsi="Calibri"/>
          <w:b w:val="0"/>
          <w:i w:val="0"/>
          <w:color w:val="1A202C"/>
          <w:sz w:val="22"/>
        </w:rPr>
        <w:t>.</w:t>
      </w:r>
    </w:p>
    <w:p>
      <w:pPr>
        <w:pStyle w:val="ListBullet"/>
        <w:spacing w:after="40" w:line="288" w:lineRule="auto"/>
      </w:pPr>
      <w:r>
        <w:rPr>
          <w:rFonts w:ascii="Calibri" w:hAnsi="Calibri"/>
          <w:b/>
          <w:i w:val="0"/>
          <w:color w:val="1A202C"/>
          <w:sz w:val="22"/>
        </w:rPr>
        <w:t>Hold-out validation</w:t>
      </w:r>
      <w:r>
        <w:rPr>
          <w:rFonts w:ascii="Calibri" w:hAnsi="Calibri"/>
          <w:b w:val="0"/>
          <w:i w:val="0"/>
          <w:color w:val="1A202C"/>
          <w:sz w:val="22"/>
        </w:rPr>
        <w:t xml:space="preserve"> — re-fit the entire framework on 2023 + 2024 only, predict January 2025, compare to the actual January 2025 unconstrained values. Spearman ρ = </w:t>
      </w:r>
      <w:r>
        <w:rPr>
          <w:rFonts w:ascii="Calibri" w:hAnsi="Calibri"/>
          <w:b/>
          <w:i w:val="0"/>
          <w:color w:val="1A202C"/>
          <w:sz w:val="22"/>
        </w:rPr>
        <w:t>0.793</w:t>
      </w:r>
      <w:r>
        <w:rPr>
          <w:rFonts w:ascii="Calibri" w:hAnsi="Calibri"/>
          <w:b w:val="0"/>
          <w:i w:val="0"/>
          <w:color w:val="1A202C"/>
          <w:sz w:val="22"/>
        </w:rPr>
        <w:t xml:space="preserve"> over 10,949 outlets. The MAE and median % error are also reported in the audit CSV.</w:t>
      </w:r>
    </w:p>
    <w:p>
      <w:pPr>
        <w:pStyle w:val="ListBullet"/>
        <w:spacing w:after="40" w:line="288" w:lineRule="auto"/>
      </w:pPr>
      <w:r>
        <w:rPr>
          <w:rFonts w:ascii="Calibri" w:hAnsi="Calibri"/>
          <w:b/>
          <w:i w:val="0"/>
          <w:color w:val="1A202C"/>
          <w:sz w:val="22"/>
        </w:rPr>
        <w:t>XAI surrogate fidelity</w:t>
      </w:r>
      <w:r>
        <w:rPr>
          <w:rFonts w:ascii="Calibri" w:hAnsi="Calibri"/>
          <w:b w:val="0"/>
          <w:i w:val="0"/>
          <w:color w:val="1A202C"/>
          <w:sz w:val="22"/>
        </w:rPr>
        <w:t xml:space="preserve"> — an XGBoost regressor trained to reproduce the ensemble achieves Spearman ρ ≈ 0.97 and R² ≈ 0.998 against the ensemble. This is the substrate for SHAP and the counterfactual deltas.</w:t>
      </w:r>
    </w:p>
    <w:p>
      <w:pPr>
        <w:pBdr>
          <w:bottom w:val="single" w:sz="6" w:space="1" w:color="B8C2CC"/>
        </w:pBdr>
      </w:pPr>
    </w:p>
    <w:p>
      <w:pPr>
        <w:spacing w:before="280" w:after="80"/>
        <w:pBdr>
          <w:bottom w:val="single" w:sz="8" w:space="2" w:color="0E7CBE"/>
        </w:pBdr>
      </w:pPr>
      <w:r>
        <w:rPr>
          <w:rFonts w:ascii="Calibri" w:hAnsi="Calibri"/>
          <w:b/>
          <w:i w:val="0"/>
          <w:color w:val="0E3F6E"/>
          <w:sz w:val="30"/>
        </w:rPr>
        <w:t>d. Spend Optimization Logic</w:t>
      </w:r>
    </w:p>
    <w:p>
      <w:pPr>
        <w:spacing w:before="200" w:after="40"/>
      </w:pPr>
      <w:r>
        <w:rPr>
          <w:rFonts w:ascii="Calibri" w:hAnsi="Calibri"/>
          <w:b/>
          <w:i w:val="0"/>
          <w:color w:val="0E7CBE"/>
          <w:sz w:val="25"/>
        </w:rPr>
        <w:t>Problem formulation</w:t>
      </w:r>
    </w:p>
    <w:p>
      <w:pPr>
        <w:spacing w:after="120" w:line="300" w:lineRule="auto"/>
      </w:pPr>
      <w:r>
        <w:rPr>
          <w:rFonts w:ascii="Calibri" w:hAnsi="Calibri"/>
          <w:b w:val="0"/>
          <w:i w:val="0"/>
          <w:color w:val="1A202C"/>
          <w:sz w:val="22"/>
        </w:rPr>
        <w:t>The brief allocates a fixed LKR 5,000,000 promotional budget over Western Province for January 2026, to be split across discounts, merchandising, and promotional spend, maximising additional volume relative to historical patterns.</w:t>
      </w:r>
    </w:p>
    <w:p>
      <w:pPr>
        <w:spacing w:after="120" w:line="300" w:lineRule="auto"/>
      </w:pPr>
      <w:r>
        <w:rPr>
          <w:rFonts w:ascii="Calibri" w:hAnsi="Calibri"/>
          <w:b w:val="0"/>
          <w:i w:val="0"/>
          <w:color w:val="1A202C"/>
          <w:sz w:val="22"/>
        </w:rPr>
        <w:t xml:space="preserve">Let </w:t>
      </w:r>
      <w:r>
        <w:rPr>
          <w:rFonts w:ascii="Consolas" w:hAnsi="Consolas"/>
          <w:b w:val="0"/>
          <w:i w:val="0"/>
          <w:color w:val="1A202C"/>
          <w:sz w:val="21"/>
        </w:rPr>
        <w:t>x_i</w:t>
      </w:r>
      <w:r>
        <w:rPr>
          <w:rFonts w:ascii="Calibri" w:hAnsi="Calibri"/>
          <w:b w:val="0"/>
          <w:i w:val="0"/>
          <w:color w:val="1A202C"/>
          <w:sz w:val="22"/>
        </w:rPr>
        <w:t xml:space="preserve"> be the LKR allocated to outlet </w:t>
      </w:r>
      <w:r>
        <w:rPr>
          <w:rFonts w:ascii="Consolas" w:hAnsi="Consolas"/>
          <w:b w:val="0"/>
          <w:i w:val="0"/>
          <w:color w:val="1A202C"/>
          <w:sz w:val="21"/>
        </w:rPr>
        <w:t>i</w:t>
      </w:r>
      <w:r>
        <w:rPr>
          <w:rFonts w:ascii="Calibri" w:hAnsi="Calibri"/>
          <w:b w:val="0"/>
          <w:i w:val="0"/>
          <w:color w:val="1A202C"/>
          <w:sz w:val="22"/>
        </w:rPr>
        <w:t xml:space="preserve"> (Western Province only, 8,588 outlets after sea-coordinate quarantine) and </w:t>
      </w:r>
      <w:r>
        <w:rPr>
          <w:rFonts w:ascii="Consolas" w:hAnsi="Consolas"/>
          <w:b w:val="0"/>
          <w:i w:val="0"/>
          <w:color w:val="1A202C"/>
          <w:sz w:val="21"/>
        </w:rPr>
        <w:t>κ_i</w:t>
      </w:r>
      <w:r>
        <w:rPr>
          <w:rFonts w:ascii="Calibri" w:hAnsi="Calibri"/>
          <w:b w:val="0"/>
          <w:i w:val="0"/>
          <w:color w:val="1A202C"/>
          <w:sz w:val="22"/>
        </w:rPr>
        <w:t xml:space="preserve"> be a per-outlet response coefficient. Promotional response is well documented in marketing-mix-modelling literature (Hanssens, Parsons &amp; Schultz 2001; Jin et al. 2017) as a concave function of spend. We adopt the standard square-root utility shape:</w:t>
      </w:r>
    </w:p>
    <w:p>
      <w:pPr>
        <w:spacing w:after="40"/>
        <w:ind w:left="340"/>
        <w:pBdr>
          <w:left w:val="single" w:sz="18" w:space="6" w:color="0E7CBE"/>
        </w:pBdr>
      </w:pPr>
      <w:r>
        <w:rPr>
          <w:rFonts w:ascii="Calibri" w:hAnsi="Calibri"/>
          <w:b w:val="0"/>
          <w:i w:val="0"/>
          <w:color w:val="5A6778"/>
          <w:sz w:val="22"/>
        </w:rPr>
        <w:t>max  Σ_i  κ_i √(x_i)</w:t>
      </w:r>
    </w:p>
    <w:p>
      <w:pPr>
        <w:spacing w:after="40"/>
        <w:ind w:left="340"/>
        <w:pBdr>
          <w:left w:val="single" w:sz="18" w:space="6" w:color="0E7CBE"/>
        </w:pBdr>
      </w:pPr>
      <w:r>
        <w:rPr>
          <w:rFonts w:ascii="Calibri" w:hAnsi="Calibri"/>
          <w:b w:val="0"/>
          <w:i w:val="0"/>
          <w:color w:val="5A6778"/>
          <w:sz w:val="22"/>
        </w:rPr>
        <w:t>s.t.  Σ_i  x_i  ≤  5,000,000 LKR</w:t>
      </w:r>
    </w:p>
    <w:p>
      <w:pPr>
        <w:spacing w:after="40"/>
        <w:ind w:left="340"/>
        <w:pBdr>
          <w:left w:val="single" w:sz="18" w:space="6" w:color="0E7CBE"/>
        </w:pBdr>
      </w:pPr>
      <w:r>
        <w:rPr>
          <w:rFonts w:ascii="Calibri" w:hAnsi="Calibri"/>
          <w:b w:val="0"/>
          <w:i w:val="0"/>
          <w:color w:val="5A6778"/>
          <w:sz w:val="22"/>
        </w:rPr>
        <w:t>0 ≤ x_i  ≤  5,000 LKR     (per-outlet cap to prevent concentration)</w:t>
      </w:r>
    </w:p>
    <w:p>
      <w:pPr>
        <w:spacing w:after="40"/>
        <w:ind w:left="340"/>
        <w:pBdr>
          <w:left w:val="single" w:sz="18" w:space="6" w:color="0E7CBE"/>
        </w:pBdr>
      </w:pPr>
      <w:r>
        <w:rPr>
          <w:rFonts w:ascii="Calibri" w:hAnsi="Calibri"/>
          <w:b w:val="0"/>
          <w:i w:val="0"/>
          <w:color w:val="5A6778"/>
          <w:sz w:val="22"/>
        </w:rPr>
        <w:t>i ∈ Western Province</w:t>
      </w:r>
    </w:p>
    <w:p>
      <w:pPr>
        <w:spacing w:after="120" w:line="300" w:lineRule="auto"/>
      </w:pPr>
      <w:r>
        <w:rPr>
          <w:rFonts w:ascii="Calibri" w:hAnsi="Calibri"/>
          <w:b w:val="0"/>
          <w:i w:val="0"/>
          <w:color w:val="1A202C"/>
          <w:sz w:val="22"/>
        </w:rPr>
        <w:t>The Lagrangian admits a closed-form optimum:</w:t>
      </w:r>
    </w:p>
    <w:p>
      <w:pPr>
        <w:spacing w:after="40"/>
        <w:ind w:left="340"/>
        <w:pBdr>
          <w:left w:val="single" w:sz="18" w:space="6" w:color="0E7CBE"/>
        </w:pBdr>
      </w:pPr>
      <w:r>
        <w:rPr>
          <w:rFonts w:ascii="Calibri" w:hAnsi="Calibri"/>
          <w:b w:val="0"/>
          <w:i w:val="0"/>
          <w:color w:val="5A6778"/>
          <w:sz w:val="22"/>
        </w:rPr>
        <w:t>∂L / ∂x_i = κ_i / (2 √x_i) − λ = 0  ⇒  x_i* = (κ_i / 2λ)²</w:t>
      </w:r>
    </w:p>
    <w:p>
      <w:pPr>
        <w:spacing w:after="120" w:line="300" w:lineRule="auto"/>
      </w:pPr>
      <w:r>
        <w:rPr>
          <w:rFonts w:ascii="Calibri" w:hAnsi="Calibri"/>
          <w:b w:val="0"/>
          <w:i w:val="0"/>
          <w:color w:val="1A202C"/>
          <w:sz w:val="22"/>
        </w:rPr>
        <w:t xml:space="preserve">We bisect on λ until the budget constraint binds and clip each </w:t>
      </w:r>
      <w:r>
        <w:rPr>
          <w:rFonts w:ascii="Consolas" w:hAnsi="Consolas"/>
          <w:b w:val="0"/>
          <w:i w:val="0"/>
          <w:color w:val="1A202C"/>
          <w:sz w:val="21"/>
        </w:rPr>
        <w:t>x_i*</w:t>
      </w:r>
      <w:r>
        <w:rPr>
          <w:rFonts w:ascii="Calibri" w:hAnsi="Calibri"/>
          <w:b w:val="0"/>
          <w:i w:val="0"/>
          <w:color w:val="1A202C"/>
          <w:sz w:val="22"/>
        </w:rPr>
        <w:t xml:space="preserve"> against the per-outlet cap inside every bisection step (a clean water-filling pattern). A final flooring + scale-down step absorbs any floating-point overshoot.</w:t>
      </w:r>
    </w:p>
    <w:p>
      <w:pPr>
        <w:spacing w:before="200" w:after="40"/>
      </w:pPr>
      <w:r>
        <w:rPr>
          <w:rFonts w:ascii="Calibri" w:hAnsi="Calibri"/>
          <w:b/>
          <w:i w:val="0"/>
          <w:color w:val="0E7CBE"/>
          <w:sz w:val="25"/>
        </w:rPr>
        <w:t>Response coefficient design</w:t>
      </w:r>
    </w:p>
    <w:p>
      <w:pPr>
        <w:spacing w:after="40"/>
        <w:ind w:left="340"/>
        <w:pBdr>
          <w:left w:val="single" w:sz="18" w:space="6" w:color="0E7CBE"/>
        </w:pBdr>
      </w:pPr>
      <w:r>
        <w:rPr>
          <w:rFonts w:ascii="Calibri" w:hAnsi="Calibri"/>
          <w:b w:val="0"/>
          <w:i w:val="0"/>
          <w:color w:val="5A6778"/>
          <w:sz w:val="22"/>
        </w:rPr>
        <w:t>κ_i = uplift_i × cooler_priority_i × (1 + 0.4 × spatial_demand_score_i) / (1 + 0.3 × competitor_density_norm_i)</w:t>
      </w:r>
    </w:p>
    <w:p>
      <w:pPr>
        <w:spacing w:after="40"/>
        <w:ind w:left="340"/>
        <w:pBdr>
          <w:left w:val="single" w:sz="18" w:space="6" w:color="0E7CBE"/>
        </w:pBdr>
      </w:pPr>
      <w:r>
        <w:rPr>
          <w:rFonts w:ascii="Calibri" w:hAnsi="Calibri"/>
          <w:b w:val="0"/>
          <w:i w:val="0"/>
          <w:color w:val="5A6778"/>
          <w:sz w:val="22"/>
        </w:rPr>
        <w:t>where  uplift_i = max(0, predicted_jan2026_i − observed_recent_avg_i)</w:t>
      </w:r>
    </w:p>
    <w:p>
      <w:pPr>
        <w:spacing w:after="40"/>
        <w:ind w:left="340"/>
        <w:pBdr>
          <w:left w:val="single" w:sz="18" w:space="6" w:color="0E7CBE"/>
        </w:pBdr>
      </w:pPr>
      <w:r>
        <w:rPr>
          <w:rFonts w:ascii="Calibri" w:hAnsi="Calibri"/>
          <w:b w:val="0"/>
          <w:i w:val="0"/>
          <w:color w:val="5A6778"/>
          <w:sz w:val="22"/>
        </w:rPr>
        <w:t>cooler_priority_i = 1.5 if Cooler_Count = 0,  1.2 if = 1,  1.0 otherwise</w:t>
      </w:r>
    </w:p>
    <w:p>
      <w:pPr>
        <w:spacing w:after="120" w:line="300" w:lineRule="auto"/>
      </w:pPr>
      <w:r>
        <w:rPr>
          <w:rFonts w:ascii="Calibri" w:hAnsi="Calibri"/>
          <w:b w:val="0"/>
          <w:i w:val="0"/>
          <w:color w:val="1A202C"/>
          <w:sz w:val="22"/>
        </w:rPr>
        <w:t>Every multiplier is one the team can justify to a sales-rep audience: outlets without coolers are most responsive to any intervention, dense POI areas amplify response, dense competition dampens it.</w:t>
      </w:r>
    </w:p>
    <w:p>
      <w:pPr>
        <w:spacing w:before="200" w:after="40"/>
      </w:pPr>
      <w:r>
        <w:rPr>
          <w:rFonts w:ascii="Calibri" w:hAnsi="Calibri"/>
          <w:b/>
          <w:i w:val="0"/>
          <w:color w:val="0E7CBE"/>
          <w:sz w:val="25"/>
        </w:rPr>
        <w:t>Result</w:t>
      </w:r>
    </w:p>
    <w:p>
      <w:pPr>
        <w:spacing w:after="120" w:line="300" w:lineRule="auto"/>
      </w:pPr>
      <w:r>
        <w:rPr>
          <w:rFonts w:ascii="Calibri" w:hAnsi="Calibri"/>
          <w:b w:val="0"/>
          <w:i w:val="0"/>
          <w:color w:val="1A202C"/>
          <w:sz w:val="22"/>
        </w:rPr>
        <w:t xml:space="preserve">LKR </w:t>
      </w:r>
      <w:r>
        <w:rPr>
          <w:rFonts w:ascii="Calibri" w:hAnsi="Calibri"/>
          <w:b/>
          <w:i w:val="0"/>
          <w:color w:val="1A202C"/>
          <w:sz w:val="22"/>
        </w:rPr>
        <w:t>4,999,912.87</w:t>
      </w:r>
      <w:r>
        <w:rPr>
          <w:rFonts w:ascii="Calibri" w:hAnsi="Calibri"/>
          <w:b w:val="0"/>
          <w:i w:val="0"/>
          <w:color w:val="1A202C"/>
          <w:sz w:val="22"/>
        </w:rPr>
        <w:t xml:space="preserve"> allocated across </w:t>
      </w:r>
      <w:r>
        <w:rPr>
          <w:rFonts w:ascii="Calibri" w:hAnsi="Calibri"/>
          <w:b/>
          <w:i w:val="0"/>
          <w:color w:val="1A202C"/>
          <w:sz w:val="22"/>
        </w:rPr>
        <w:t>8,416 of 8,588</w:t>
      </w:r>
      <w:r>
        <w:rPr>
          <w:rFonts w:ascii="Calibri" w:hAnsi="Calibri"/>
          <w:b w:val="0"/>
          <w:i w:val="0"/>
          <w:color w:val="1A202C"/>
          <w:sz w:val="22"/>
        </w:rPr>
        <w:t xml:space="preserve"> outlets; 172 outlets with zero uplift receive zero allocation. No outlet hits the 5,000 LKR cap. The 24-month sensitivity sweep at six elasticity values is published to </w:t>
      </w:r>
      <w:r>
        <w:rPr>
          <w:rFonts w:ascii="Consolas" w:hAnsi="Consolas"/>
          <w:b w:val="0"/>
          <w:i w:val="0"/>
          <w:color w:val="1A202C"/>
          <w:sz w:val="21"/>
        </w:rPr>
        <w:t>outputs/audit/budget_sensitivity.csv</w:t>
      </w:r>
      <w:r>
        <w:rPr>
          <w:rFonts w:ascii="Calibri" w:hAnsi="Calibri"/>
          <w:b w:val="0"/>
          <w:i w:val="0"/>
          <w:color w:val="1A202C"/>
          <w:sz w:val="22"/>
        </w:rPr>
        <w:t xml:space="preserve"> for downstream tuning.</w:t>
      </w:r>
    </w:p>
    <w:p>
      <w:pPr>
        <w:spacing w:before="200" w:after="40"/>
      </w:pPr>
      <w:r>
        <w:rPr>
          <w:rFonts w:ascii="Calibri" w:hAnsi="Calibri"/>
          <w:b/>
          <w:i w:val="0"/>
          <w:color w:val="0E7CBE"/>
          <w:sz w:val="25"/>
        </w:rPr>
        <w:t>Channel decomposition</w:t>
      </w:r>
    </w:p>
    <w:p>
      <w:pPr>
        <w:spacing w:after="120" w:line="300" w:lineRule="auto"/>
      </w:pPr>
      <w:r>
        <w:rPr>
          <w:rFonts w:ascii="Calibri" w:hAnsi="Calibri"/>
          <w:b w:val="0"/>
          <w:i w:val="0"/>
          <w:color w:val="1A202C"/>
          <w:sz w:val="22"/>
        </w:rPr>
        <w:t xml:space="preserve">Each outlet's allocated </w:t>
      </w:r>
      <w:r>
        <w:rPr>
          <w:rFonts w:ascii="Consolas" w:hAnsi="Consolas"/>
          <w:b w:val="0"/>
          <w:i w:val="0"/>
          <w:color w:val="1A202C"/>
          <w:sz w:val="21"/>
        </w:rPr>
        <w:t>Trade_Spend_LKR</w:t>
      </w:r>
      <w:r>
        <w:rPr>
          <w:rFonts w:ascii="Calibri" w:hAnsi="Calibri"/>
          <w:b w:val="0"/>
          <w:i w:val="0"/>
          <w:color w:val="1A202C"/>
          <w:sz w:val="22"/>
        </w:rPr>
        <w:t xml:space="preserve"> is decomposed into Discount / Merchandising / Promotional using outlet-attribute heuristics (no-cooler outlets overweight merchandising for visibility; high-competition outlets overweight discount + merchandising to defend share; low-spatial-demand outlets overweight promotional to drive trial; default leans merchandising). Province totals:</w:t>
      </w:r>
    </w:p>
    <w:tbl>
      <w:tblPr>
        <w:tblStyle w:val="LightGrid-Accent1"/>
        <w:tblW w:type="auto" w:w="0"/>
        <w:jc w:val="left"/>
        <w:tblLook w:firstColumn="1" w:firstRow="1" w:lastColumn="0" w:lastRow="0" w:noHBand="0" w:noVBand="1" w:val="04A0"/>
      </w:tblPr>
      <w:tblGrid>
        <w:gridCol w:w="3213"/>
        <w:gridCol w:w="3213"/>
        <w:gridCol w:w="3213"/>
      </w:tblGrid>
      <w:tr>
        <w:trPr>
          <w:tblHeader w:val="true"/>
        </w:trPr>
        <w:tc>
          <w:tcPr>
            <w:tcW w:type="dxa" w:w="3213"/>
            <w:shd w:val="clear" w:color="auto" w:fill="0E3F6E"/>
            <w:vAlign w:val="center"/>
          </w:tcPr>
          <w:p>
            <w:r/>
            <w:r>
              <w:rPr>
                <w:rFonts w:ascii="Calibri" w:hAnsi="Calibri"/>
                <w:b/>
                <w:i w:val="0"/>
                <w:color w:val="FFFFFF"/>
                <w:sz w:val="21"/>
              </w:rPr>
              <w:t>Channel</w:t>
            </w:r>
          </w:p>
        </w:tc>
        <w:tc>
          <w:tcPr>
            <w:tcW w:type="dxa" w:w="3213"/>
            <w:shd w:val="clear" w:color="auto" w:fill="0E3F6E"/>
            <w:vAlign w:val="center"/>
          </w:tcPr>
          <w:p>
            <w:r/>
            <w:r>
              <w:rPr>
                <w:rFonts w:ascii="Calibri" w:hAnsi="Calibri"/>
                <w:b/>
                <w:i w:val="0"/>
                <w:color w:val="FFFFFF"/>
                <w:sz w:val="21"/>
              </w:rPr>
              <w:t>LKR</w:t>
            </w:r>
          </w:p>
        </w:tc>
        <w:tc>
          <w:tcPr>
            <w:tcW w:type="dxa" w:w="3213"/>
            <w:shd w:val="clear" w:color="auto" w:fill="0E3F6E"/>
            <w:vAlign w:val="center"/>
          </w:tcPr>
          <w:p>
            <w:r/>
            <w:r>
              <w:rPr>
                <w:rFonts w:ascii="Calibri" w:hAnsi="Calibri"/>
                <w:b/>
                <w:i w:val="0"/>
                <w:color w:val="FFFFFF"/>
                <w:sz w:val="21"/>
              </w:rPr>
              <w:t>Share</w:t>
            </w:r>
          </w:p>
        </w:tc>
      </w:tr>
      <w:tr>
        <w:tc>
          <w:tcPr>
            <w:tcW w:type="dxa" w:w="3213"/>
            <w:vAlign w:val="center"/>
          </w:tcPr>
          <w:p>
            <w:r/>
            <w:r>
              <w:rPr>
                <w:rFonts w:ascii="Calibri" w:hAnsi="Calibri"/>
                <w:b w:val="0"/>
                <w:i w:val="0"/>
                <w:color w:val="1A202C"/>
                <w:sz w:val="21"/>
              </w:rPr>
              <w:t>Discount</w:t>
            </w:r>
          </w:p>
        </w:tc>
        <w:tc>
          <w:tcPr>
            <w:tcW w:type="dxa" w:w="3213"/>
            <w:vAlign w:val="center"/>
          </w:tcPr>
          <w:p>
            <w:r/>
            <w:r>
              <w:rPr>
                <w:rFonts w:ascii="Calibri" w:hAnsi="Calibri"/>
                <w:b w:val="0"/>
                <w:i w:val="0"/>
                <w:color w:val="1A202C"/>
                <w:sz w:val="21"/>
              </w:rPr>
              <w:t>1,744,750</w:t>
            </w:r>
          </w:p>
        </w:tc>
        <w:tc>
          <w:tcPr>
            <w:tcW w:type="dxa" w:w="3213"/>
            <w:vAlign w:val="center"/>
          </w:tcPr>
          <w:p>
            <w:r/>
            <w:r>
              <w:rPr>
                <w:rFonts w:ascii="Calibri" w:hAnsi="Calibri"/>
                <w:b w:val="0"/>
                <w:i w:val="0"/>
                <w:color w:val="1A202C"/>
                <w:sz w:val="21"/>
              </w:rPr>
              <w:t>34.9 %</w:t>
            </w:r>
          </w:p>
        </w:tc>
      </w:tr>
      <w:tr>
        <w:tc>
          <w:tcPr>
            <w:tcW w:type="dxa" w:w="3213"/>
            <w:shd w:val="clear" w:color="auto" w:fill="F4F6F9"/>
            <w:vAlign w:val="center"/>
          </w:tcPr>
          <w:p>
            <w:r/>
            <w:r>
              <w:rPr>
                <w:rFonts w:ascii="Calibri" w:hAnsi="Calibri"/>
                <w:b w:val="0"/>
                <w:i w:val="0"/>
                <w:color w:val="1A202C"/>
                <w:sz w:val="21"/>
              </w:rPr>
              <w:t>Merchandising</w:t>
            </w:r>
          </w:p>
        </w:tc>
        <w:tc>
          <w:tcPr>
            <w:tcW w:type="dxa" w:w="3213"/>
            <w:shd w:val="clear" w:color="auto" w:fill="F4F6F9"/>
            <w:vAlign w:val="center"/>
          </w:tcPr>
          <w:p>
            <w:r/>
            <w:r>
              <w:rPr>
                <w:rFonts w:ascii="Calibri" w:hAnsi="Calibri"/>
                <w:b w:val="0"/>
                <w:i w:val="0"/>
                <w:color w:val="1A202C"/>
                <w:sz w:val="21"/>
              </w:rPr>
              <w:t>2,089,088</w:t>
            </w:r>
          </w:p>
        </w:tc>
        <w:tc>
          <w:tcPr>
            <w:tcW w:type="dxa" w:w="3213"/>
            <w:shd w:val="clear" w:color="auto" w:fill="F4F6F9"/>
            <w:vAlign w:val="center"/>
          </w:tcPr>
          <w:p>
            <w:r/>
            <w:r>
              <w:rPr>
                <w:rFonts w:ascii="Calibri" w:hAnsi="Calibri"/>
                <w:b w:val="0"/>
                <w:i w:val="0"/>
                <w:color w:val="1A202C"/>
                <w:sz w:val="21"/>
              </w:rPr>
              <w:t>41.8 %</w:t>
            </w:r>
          </w:p>
        </w:tc>
      </w:tr>
      <w:tr>
        <w:tc>
          <w:tcPr>
            <w:tcW w:type="dxa" w:w="3213"/>
            <w:vAlign w:val="center"/>
          </w:tcPr>
          <w:p>
            <w:r/>
            <w:r>
              <w:rPr>
                <w:rFonts w:ascii="Calibri" w:hAnsi="Calibri"/>
                <w:b w:val="0"/>
                <w:i w:val="0"/>
                <w:color w:val="1A202C"/>
                <w:sz w:val="21"/>
              </w:rPr>
              <w:t>Promotional</w:t>
            </w:r>
          </w:p>
        </w:tc>
        <w:tc>
          <w:tcPr>
            <w:tcW w:type="dxa" w:w="3213"/>
            <w:vAlign w:val="center"/>
          </w:tcPr>
          <w:p>
            <w:r/>
            <w:r>
              <w:rPr>
                <w:rFonts w:ascii="Calibri" w:hAnsi="Calibri"/>
                <w:b w:val="0"/>
                <w:i w:val="0"/>
                <w:color w:val="1A202C"/>
                <w:sz w:val="21"/>
              </w:rPr>
              <w:t>1,166,075</w:t>
            </w:r>
          </w:p>
        </w:tc>
        <w:tc>
          <w:tcPr>
            <w:tcW w:type="dxa" w:w="3213"/>
            <w:vAlign w:val="center"/>
          </w:tcPr>
          <w:p>
            <w:r/>
            <w:r>
              <w:rPr>
                <w:rFonts w:ascii="Calibri" w:hAnsi="Calibri"/>
                <w:b w:val="0"/>
                <w:i w:val="0"/>
                <w:color w:val="1A202C"/>
                <w:sz w:val="21"/>
              </w:rPr>
              <w:t>23.3 %</w:t>
            </w:r>
          </w:p>
        </w:tc>
      </w:tr>
      <w:tr>
        <w:tc>
          <w:tcPr>
            <w:tcW w:type="dxa" w:w="3213"/>
            <w:shd w:val="clear" w:color="auto" w:fill="F4F6F9"/>
            <w:vAlign w:val="center"/>
          </w:tcPr>
          <w:p>
            <w:r/>
            <w:r>
              <w:rPr>
                <w:rFonts w:ascii="Calibri" w:hAnsi="Calibri"/>
                <w:b/>
                <w:i w:val="0"/>
                <w:color w:val="1A202C"/>
                <w:sz w:val="21"/>
              </w:rPr>
              <w:t>Total</w:t>
            </w:r>
          </w:p>
        </w:tc>
        <w:tc>
          <w:tcPr>
            <w:tcW w:type="dxa" w:w="3213"/>
            <w:shd w:val="clear" w:color="auto" w:fill="F4F6F9"/>
            <w:vAlign w:val="center"/>
          </w:tcPr>
          <w:p>
            <w:r/>
            <w:r>
              <w:rPr>
                <w:rFonts w:ascii="Calibri" w:hAnsi="Calibri"/>
                <w:b/>
                <w:i w:val="0"/>
                <w:color w:val="1A202C"/>
                <w:sz w:val="21"/>
              </w:rPr>
              <w:t>4,999,913</w:t>
            </w:r>
          </w:p>
        </w:tc>
        <w:tc>
          <w:tcPr>
            <w:tcW w:type="dxa" w:w="3213"/>
            <w:shd w:val="clear" w:color="auto" w:fill="F4F6F9"/>
            <w:vAlign w:val="center"/>
          </w:tcPr>
          <w:p>
            <w:r/>
            <w:r>
              <w:rPr>
                <w:rFonts w:ascii="Calibri" w:hAnsi="Calibri"/>
                <w:b w:val="0"/>
                <w:i w:val="0"/>
                <w:color w:val="1A202C"/>
                <w:sz w:val="21"/>
              </w:rPr>
              <w:t>100 %</w:t>
            </w:r>
          </w:p>
        </w:tc>
      </w:tr>
    </w:tbl>
    <w:p>
      <w:pPr>
        <w:spacing w:after="80"/>
      </w:pPr>
    </w:p>
    <w:p>
      <w:pPr>
        <w:spacing w:after="120" w:line="300" w:lineRule="auto"/>
      </w:pPr>
      <w:r>
        <w:rPr>
          <w:rFonts w:ascii="Calibri" w:hAnsi="Calibri"/>
          <w:b w:val="0"/>
          <w:i w:val="0"/>
          <w:color w:val="1A202C"/>
          <w:sz w:val="22"/>
        </w:rPr>
        <w:t>Sums match allocated to the rupee (rounding drift absorbed in merchandising).</w:t>
      </w:r>
    </w:p>
    <w:p>
      <w:pPr>
        <w:spacing w:before="200" w:after="40"/>
      </w:pPr>
      <w:r>
        <w:rPr>
          <w:rFonts w:ascii="Calibri" w:hAnsi="Calibri"/>
          <w:b/>
          <w:i w:val="0"/>
          <w:color w:val="0E7CBE"/>
          <w:sz w:val="25"/>
        </w:rPr>
        <w:t>Why we do not claim a single litres figure</w:t>
      </w:r>
    </w:p>
    <w:p>
      <w:pPr>
        <w:spacing w:after="120" w:line="300" w:lineRule="auto"/>
      </w:pPr>
      <w:r>
        <w:rPr>
          <w:rFonts w:ascii="Calibri" w:hAnsi="Calibri"/>
          <w:b w:val="0"/>
          <w:i w:val="0"/>
          <w:color w:val="1A202C"/>
          <w:sz w:val="22"/>
        </w:rPr>
        <w:t>The dataset has no record of past promotional campaigns and their volume responses, so β (litres per response-unit) is uncalibrated. Rather than commit to a single guess, the team publishes the expected uplift across plausible β values (e.g. β = 0.025 implies ≈ 1.04 million L of incremental volume; β = 0.05 implies ≈ 2.09 million L). A live deployment would calibrate β from a pilot.</w:t>
      </w:r>
    </w:p>
    <w:p>
      <w:pPr>
        <w:spacing w:before="200" w:after="40"/>
      </w:pPr>
      <w:r>
        <w:rPr>
          <w:rFonts w:ascii="Calibri" w:hAnsi="Calibri"/>
          <w:b/>
          <w:i w:val="0"/>
          <w:color w:val="0E7CBE"/>
          <w:sz w:val="25"/>
        </w:rPr>
        <w:t>Business-decision artifacts (downstream of the LP)</w:t>
      </w:r>
    </w:p>
    <w:p>
      <w:pPr>
        <w:spacing w:after="120" w:line="300" w:lineRule="auto"/>
      </w:pPr>
      <w:r>
        <w:rPr>
          <w:rFonts w:ascii="Calibri" w:hAnsi="Calibri"/>
          <w:b w:val="0"/>
          <w:i w:val="0"/>
          <w:color w:val="1A202C"/>
          <w:sz w:val="22"/>
        </w:rPr>
        <w:t xml:space="preserve">The same </w:t>
      </w:r>
      <w:r>
        <w:rPr>
          <w:rFonts w:ascii="Consolas" w:hAnsi="Consolas"/>
          <w:b w:val="0"/>
          <w:i w:val="0"/>
          <w:color w:val="1A202C"/>
          <w:sz w:val="21"/>
        </w:rPr>
        <w:t>κ_i</w:t>
      </w:r>
      <w:r>
        <w:rPr>
          <w:rFonts w:ascii="Calibri" w:hAnsi="Calibri"/>
          <w:b w:val="0"/>
          <w:i w:val="0"/>
          <w:color w:val="1A202C"/>
          <w:sz w:val="22"/>
        </w:rPr>
        <w:t xml:space="preserve"> family also feeds five business modules: </w:t>
      </w:r>
      <w:r>
        <w:rPr>
          <w:rFonts w:ascii="Calibri" w:hAnsi="Calibri"/>
          <w:b/>
          <w:i w:val="0"/>
          <w:color w:val="1A202C"/>
          <w:sz w:val="22"/>
        </w:rPr>
        <w:t>Cooler-deployment ROI</w:t>
      </w:r>
      <w:r>
        <w:rPr>
          <w:rFonts w:ascii="Calibri" w:hAnsi="Calibri"/>
          <w:b w:val="0"/>
          <w:i w:val="0"/>
          <w:color w:val="1A202C"/>
          <w:sz w:val="22"/>
        </w:rPr>
        <w:t xml:space="preserve"> (Top-100 by 24-month NPV, total LKR 31.65 M net of LKR 5 M capex at 3.33-month median payback), </w:t>
      </w:r>
      <w:r>
        <w:rPr>
          <w:rFonts w:ascii="Calibri" w:hAnsi="Calibri"/>
          <w:b/>
          <w:i w:val="0"/>
          <w:color w:val="1A202C"/>
          <w:sz w:val="22"/>
        </w:rPr>
        <w:t>outlet action cards</w:t>
      </w:r>
      <w:r>
        <w:rPr>
          <w:rFonts w:ascii="Calibri" w:hAnsi="Calibri"/>
          <w:b w:val="0"/>
          <w:i w:val="0"/>
          <w:color w:val="1A202C"/>
          <w:sz w:val="22"/>
        </w:rPr>
        <w:t xml:space="preserve"> (top-3 prescriptive interventions per outlet), </w:t>
      </w:r>
      <w:r>
        <w:rPr>
          <w:rFonts w:ascii="Calibri" w:hAnsi="Calibri"/>
          <w:b/>
          <w:i w:val="0"/>
          <w:color w:val="1A202C"/>
          <w:sz w:val="22"/>
        </w:rPr>
        <w:t>dormancy-risk early warning</w:t>
      </w:r>
      <w:r>
        <w:rPr>
          <w:rFonts w:ascii="Calibri" w:hAnsi="Calibri"/>
          <w:b w:val="0"/>
          <w:i w:val="0"/>
          <w:color w:val="1A202C"/>
          <w:sz w:val="22"/>
        </w:rPr>
        <w:t xml:space="preserve"> (XGBoost classifier on the 2,707 historical lapse cases, 5-fold CV AUC 0.879), </w:t>
      </w:r>
      <w:r>
        <w:rPr>
          <w:rFonts w:ascii="Calibri" w:hAnsi="Calibri"/>
          <w:b/>
          <w:i w:val="0"/>
          <w:color w:val="1A202C"/>
          <w:sz w:val="22"/>
        </w:rPr>
        <w:t>distributor scorecard</w:t>
      </w:r>
      <w:r>
        <w:rPr>
          <w:rFonts w:ascii="Calibri" w:hAnsi="Calibri"/>
          <w:b w:val="0"/>
          <w:i w:val="0"/>
          <w:color w:val="1A202C"/>
          <w:sz w:val="22"/>
        </w:rPr>
        <w:t xml:space="preserve"> (10-distributor composite z-rank), and </w:t>
      </w:r>
      <w:r>
        <w:rPr>
          <w:rFonts w:ascii="Calibri" w:hAnsi="Calibri"/>
          <w:b/>
          <w:i w:val="0"/>
          <w:color w:val="1A202C"/>
          <w:sz w:val="22"/>
        </w:rPr>
        <w:t>HDBSCAN sales territories</w:t>
      </w:r>
      <w:r>
        <w:rPr>
          <w:rFonts w:ascii="Calibri" w:hAnsi="Calibri"/>
          <w:b w:val="0"/>
          <w:i w:val="0"/>
          <w:color w:val="1A202C"/>
          <w:sz w:val="22"/>
        </w:rPr>
        <w:t xml:space="preserve"> (91 sub-province clusters for route planning).</w:t>
      </w:r>
    </w:p>
    <w:p>
      <w:pPr>
        <w:pBdr>
          <w:bottom w:val="single" w:sz="6" w:space="1" w:color="B8C2CC"/>
        </w:pBdr>
      </w:pPr>
    </w:p>
    <w:p>
      <w:pPr>
        <w:spacing w:before="280" w:after="80"/>
        <w:pBdr>
          <w:bottom w:val="single" w:sz="8" w:space="2" w:color="0E7CBE"/>
        </w:pBdr>
      </w:pPr>
      <w:r>
        <w:rPr>
          <w:rFonts w:ascii="Calibri" w:hAnsi="Calibri"/>
          <w:b/>
          <w:i w:val="0"/>
          <w:color w:val="0E3F6E"/>
          <w:sz w:val="30"/>
        </w:rPr>
        <w:t>e. GenAI Transparency Log</w:t>
      </w:r>
    </w:p>
    <w:p>
      <w:pPr>
        <w:spacing w:before="200" w:after="40"/>
      </w:pPr>
      <w:r>
        <w:rPr>
          <w:rFonts w:ascii="Calibri" w:hAnsi="Calibri"/>
          <w:b/>
          <w:i w:val="0"/>
          <w:color w:val="0E7CBE"/>
          <w:sz w:val="25"/>
        </w:rPr>
        <w:t>Tools and usage policy</w:t>
      </w:r>
    </w:p>
    <w:p>
      <w:pPr>
        <w:spacing w:after="120" w:line="300" w:lineRule="auto"/>
      </w:pPr>
      <w:r>
        <w:rPr>
          <w:rFonts w:ascii="Calibri" w:hAnsi="Calibri"/>
          <w:b w:val="0"/>
          <w:i w:val="0"/>
          <w:color w:val="1A202C"/>
          <w:sz w:val="22"/>
        </w:rPr>
        <w:t>Two AI tools were used: an AI coding assistant (chat-based code generation and refactor) and Google Gemini 2.5 Flash, the latter only inside the web application as the XAI narrative renderer. The team chose every methodology, every cohort definition, every constraint rule, every blend weight, every business module, the validation strategy, and the limitations narrative. The AI's role was implementation acceleration on team-specified designs, not design itself. Every output was reviewed against the raw data, the rubric, or domain knowledge before it landed in the repository.</w:t>
      </w:r>
    </w:p>
    <w:p>
      <w:pPr>
        <w:spacing w:before="200" w:after="40"/>
      </w:pPr>
      <w:r>
        <w:rPr>
          <w:rFonts w:ascii="Calibri" w:hAnsi="Calibri"/>
          <w:b/>
          <w:i w:val="0"/>
          <w:color w:val="0E7CBE"/>
          <w:sz w:val="25"/>
        </w:rPr>
        <w:t>Aggregate audit</w:t>
      </w:r>
    </w:p>
    <w:p>
      <w:pPr>
        <w:spacing w:after="120" w:line="300" w:lineRule="auto"/>
      </w:pPr>
      <w:r>
        <w:rPr>
          <w:rFonts w:ascii="Calibri" w:hAnsi="Calibri"/>
          <w:b w:val="0"/>
          <w:i w:val="0"/>
          <w:color w:val="1A202C"/>
          <w:sz w:val="22"/>
        </w:rPr>
        <w:t xml:space="preserve">Full log at </w:t>
      </w:r>
      <w:r>
        <w:rPr>
          <w:rFonts w:ascii="Consolas" w:hAnsi="Consolas"/>
          <w:b w:val="0"/>
          <w:i w:val="0"/>
          <w:color w:val="1A202C"/>
          <w:sz w:val="21"/>
        </w:rPr>
        <w:t>docs/genai_log.md</w:t>
      </w:r>
      <w:r>
        <w:rPr>
          <w:rFonts w:ascii="Calibri" w:hAnsi="Calibri"/>
          <w:b w:val="0"/>
          <w:i w:val="0"/>
          <w:color w:val="1A202C"/>
          <w:sz w:val="22"/>
        </w:rPr>
        <w:t xml:space="preserve"> (48 entries with phase, prompt category, AI output, team action, validation step).</w:t>
      </w:r>
    </w:p>
    <w:tbl>
      <w:tblPr>
        <w:tblStyle w:val="LightGrid-Accent1"/>
        <w:tblW w:type="auto" w:w="0"/>
        <w:jc w:val="left"/>
        <w:tblLook w:firstColumn="1" w:firstRow="1" w:lastColumn="0" w:lastRow="0" w:noHBand="0" w:noVBand="1" w:val="04A0"/>
      </w:tblPr>
      <w:tblGrid>
        <w:gridCol w:w="4819"/>
        <w:gridCol w:w="4819"/>
      </w:tblGrid>
      <w:tr>
        <w:trPr>
          <w:tblHeader w:val="true"/>
        </w:trPr>
        <w:tc>
          <w:tcPr>
            <w:tcW w:type="dxa" w:w="4819"/>
            <w:shd w:val="clear" w:color="auto" w:fill="0E3F6E"/>
            <w:vAlign w:val="center"/>
          </w:tcPr>
          <w:p>
            <w:r/>
            <w:r>
              <w:rPr>
                <w:rFonts w:ascii="Calibri" w:hAnsi="Calibri"/>
                <w:b/>
                <w:i w:val="0"/>
                <w:color w:val="FFFFFF"/>
                <w:sz w:val="21"/>
              </w:rPr>
              <w:t>Outcome</w:t>
            </w:r>
          </w:p>
        </w:tc>
        <w:tc>
          <w:tcPr>
            <w:tcW w:type="dxa" w:w="4819"/>
            <w:shd w:val="clear" w:color="auto" w:fill="0E3F6E"/>
            <w:vAlign w:val="center"/>
          </w:tcPr>
          <w:p>
            <w:r/>
            <w:r>
              <w:rPr>
                <w:rFonts w:ascii="Calibri" w:hAnsi="Calibri"/>
                <w:b/>
                <w:i w:val="0"/>
                <w:color w:val="FFFFFF"/>
                <w:sz w:val="21"/>
              </w:rPr>
              <w:t>Count</w:t>
            </w:r>
          </w:p>
        </w:tc>
      </w:tr>
      <w:tr>
        <w:tc>
          <w:tcPr>
            <w:tcW w:type="dxa" w:w="4819"/>
            <w:vAlign w:val="center"/>
          </w:tcPr>
          <w:p>
            <w:r/>
            <w:r>
              <w:rPr>
                <w:rFonts w:ascii="Calibri" w:hAnsi="Calibri"/>
                <w:b w:val="0"/>
                <w:i w:val="0"/>
                <w:color w:val="1A202C"/>
                <w:sz w:val="21"/>
              </w:rPr>
              <w:t>Accepted as-is</w:t>
            </w:r>
          </w:p>
        </w:tc>
        <w:tc>
          <w:tcPr>
            <w:tcW w:type="dxa" w:w="4819"/>
            <w:vAlign w:val="center"/>
          </w:tcPr>
          <w:p>
            <w:r/>
            <w:r>
              <w:rPr>
                <w:rFonts w:ascii="Calibri" w:hAnsi="Calibri"/>
                <w:b w:val="0"/>
                <w:i w:val="0"/>
                <w:color w:val="1A202C"/>
                <w:sz w:val="21"/>
              </w:rPr>
              <w:t>24</w:t>
            </w:r>
          </w:p>
        </w:tc>
      </w:tr>
      <w:tr>
        <w:tc>
          <w:tcPr>
            <w:tcW w:type="dxa" w:w="4819"/>
            <w:shd w:val="clear" w:color="auto" w:fill="F4F6F9"/>
            <w:vAlign w:val="center"/>
          </w:tcPr>
          <w:p>
            <w:r/>
            <w:r>
              <w:rPr>
                <w:rFonts w:ascii="Calibri" w:hAnsi="Calibri"/>
                <w:b w:val="0"/>
                <w:i w:val="0"/>
                <w:color w:val="1A202C"/>
                <w:sz w:val="21"/>
              </w:rPr>
              <w:t>Accepted with caveat / verification / documented limitation</w:t>
            </w:r>
          </w:p>
        </w:tc>
        <w:tc>
          <w:tcPr>
            <w:tcW w:type="dxa" w:w="4819"/>
            <w:shd w:val="clear" w:color="auto" w:fill="F4F6F9"/>
            <w:vAlign w:val="center"/>
          </w:tcPr>
          <w:p>
            <w:r/>
            <w:r>
              <w:rPr>
                <w:rFonts w:ascii="Calibri" w:hAnsi="Calibri"/>
                <w:b w:val="0"/>
                <w:i w:val="0"/>
                <w:color w:val="1A202C"/>
                <w:sz w:val="21"/>
              </w:rPr>
              <w:t>17</w:t>
            </w:r>
          </w:p>
        </w:tc>
      </w:tr>
      <w:tr>
        <w:tc>
          <w:tcPr>
            <w:tcW w:type="dxa" w:w="4819"/>
            <w:vAlign w:val="center"/>
          </w:tcPr>
          <w:p>
            <w:r/>
            <w:r>
              <w:rPr>
                <w:rFonts w:ascii="Calibri" w:hAnsi="Calibri"/>
                <w:b w:val="0"/>
                <w:i w:val="0"/>
                <w:color w:val="1A202C"/>
                <w:sz w:val="21"/>
              </w:rPr>
              <w:t>Rejected and replaced</w:t>
            </w:r>
          </w:p>
        </w:tc>
        <w:tc>
          <w:tcPr>
            <w:tcW w:type="dxa" w:w="4819"/>
            <w:vAlign w:val="center"/>
          </w:tcPr>
          <w:p>
            <w:r/>
            <w:r>
              <w:rPr>
                <w:rFonts w:ascii="Calibri" w:hAnsi="Calibri"/>
                <w:b w:val="0"/>
                <w:i w:val="0"/>
                <w:color w:val="1A202C"/>
                <w:sz w:val="21"/>
              </w:rPr>
              <w:t>7</w:t>
            </w:r>
          </w:p>
        </w:tc>
      </w:tr>
      <w:tr>
        <w:tc>
          <w:tcPr>
            <w:tcW w:type="dxa" w:w="4819"/>
            <w:shd w:val="clear" w:color="auto" w:fill="F4F6F9"/>
            <w:vAlign w:val="center"/>
          </w:tcPr>
          <w:p>
            <w:r/>
            <w:r>
              <w:rPr>
                <w:rFonts w:ascii="Calibri" w:hAnsi="Calibri"/>
                <w:b/>
                <w:i w:val="0"/>
                <w:color w:val="1A202C"/>
                <w:sz w:val="21"/>
              </w:rPr>
              <w:t>Total entries</w:t>
            </w:r>
          </w:p>
        </w:tc>
        <w:tc>
          <w:tcPr>
            <w:tcW w:type="dxa" w:w="4819"/>
            <w:shd w:val="clear" w:color="auto" w:fill="F4F6F9"/>
            <w:vAlign w:val="center"/>
          </w:tcPr>
          <w:p>
            <w:r/>
            <w:r>
              <w:rPr>
                <w:rFonts w:ascii="Calibri" w:hAnsi="Calibri"/>
                <w:b/>
                <w:i w:val="0"/>
                <w:color w:val="1A202C"/>
                <w:sz w:val="21"/>
              </w:rPr>
              <w:t>48</w:t>
            </w:r>
          </w:p>
        </w:tc>
      </w:tr>
    </w:tbl>
    <w:p>
      <w:pPr>
        <w:spacing w:after="80"/>
      </w:pPr>
    </w:p>
    <w:p>
      <w:pPr>
        <w:spacing w:before="200" w:after="40"/>
      </w:pPr>
      <w:r>
        <w:rPr>
          <w:rFonts w:ascii="Calibri" w:hAnsi="Calibri"/>
          <w:b/>
          <w:i w:val="0"/>
          <w:color w:val="0E7CBE"/>
          <w:sz w:val="25"/>
        </w:rPr>
        <w:t>Where AI accelerated the team most</w:t>
      </w:r>
    </w:p>
    <w:p>
      <w:pPr>
        <w:pStyle w:val="ListBullet"/>
        <w:spacing w:after="40" w:line="288" w:lineRule="auto"/>
      </w:pPr>
      <w:r>
        <w:rPr>
          <w:rFonts w:ascii="Calibri" w:hAnsi="Calibri"/>
          <w:b w:val="0"/>
          <w:i w:val="0"/>
          <w:color w:val="1A202C"/>
          <w:sz w:val="22"/>
        </w:rPr>
        <w:t>Reusable DQ check library boilerplate (six parameterised functions)</w:t>
      </w:r>
    </w:p>
    <w:p>
      <w:pPr>
        <w:pStyle w:val="ListBullet"/>
        <w:spacing w:after="40" w:line="288" w:lineRule="auto"/>
      </w:pPr>
      <w:r>
        <w:rPr>
          <w:rFonts w:ascii="Calibri" w:hAnsi="Calibri"/>
          <w:b w:val="0"/>
          <w:i w:val="0"/>
          <w:color w:val="1A202C"/>
          <w:sz w:val="22"/>
        </w:rPr>
        <w:t>Overpass API fetcher + BallTree haversine spatial join</w:t>
      </w:r>
    </w:p>
    <w:p>
      <w:pPr>
        <w:pStyle w:val="ListBullet"/>
        <w:spacing w:after="40" w:line="288" w:lineRule="auto"/>
      </w:pPr>
      <w:r>
        <w:rPr>
          <w:rFonts w:ascii="Calibri" w:hAnsi="Calibri"/>
          <w:b w:val="0"/>
          <w:i w:val="0"/>
          <w:color w:val="1A202C"/>
          <w:sz w:val="22"/>
        </w:rPr>
        <w:t>Censored-regression literature references and likelihood derivations</w:t>
      </w:r>
    </w:p>
    <w:p>
      <w:pPr>
        <w:pStyle w:val="ListBullet"/>
        <w:spacing w:after="40" w:line="288" w:lineRule="auto"/>
      </w:pPr>
      <w:r>
        <w:rPr>
          <w:rFonts w:ascii="Calibri" w:hAnsi="Calibri"/>
          <w:b w:val="0"/>
          <w:i w:val="0"/>
          <w:color w:val="1A202C"/>
          <w:sz w:val="22"/>
        </w:rPr>
        <w:t>XGBoost surrogate + TreeExplainer SHAP scaffold</w:t>
      </w:r>
    </w:p>
    <w:p>
      <w:pPr>
        <w:pStyle w:val="ListBullet"/>
        <w:spacing w:after="40" w:line="288" w:lineRule="auto"/>
      </w:pPr>
      <w:r>
        <w:rPr>
          <w:rFonts w:ascii="Calibri" w:hAnsi="Calibri"/>
          <w:b w:val="0"/>
          <w:i w:val="0"/>
          <w:color w:val="1A202C"/>
          <w:sz w:val="22"/>
        </w:rPr>
        <w:t>Closed-form water-filling Lagrangian</w:t>
      </w:r>
    </w:p>
    <w:p>
      <w:pPr>
        <w:pStyle w:val="ListBullet"/>
        <w:spacing w:after="40" w:line="288" w:lineRule="auto"/>
      </w:pPr>
      <w:r>
        <w:rPr>
          <w:rFonts w:ascii="Calibri" w:hAnsi="Calibri"/>
          <w:b w:val="0"/>
          <w:i w:val="0"/>
          <w:color w:val="1A202C"/>
          <w:sz w:val="22"/>
        </w:rPr>
        <w:t>FastAPI + Next.js boilerplate</w:t>
      </w:r>
    </w:p>
    <w:p>
      <w:pPr>
        <w:pStyle w:val="ListBullet"/>
        <w:spacing w:after="40" w:line="288" w:lineRule="auto"/>
      </w:pPr>
      <w:r>
        <w:rPr>
          <w:rFonts w:ascii="Calibri" w:hAnsi="Calibri"/>
          <w:b w:val="0"/>
          <w:i w:val="0"/>
          <w:color w:val="1A202C"/>
          <w:sz w:val="22"/>
        </w:rPr>
        <w:t>Gemini API wrapper structure</w:t>
      </w:r>
    </w:p>
    <w:p>
      <w:pPr>
        <w:spacing w:before="200" w:after="40"/>
      </w:pPr>
      <w:r>
        <w:rPr>
          <w:rFonts w:ascii="Calibri" w:hAnsi="Calibri"/>
          <w:b/>
          <w:i w:val="0"/>
          <w:color w:val="0E7CBE"/>
          <w:sz w:val="25"/>
        </w:rPr>
        <w:t>Where the team critically corrected AI</w:t>
      </w:r>
    </w:p>
    <w:p>
      <w:pPr>
        <w:spacing w:after="120" w:line="300" w:lineRule="auto"/>
      </w:pPr>
      <w:r>
        <w:rPr>
          <w:rFonts w:ascii="Calibri" w:hAnsi="Calibri"/>
          <w:b w:val="0"/>
          <w:i w:val="0"/>
          <w:color w:val="1A202C"/>
          <w:sz w:val="22"/>
        </w:rPr>
        <w:t xml:space="preserve">Selected examples (full list in </w:t>
      </w:r>
      <w:r>
        <w:rPr>
          <w:rFonts w:ascii="Consolas" w:hAnsi="Consolas"/>
          <w:b w:val="0"/>
          <w:i w:val="0"/>
          <w:color w:val="1A202C"/>
          <w:sz w:val="21"/>
        </w:rPr>
        <w:t>docs/genai_log.md</w:t>
      </w:r>
      <w:r>
        <w:rPr>
          <w:rFonts w:ascii="Calibri" w:hAnsi="Calibri"/>
          <w:b w:val="0"/>
          <w:i w:val="0"/>
          <w:color w:val="1A202C"/>
          <w:sz w:val="22"/>
        </w:rPr>
        <w:t>):</w:t>
      </w:r>
    </w:p>
    <w:p>
      <w:pPr>
        <w:pStyle w:val="ListBullet"/>
        <w:spacing w:after="40" w:line="288" w:lineRule="auto"/>
      </w:pPr>
      <w:r>
        <w:rPr>
          <w:rFonts w:ascii="Calibri" w:hAnsi="Calibri"/>
          <w:b/>
          <w:i w:val="0"/>
          <w:color w:val="1A202C"/>
          <w:sz w:val="22"/>
        </w:rPr>
        <w:t>Holiday primary key</w:t>
      </w:r>
      <w:r>
        <w:rPr>
          <w:rFonts w:ascii="Calibri" w:hAnsi="Calibri"/>
          <w:b w:val="0"/>
          <w:i w:val="0"/>
          <w:color w:val="1A202C"/>
          <w:sz w:val="22"/>
        </w:rPr>
        <w:t xml:space="preserve">: the assistant initially suggested </w:t>
      </w:r>
      <w:r>
        <w:rPr>
          <w:rFonts w:ascii="Consolas" w:hAnsi="Consolas"/>
          <w:b w:val="0"/>
          <w:i w:val="0"/>
          <w:color w:val="1A202C"/>
          <w:sz w:val="21"/>
        </w:rPr>
        <w:t>Date</w:t>
      </w:r>
      <w:r>
        <w:rPr>
          <w:rFonts w:ascii="Calibri" w:hAnsi="Calibri"/>
          <w:b w:val="0"/>
          <w:i w:val="0"/>
          <w:color w:val="1A202C"/>
          <w:sz w:val="22"/>
        </w:rPr>
        <w:t xml:space="preserve"> alone, which would have falsely flagged 98.85 % of holiday rows as duplicates. The team switched to </w:t>
      </w:r>
      <w:r>
        <w:rPr>
          <w:rFonts w:ascii="Consolas" w:hAnsi="Consolas"/>
          <w:b w:val="0"/>
          <w:i w:val="0"/>
          <w:color w:val="1A202C"/>
          <w:sz w:val="21"/>
        </w:rPr>
        <w:t>(Date, Holiday_Type)</w:t>
      </w:r>
      <w:r>
        <w:rPr>
          <w:rFonts w:ascii="Calibri" w:hAnsi="Calibri"/>
          <w:b w:val="0"/>
          <w:i w:val="0"/>
          <w:color w:val="1A202C"/>
          <w:sz w:val="22"/>
        </w:rPr>
        <w:t xml:space="preserve"> and the duplicate rate dropped to a sensible 56.73 % representing genuine legacy-SFA repeats.</w:t>
      </w:r>
    </w:p>
    <w:p>
      <w:pPr>
        <w:pStyle w:val="ListBullet"/>
        <w:spacing w:after="40" w:line="288" w:lineRule="auto"/>
      </w:pPr>
      <w:r>
        <w:rPr>
          <w:rFonts w:ascii="Calibri" w:hAnsi="Calibri"/>
          <w:b/>
          <w:i w:val="0"/>
          <w:color w:val="1A202C"/>
          <w:sz w:val="22"/>
        </w:rPr>
        <w:t>Outlet_Type typo count</w:t>
      </w:r>
      <w:r>
        <w:rPr>
          <w:rFonts w:ascii="Calibri" w:hAnsi="Calibri"/>
          <w:b w:val="0"/>
          <w:i w:val="0"/>
          <w:color w:val="1A202C"/>
          <w:sz w:val="22"/>
        </w:rPr>
        <w:t>: an initial counter over-reported corrections (5,958 vs the true 985) because it counted rows whose value happened to match a canonical entry even when no change occurred. Fixed before any narrative was written.</w:t>
      </w:r>
    </w:p>
    <w:p>
      <w:pPr>
        <w:pStyle w:val="ListBullet"/>
        <w:spacing w:after="40" w:line="288" w:lineRule="auto"/>
      </w:pPr>
      <w:r>
        <w:rPr>
          <w:rFonts w:ascii="Calibri" w:hAnsi="Calibri"/>
          <w:b/>
          <w:i w:val="0"/>
          <w:color w:val="1A202C"/>
          <w:sz w:val="22"/>
        </w:rPr>
        <w:t>Sanity floor</w:t>
      </w:r>
      <w:r>
        <w:rPr>
          <w:rFonts w:ascii="Calibri" w:hAnsi="Calibri"/>
          <w:b w:val="0"/>
          <w:i w:val="0"/>
          <w:color w:val="1A202C"/>
          <w:sz w:val="22"/>
        </w:rPr>
        <w:t xml:space="preserve">: initial suggestion was </w:t>
      </w:r>
      <w:r>
        <w:rPr>
          <w:rFonts w:ascii="Consolas" w:hAnsi="Consolas"/>
          <w:b w:val="0"/>
          <w:i w:val="0"/>
          <w:color w:val="1A202C"/>
          <w:sz w:val="21"/>
        </w:rPr>
        <w:t>max()</w:t>
      </w:r>
      <w:r>
        <w:rPr>
          <w:rFonts w:ascii="Calibri" w:hAnsi="Calibri"/>
          <w:b w:val="0"/>
          <w:i w:val="0"/>
          <w:color w:val="1A202C"/>
          <w:sz w:val="22"/>
        </w:rPr>
        <w:t xml:space="preserve"> of own history. A single outlier month from a data-entry typo would have inflated the floor for an entire outlet. Replaced with Q95 of own history.</w:t>
      </w:r>
    </w:p>
    <w:p>
      <w:pPr>
        <w:pStyle w:val="ListBullet"/>
        <w:spacing w:after="40" w:line="288" w:lineRule="auto"/>
      </w:pPr>
      <w:r>
        <w:rPr>
          <w:rFonts w:ascii="Calibri" w:hAnsi="Calibri"/>
          <w:b/>
          <w:i w:val="0"/>
          <w:color w:val="1A202C"/>
          <w:sz w:val="22"/>
        </w:rPr>
        <w:t>Bakry typo missed</w:t>
      </w:r>
      <w:r>
        <w:rPr>
          <w:rFonts w:ascii="Calibri" w:hAnsi="Calibri"/>
          <w:b w:val="0"/>
          <w:i w:val="0"/>
          <w:color w:val="1A202C"/>
          <w:sz w:val="22"/>
        </w:rPr>
        <w:t>: the first normalisation map covered Grocry, Eatry, Pharmcy but missed Bakry (395 outlets — the single largest typo bucket). Caught on a second EDA pass and added.</w:t>
      </w:r>
    </w:p>
    <w:p>
      <w:pPr>
        <w:pStyle w:val="ListBullet"/>
        <w:spacing w:after="40" w:line="288" w:lineRule="auto"/>
      </w:pPr>
      <w:r>
        <w:rPr>
          <w:rFonts w:ascii="Calibri" w:hAnsi="Calibri"/>
          <w:b/>
          <w:i w:val="0"/>
          <w:color w:val="1A202C"/>
          <w:sz w:val="22"/>
        </w:rPr>
        <w:t>Lat/Lon swap</w:t>
      </w:r>
      <w:r>
        <w:rPr>
          <w:rFonts w:ascii="Calibri" w:hAnsi="Calibri"/>
          <w:b w:val="0"/>
          <w:i w:val="0"/>
          <w:color w:val="1A202C"/>
          <w:sz w:val="22"/>
        </w:rPr>
        <w:t xml:space="preserve">: a naive </w:t>
      </w:r>
      <w:r>
        <w:rPr>
          <w:rFonts w:ascii="Consolas" w:hAnsi="Consolas"/>
          <w:b w:val="0"/>
          <w:i w:val="0"/>
          <w:color w:val="1A202C"/>
          <w:sz w:val="21"/>
        </w:rPr>
        <w:t>lat/lon ∈ Sri Lanka bbox</w:t>
      </w:r>
      <w:r>
        <w:rPr>
          <w:rFonts w:ascii="Calibri" w:hAnsi="Calibri"/>
          <w:b w:val="0"/>
          <w:i w:val="0"/>
          <w:color w:val="1A202C"/>
          <w:sz w:val="22"/>
        </w:rPr>
        <w:t xml:space="preserve"> rule would have quarantined 240 outlets. The team designed and implemented the swap-recovery heuristic that reclaims 200 of them.</w:t>
      </w:r>
    </w:p>
    <w:p>
      <w:pPr>
        <w:pStyle w:val="ListBullet"/>
        <w:spacing w:after="40" w:line="288" w:lineRule="auto"/>
      </w:pPr>
      <w:r>
        <w:rPr>
          <w:rFonts w:ascii="Calibri" w:hAnsi="Calibri"/>
          <w:b/>
          <w:i w:val="0"/>
          <w:color w:val="1A202C"/>
          <w:sz w:val="22"/>
        </w:rPr>
        <w:t>Cooler-count counterfactual sign</w:t>
      </w:r>
      <w:r>
        <w:rPr>
          <w:rFonts w:ascii="Calibri" w:hAnsi="Calibri"/>
          <w:b w:val="0"/>
          <w:i w:val="0"/>
          <w:color w:val="1A202C"/>
          <w:sz w:val="22"/>
        </w:rPr>
        <w:t>: the first surrogate run produced negative "add a cooler" deltas for some outlets — a model artefact rather than a domain truth. The team added monotonic constraints (Cooler_Count: +1, competitor_density_norm: −1, has_no_cooler: −1, replenishment_friction: −1) so the counterfactual directions match domain intuition.</w:t>
      </w:r>
    </w:p>
    <w:p>
      <w:pPr>
        <w:pStyle w:val="ListBullet"/>
        <w:spacing w:after="40" w:line="288" w:lineRule="auto"/>
      </w:pPr>
      <w:r>
        <w:rPr>
          <w:rFonts w:ascii="Calibri" w:hAnsi="Calibri"/>
          <w:b/>
          <w:i w:val="0"/>
          <w:color w:val="1A202C"/>
          <w:sz w:val="22"/>
        </w:rPr>
        <w:t>Gemini output truncation</w:t>
      </w:r>
      <w:r>
        <w:rPr>
          <w:rFonts w:ascii="Calibri" w:hAnsi="Calibri"/>
          <w:b w:val="0"/>
          <w:i w:val="0"/>
          <w:color w:val="1A202C"/>
          <w:sz w:val="22"/>
        </w:rPr>
        <w:t xml:space="preserve">: the first integration returned ~60 chars of narrative because Gemini 2.5 Flash thinking tokens consume the output budget. The team raised </w:t>
      </w:r>
      <w:r>
        <w:rPr>
          <w:rFonts w:ascii="Consolas" w:hAnsi="Consolas"/>
          <w:b w:val="0"/>
          <w:i w:val="0"/>
          <w:color w:val="1A202C"/>
          <w:sz w:val="21"/>
        </w:rPr>
        <w:t>max_output_tokens</w:t>
      </w:r>
      <w:r>
        <w:rPr>
          <w:rFonts w:ascii="Calibri" w:hAnsi="Calibri"/>
          <w:b w:val="0"/>
          <w:i w:val="0"/>
          <w:color w:val="1A202C"/>
          <w:sz w:val="22"/>
        </w:rPr>
        <w:t xml:space="preserve"> to 4,096 and added a fallback that reads from </w:t>
      </w:r>
      <w:r>
        <w:rPr>
          <w:rFonts w:ascii="Consolas" w:hAnsi="Consolas"/>
          <w:b w:val="0"/>
          <w:i w:val="0"/>
          <w:color w:val="1A202C"/>
          <w:sz w:val="21"/>
        </w:rPr>
        <w:t>response.candidates[]</w:t>
      </w:r>
      <w:r>
        <w:rPr>
          <w:rFonts w:ascii="Calibri" w:hAnsi="Calibri"/>
          <w:b w:val="0"/>
          <w:i w:val="0"/>
          <w:color w:val="1A202C"/>
          <w:sz w:val="22"/>
        </w:rPr>
        <w:t xml:space="preserve"> when </w:t>
      </w:r>
      <w:r>
        <w:rPr>
          <w:rFonts w:ascii="Consolas" w:hAnsi="Consolas"/>
          <w:b w:val="0"/>
          <w:i w:val="0"/>
          <w:color w:val="1A202C"/>
          <w:sz w:val="21"/>
        </w:rPr>
        <w:t>.text</w:t>
      </w:r>
      <w:r>
        <w:rPr>
          <w:rFonts w:ascii="Calibri" w:hAnsi="Calibri"/>
          <w:b w:val="0"/>
          <w:i w:val="0"/>
          <w:color w:val="1A202C"/>
          <w:sz w:val="22"/>
        </w:rPr>
        <w:t xml:space="preserve"> errors out.</w:t>
      </w:r>
    </w:p>
    <w:p>
      <w:pPr>
        <w:pStyle w:val="ListBullet"/>
        <w:spacing w:after="40" w:line="288" w:lineRule="auto"/>
      </w:pPr>
      <w:r>
        <w:rPr>
          <w:rFonts w:ascii="Calibri" w:hAnsi="Calibri"/>
          <w:b/>
          <w:i w:val="0"/>
          <w:color w:val="1A202C"/>
          <w:sz w:val="22"/>
        </w:rPr>
        <w:t>Markdown rendering</w:t>
      </w:r>
      <w:r>
        <w:rPr>
          <w:rFonts w:ascii="Calibri" w:hAnsi="Calibri"/>
          <w:b w:val="0"/>
          <w:i w:val="0"/>
          <w:color w:val="1A202C"/>
          <w:sz w:val="22"/>
        </w:rPr>
        <w:t xml:space="preserve">: the AI narrative card was displaying raw </w:t>
      </w:r>
      <w:r>
        <w:rPr>
          <w:rFonts w:ascii="Consolas" w:hAnsi="Consolas"/>
          <w:b w:val="0"/>
          <w:i w:val="0"/>
          <w:color w:val="1A202C"/>
          <w:sz w:val="21"/>
        </w:rPr>
        <w:t>**bold**</w:t>
      </w:r>
      <w:r>
        <w:rPr>
          <w:rFonts w:ascii="Calibri" w:hAnsi="Calibri"/>
          <w:b w:val="0"/>
          <w:i w:val="0"/>
          <w:color w:val="1A202C"/>
          <w:sz w:val="22"/>
        </w:rPr>
        <w:t xml:space="preserve"> and </w:t>
      </w:r>
      <w:r>
        <w:rPr>
          <w:rFonts w:ascii="Consolas" w:hAnsi="Consolas"/>
          <w:b w:val="0"/>
          <w:i w:val="0"/>
          <w:color w:val="1A202C"/>
          <w:sz w:val="21"/>
        </w:rPr>
        <w:t>* bullet</w:t>
      </w:r>
      <w:r>
        <w:rPr>
          <w:rFonts w:ascii="Calibri" w:hAnsi="Calibri"/>
          <w:b w:val="0"/>
          <w:i w:val="0"/>
          <w:color w:val="1A202C"/>
          <w:sz w:val="22"/>
        </w:rPr>
        <w:t xml:space="preserve"> markers. The team added </w:t>
      </w:r>
      <w:r>
        <w:rPr>
          <w:rFonts w:ascii="Consolas" w:hAnsi="Consolas"/>
          <w:b w:val="0"/>
          <w:i w:val="0"/>
          <w:color w:val="1A202C"/>
          <w:sz w:val="21"/>
        </w:rPr>
        <w:t>react-markdown</w:t>
      </w:r>
      <w:r>
        <w:rPr>
          <w:rFonts w:ascii="Calibri" w:hAnsi="Calibri"/>
          <w:b w:val="0"/>
          <w:i w:val="0"/>
          <w:color w:val="1A202C"/>
          <w:sz w:val="22"/>
        </w:rPr>
        <w:t xml:space="preserve"> + </w:t>
      </w:r>
      <w:r>
        <w:rPr>
          <w:rFonts w:ascii="Consolas" w:hAnsi="Consolas"/>
          <w:b w:val="0"/>
          <w:i w:val="0"/>
          <w:color w:val="1A202C"/>
          <w:sz w:val="21"/>
        </w:rPr>
        <w:t>remark-gfm</w:t>
      </w:r>
      <w:r>
        <w:rPr>
          <w:rFonts w:ascii="Calibri" w:hAnsi="Calibri"/>
          <w:b w:val="0"/>
          <w:i w:val="0"/>
          <w:color w:val="1A202C"/>
          <w:sz w:val="22"/>
        </w:rPr>
        <w:t xml:space="preserve"> with explicit Tailwind component mappings.</w:t>
      </w:r>
    </w:p>
    <w:p>
      <w:pPr>
        <w:pStyle w:val="ListBullet"/>
        <w:spacing w:after="40" w:line="288" w:lineRule="auto"/>
      </w:pPr>
      <w:r>
        <w:rPr>
          <w:rFonts w:ascii="Calibri" w:hAnsi="Calibri"/>
          <w:b/>
          <w:i w:val="0"/>
          <w:color w:val="1A202C"/>
          <w:sz w:val="22"/>
        </w:rPr>
        <w:t>HDBSCAN defaults</w:t>
      </w:r>
      <w:r>
        <w:rPr>
          <w:rFonts w:ascii="Calibri" w:hAnsi="Calibri"/>
          <w:b w:val="0"/>
          <w:i w:val="0"/>
          <w:color w:val="1A202C"/>
          <w:sz w:val="22"/>
        </w:rPr>
        <w:t xml:space="preserve">: at default parameters HDBSCAN produced four macro-clusters mirroring the provinces — too coarse for sales territory planning. The team tuned </w:t>
      </w:r>
      <w:r>
        <w:rPr>
          <w:rFonts w:ascii="Consolas" w:hAnsi="Consolas"/>
          <w:b w:val="0"/>
          <w:i w:val="0"/>
          <w:color w:val="1A202C"/>
          <w:sz w:val="21"/>
        </w:rPr>
        <w:t>min_cluster_size = 60</w:t>
      </w:r>
      <w:r>
        <w:rPr>
          <w:rFonts w:ascii="Calibri" w:hAnsi="Calibri"/>
          <w:b w:val="0"/>
          <w:i w:val="0"/>
          <w:color w:val="1A202C"/>
          <w:sz w:val="22"/>
        </w:rPr>
        <w:t xml:space="preserve"> with leaf cluster selection and added a "reassign noise to nearest centroid" step, yielding 91 useful sub-province territories.</w:t>
      </w:r>
    </w:p>
    <w:p>
      <w:pPr>
        <w:pStyle w:val="ListBullet"/>
        <w:spacing w:after="40" w:line="288" w:lineRule="auto"/>
      </w:pPr>
      <w:r>
        <w:rPr>
          <w:rFonts w:ascii="Calibri" w:hAnsi="Calibri"/>
          <w:b/>
          <w:i w:val="0"/>
          <w:color w:val="1A202C"/>
          <w:sz w:val="22"/>
        </w:rPr>
        <w:t>Holiday-multiplier asymmetry</w:t>
      </w:r>
      <w:r>
        <w:rPr>
          <w:rFonts w:ascii="Calibri" w:hAnsi="Calibri"/>
          <w:b w:val="0"/>
          <w:i w:val="0"/>
          <w:color w:val="1A202C"/>
          <w:sz w:val="22"/>
        </w:rPr>
        <w:t xml:space="preserve">: a uniform 3.6 % under-prediction was traced to one side of the multiplier using </w:t>
      </w:r>
      <w:r>
        <w:rPr>
          <w:rFonts w:ascii="Consolas" w:hAnsi="Consolas"/>
          <w:b w:val="0"/>
          <w:i w:val="0"/>
          <w:color w:val="1A202C"/>
          <w:sz w:val="21"/>
        </w:rPr>
        <w:t>nunique(Date)</w:t>
      </w:r>
      <w:r>
        <w:rPr>
          <w:rFonts w:ascii="Calibri" w:hAnsi="Calibri"/>
          <w:b w:val="0"/>
          <w:i w:val="0"/>
          <w:color w:val="1A202C"/>
          <w:sz w:val="22"/>
        </w:rPr>
        <w:t xml:space="preserve"> while the other used </w:t>
      </w:r>
      <w:r>
        <w:rPr>
          <w:rFonts w:ascii="Consolas" w:hAnsi="Consolas"/>
          <w:b w:val="0"/>
          <w:i w:val="0"/>
          <w:color w:val="1A202C"/>
          <w:sz w:val="21"/>
        </w:rPr>
        <w:t>groupby.size()</w:t>
      </w:r>
      <w:r>
        <w:rPr>
          <w:rFonts w:ascii="Calibri" w:hAnsi="Calibri"/>
          <w:b w:val="0"/>
          <w:i w:val="0"/>
          <w:color w:val="1A202C"/>
          <w:sz w:val="22"/>
        </w:rPr>
        <w:t xml:space="preserve">. The team standardised both to </w:t>
      </w:r>
      <w:r>
        <w:rPr>
          <w:rFonts w:ascii="Consolas" w:hAnsi="Consolas"/>
          <w:b w:val="0"/>
          <w:i w:val="0"/>
          <w:color w:val="1A202C"/>
          <w:sz w:val="21"/>
        </w:rPr>
        <w:t>nunique(Date)</w:t>
      </w:r>
      <w:r>
        <w:rPr>
          <w:rFonts w:ascii="Calibri" w:hAnsi="Calibri"/>
          <w:b w:val="0"/>
          <w:i w:val="0"/>
          <w:color w:val="1A202C"/>
          <w:sz w:val="22"/>
        </w:rPr>
        <w:t>.</w:t>
      </w:r>
    </w:p>
    <w:p>
      <w:pPr>
        <w:spacing w:before="200" w:after="40"/>
      </w:pPr>
      <w:r>
        <w:rPr>
          <w:rFonts w:ascii="Calibri" w:hAnsi="Calibri"/>
          <w:b/>
          <w:i w:val="0"/>
          <w:color w:val="0E7CBE"/>
          <w:sz w:val="25"/>
        </w:rPr>
        <w:t>Explainable-AI design (web application)</w:t>
      </w:r>
    </w:p>
    <w:p>
      <w:pPr>
        <w:spacing w:after="120" w:line="300" w:lineRule="auto"/>
      </w:pPr>
      <w:r>
        <w:rPr>
          <w:rFonts w:ascii="Calibri" w:hAnsi="Calibri"/>
          <w:b w:val="0"/>
          <w:i w:val="0"/>
          <w:color w:val="1A202C"/>
          <w:sz w:val="22"/>
        </w:rPr>
        <w:t>Each outlet drill-down page in the web app offers an "Explain this outlet" button. When clicked, the FastAPI backend assembles a structured payload — predicted score, top-5 positive and top-5 negative SHAP drivers with signs, the two counterfactual deltas (add a cooler, remove competition), the top-3 ranked recommended actions with rationales, and a compact KPI block — and forwards it to Gemini 2.5 Flash with a deterministic-style system prompt that forbids inventing numbers, forbids statistical jargon, and prescribes a two-paragraph plus three-bullet output shape. Temperature is set to 0.4 so the same inputs reliably produce similar narratives. The model is positioned as a translator of the structured factual substrate, not as an inference engine; the raw historical volume is never sent.</w:t>
      </w:r>
    </w:p>
    <w:p>
      <w:pPr>
        <w:spacing w:after="120" w:line="300" w:lineRule="auto"/>
      </w:pPr>
      <w:r>
        <w:rPr>
          <w:rFonts w:ascii="Calibri" w:hAnsi="Calibri"/>
          <w:b w:val="0"/>
          <w:i w:val="0"/>
          <w:color w:val="1A202C"/>
          <w:sz w:val="22"/>
        </w:rPr>
        <w:t xml:space="preserve">A live request on a high-potential outlet returns ≈ 1,170 characters of usable business copy in a single round trip. The frontend renders the response through </w:t>
      </w:r>
      <w:r>
        <w:rPr>
          <w:rFonts w:ascii="Consolas" w:hAnsi="Consolas"/>
          <w:b w:val="0"/>
          <w:i w:val="0"/>
          <w:color w:val="1A202C"/>
          <w:sz w:val="21"/>
        </w:rPr>
        <w:t>react-markdown</w:t>
      </w:r>
      <w:r>
        <w:rPr>
          <w:rFonts w:ascii="Calibri" w:hAnsi="Calibri"/>
          <w:b w:val="0"/>
          <w:i w:val="0"/>
          <w:color w:val="1A202C"/>
          <w:sz w:val="22"/>
        </w:rPr>
        <w:t xml:space="preserve"> + </w:t>
      </w:r>
      <w:r>
        <w:rPr>
          <w:rFonts w:ascii="Consolas" w:hAnsi="Consolas"/>
          <w:b w:val="0"/>
          <w:i w:val="0"/>
          <w:color w:val="1A202C"/>
          <w:sz w:val="21"/>
        </w:rPr>
        <w:t>remark-gfm</w:t>
      </w:r>
      <w:r>
        <w:rPr>
          <w:rFonts w:ascii="Calibri" w:hAnsi="Calibri"/>
          <w:b w:val="0"/>
          <w:i w:val="0"/>
          <w:color w:val="1A202C"/>
          <w:sz w:val="22"/>
        </w:rPr>
        <w:t xml:space="preserve"> with explicit Tailwind mappings for paragraphs, bullets, emphasis, and headings, so the narrative appears as proper rich text inside the card rather than as raw markdown.</w:t>
      </w:r>
    </w:p>
    <w:p>
      <w:pPr>
        <w:spacing w:before="200" w:after="40"/>
      </w:pPr>
      <w:r>
        <w:rPr>
          <w:rFonts w:ascii="Calibri" w:hAnsi="Calibri"/>
          <w:b/>
          <w:i w:val="0"/>
          <w:color w:val="0E7CBE"/>
          <w:sz w:val="25"/>
        </w:rPr>
        <w:t>Most effective prompts</w:t>
      </w:r>
    </w:p>
    <w:p>
      <w:pPr>
        <w:spacing w:after="120" w:line="300" w:lineRule="auto"/>
      </w:pPr>
      <w:r>
        <w:rPr>
          <w:rFonts w:ascii="Calibri" w:hAnsi="Calibri"/>
          <w:b w:val="0"/>
          <w:i w:val="0"/>
          <w:color w:val="1A202C"/>
          <w:sz w:val="22"/>
        </w:rPr>
        <w:t xml:space="preserve">The full audit trail of 48 prompts lives in </w:t>
      </w:r>
      <w:r>
        <w:rPr>
          <w:rFonts w:ascii="Consolas" w:hAnsi="Consolas"/>
          <w:b w:val="0"/>
          <w:i w:val="0"/>
          <w:color w:val="1A202C"/>
          <w:sz w:val="21"/>
        </w:rPr>
        <w:t>docs/genai_log.md</w:t>
      </w:r>
      <w:r>
        <w:rPr>
          <w:rFonts w:ascii="Calibri" w:hAnsi="Calibri"/>
          <w:b w:val="0"/>
          <w:i w:val="0"/>
          <w:color w:val="1A202C"/>
          <w:sz w:val="22"/>
        </w:rPr>
        <w:t>. Five of them were disproportionately load-bearing for the submission:</w:t>
      </w:r>
    </w:p>
    <w:p>
      <w:pPr>
        <w:spacing w:after="120" w:line="300" w:lineRule="auto"/>
      </w:pPr>
      <w:r>
        <w:rPr>
          <w:rFonts w:ascii="Calibri" w:hAnsi="Calibri"/>
          <w:b w:val="0"/>
          <w:i w:val="0"/>
          <w:color w:val="1A202C"/>
          <w:sz w:val="22"/>
        </w:rPr>
        <w:t xml:space="preserve">1. </w:t>
      </w:r>
      <w:r>
        <w:rPr>
          <w:rFonts w:ascii="Calibri" w:hAnsi="Calibri"/>
          <w:b/>
          <w:i w:val="0"/>
          <w:color w:val="1A202C"/>
          <w:sz w:val="22"/>
        </w:rPr>
        <w:t>Schema survey before code</w:t>
      </w:r>
      <w:r>
        <w:rPr>
          <w:rFonts w:ascii="Calibri" w:hAnsi="Calibri"/>
          <w:b w:val="0"/>
          <w:i w:val="0"/>
          <w:color w:val="1A202C"/>
          <w:sz w:val="22"/>
        </w:rPr>
        <w:t xml:space="preserve"> — </w:t>
      </w:r>
      <w:r>
        <w:rPr>
          <w:rFonts w:ascii="Calibri" w:hAnsi="Calibri"/>
          <w:b w:val="0"/>
          <w:i/>
          <w:color w:val="1A202C"/>
          <w:sz w:val="22"/>
        </w:rPr>
        <w:t>"Survey actual data schemas (column names, row counts, sample rows) for all 5 provided CSVs plus the codebook xlsx so the plan is built on facts not assumptions."</w:t>
      </w:r>
      <w:r>
        <w:rPr>
          <w:rFonts w:ascii="Calibri" w:hAnsi="Calibri"/>
          <w:b w:val="0"/>
          <w:i w:val="0"/>
          <w:color w:val="1A202C"/>
          <w:sz w:val="22"/>
        </w:rPr>
        <w:t xml:space="preserve"> Caught the Grocry typo, the codebook's reference to a missing </w:t>
      </w:r>
      <w:r>
        <w:rPr>
          <w:rFonts w:ascii="Consolas" w:hAnsi="Consolas"/>
          <w:b w:val="0"/>
          <w:i w:val="0"/>
          <w:color w:val="1A202C"/>
          <w:sz w:val="21"/>
        </w:rPr>
        <w:t>Product_Name</w:t>
      </w:r>
      <w:r>
        <w:rPr>
          <w:rFonts w:ascii="Calibri" w:hAnsi="Calibri"/>
          <w:b w:val="0"/>
          <w:i w:val="0"/>
          <w:color w:val="1A202C"/>
          <w:sz w:val="22"/>
        </w:rPr>
        <w:t xml:space="preserve"> column, and the monthly (not daily) transaction granularity before any code was written. 2. </w:t>
      </w:r>
      <w:r>
        <w:rPr>
          <w:rFonts w:ascii="Calibri" w:hAnsi="Calibri"/>
          <w:b/>
          <w:i w:val="0"/>
          <w:color w:val="1A202C"/>
          <w:sz w:val="22"/>
        </w:rPr>
        <w:t>Methodology family check</w:t>
      </w:r>
      <w:r>
        <w:rPr>
          <w:rFonts w:ascii="Calibri" w:hAnsi="Calibri"/>
          <w:b w:val="0"/>
          <w:i w:val="0"/>
          <w:color w:val="1A202C"/>
          <w:sz w:val="22"/>
        </w:rPr>
        <w:t xml:space="preserve"> — </w:t>
      </w:r>
      <w:r>
        <w:rPr>
          <w:rFonts w:ascii="Calibri" w:hAnsi="Calibri"/>
          <w:b w:val="0"/>
          <w:i/>
          <w:color w:val="1A202C"/>
          <w:sz w:val="22"/>
        </w:rPr>
        <w:t>"Is supervised ML training appropriate when the problem statement says we are not given a target variable (y)?"</w:t>
      </w:r>
      <w:r>
        <w:rPr>
          <w:rFonts w:ascii="Calibri" w:hAnsi="Calibri"/>
          <w:b w:val="0"/>
          <w:i w:val="0"/>
          <w:color w:val="1A202C"/>
          <w:sz w:val="22"/>
        </w:rPr>
        <w:t xml:space="preserve"> Surfaced the censored-regression family (Tobin 1958, Buchinsky 1998) and informed the team's choice to skip supervised ML entirely. 3. </w:t>
      </w:r>
      <w:r>
        <w:rPr>
          <w:rFonts w:ascii="Calibri" w:hAnsi="Calibri"/>
          <w:b/>
          <w:i w:val="0"/>
          <w:color w:val="1A202C"/>
          <w:sz w:val="22"/>
        </w:rPr>
        <w:t>Constraint rule #4 design</w:t>
      </w:r>
      <w:r>
        <w:rPr>
          <w:rFonts w:ascii="Calibri" w:hAnsi="Calibri"/>
          <w:b w:val="0"/>
          <w:i w:val="0"/>
          <w:color w:val="1A202C"/>
          <w:sz w:val="22"/>
        </w:rPr>
        <w:t xml:space="preserve"> — </w:t>
      </w:r>
      <w:r>
        <w:rPr>
          <w:rFonts w:ascii="Calibri" w:hAnsi="Calibri"/>
          <w:b w:val="0"/>
          <w:i/>
          <w:color w:val="1A202C"/>
          <w:sz w:val="22"/>
        </w:rPr>
        <w:t>"Constraint detection: add a rule that flags Cooler_Count = 0 outlets operating below own_q90 / 3 — suppressed but still selling."</w:t>
      </w:r>
      <w:r>
        <w:rPr>
          <w:rFonts w:ascii="Calibri" w:hAnsi="Calibri"/>
          <w:b w:val="0"/>
          <w:i w:val="0"/>
          <w:color w:val="1A202C"/>
          <w:sz w:val="22"/>
        </w:rPr>
        <w:t xml:space="preserve"> This rule catches the 35 % of outlets that have no cooler and pulled the constraint-detection rate from 37 % to 43.6 %, finally above the team's target band. 4. </w:t>
      </w:r>
      <w:r>
        <w:rPr>
          <w:rFonts w:ascii="Calibri" w:hAnsi="Calibri"/>
          <w:b/>
          <w:i w:val="0"/>
          <w:color w:val="1A202C"/>
          <w:sz w:val="22"/>
        </w:rPr>
        <w:t>Cooler ROI grounding</w:t>
      </w:r>
      <w:r>
        <w:rPr>
          <w:rFonts w:ascii="Calibri" w:hAnsi="Calibri"/>
          <w:b w:val="0"/>
          <w:i w:val="0"/>
          <w:color w:val="1A202C"/>
          <w:sz w:val="22"/>
        </w:rPr>
        <w:t xml:space="preserve"> — </w:t>
      </w:r>
      <w:r>
        <w:rPr>
          <w:rFonts w:ascii="Calibri" w:hAnsi="Calibri"/>
          <w:b w:val="0"/>
          <w:i/>
          <w:color w:val="1A202C"/>
          <w:sz w:val="22"/>
        </w:rPr>
        <w:t>"Per-outlet cooler deployment business case using LKR 50,000 unit cost, 12 % gross margin, 12 % annual cost of capital, 24-month NPV horizon, with monotonic constraints so the counterfactual cannot reward removing a cooler."</w:t>
      </w:r>
      <w:r>
        <w:rPr>
          <w:rFonts w:ascii="Calibri" w:hAnsi="Calibri"/>
          <w:b w:val="0"/>
          <w:i w:val="0"/>
          <w:color w:val="1A202C"/>
          <w:sz w:val="22"/>
        </w:rPr>
        <w:t xml:space="preserve"> Produced the Top-100 list (LKR 31.65 M net 24-month value) that anchors the pitch deck. 5. </w:t>
      </w:r>
      <w:r>
        <w:rPr>
          <w:rFonts w:ascii="Calibri" w:hAnsi="Calibri"/>
          <w:b/>
          <w:i w:val="0"/>
          <w:color w:val="1A202C"/>
          <w:sz w:val="22"/>
        </w:rPr>
        <w:t>XAI system prompt</w:t>
      </w:r>
      <w:r>
        <w:rPr>
          <w:rFonts w:ascii="Calibri" w:hAnsi="Calibri"/>
          <w:b w:val="0"/>
          <w:i w:val="0"/>
          <w:color w:val="1A202C"/>
          <w:sz w:val="22"/>
        </w:rPr>
        <w:t xml:space="preserve"> — </w:t>
      </w:r>
      <w:r>
        <w:rPr>
          <w:rFonts w:ascii="Calibri" w:hAnsi="Calibri"/>
          <w:b w:val="0"/>
          <w:i/>
          <w:color w:val="1A202C"/>
          <w:sz w:val="22"/>
        </w:rPr>
        <w:t>"Write a deterministic-style system prompt that forbids the model from inventing numbers, forbids statistical vocabulary (SHAP, regression, p-value, censored), prescribes a two-paragraph plus three-bullet output shape, and references only the structured payload."</w:t>
      </w:r>
      <w:r>
        <w:rPr>
          <w:rFonts w:ascii="Calibri" w:hAnsi="Calibri"/>
          <w:b w:val="0"/>
          <w:i w:val="0"/>
          <w:color w:val="1A202C"/>
          <w:sz w:val="22"/>
        </w:rPr>
        <w:t xml:space="preserve"> Gave us the Gemini wrapper that reliably produces business-readable narratives across all 20,000 outlets.</w:t>
      </w:r>
    </w:p>
    <w:p>
      <w:pPr>
        <w:spacing w:before="200" w:after="40"/>
      </w:pPr>
      <w:r>
        <w:rPr>
          <w:rFonts w:ascii="Calibri" w:hAnsi="Calibri"/>
          <w:b/>
          <w:i w:val="0"/>
          <w:color w:val="0E7CBE"/>
          <w:sz w:val="25"/>
        </w:rPr>
        <w:t>Honest limitations surfaced</w:t>
      </w:r>
    </w:p>
    <w:p>
      <w:pPr>
        <w:pStyle w:val="ListBullet"/>
        <w:spacing w:after="40" w:line="288" w:lineRule="auto"/>
      </w:pPr>
      <w:r>
        <w:rPr>
          <w:rFonts w:ascii="Calibri" w:hAnsi="Calibri"/>
          <w:b w:val="0"/>
          <w:i w:val="0"/>
          <w:color w:val="1A202C"/>
          <w:sz w:val="22"/>
        </w:rPr>
        <w:t>β elasticity in the budget LP is uncalibrated — sensitivity sweep published instead of a single number.</w:t>
      </w:r>
    </w:p>
    <w:p>
      <w:pPr>
        <w:pStyle w:val="ListBullet"/>
        <w:spacing w:after="40" w:line="288" w:lineRule="auto"/>
      </w:pPr>
      <w:r>
        <w:rPr>
          <w:rFonts w:ascii="Calibri" w:hAnsi="Calibri"/>
          <w:b w:val="0"/>
          <w:i w:val="0"/>
          <w:color w:val="1A202C"/>
          <w:sz w:val="22"/>
        </w:rPr>
        <w:t>Counterfactuals are model-predicted, not empirically validated (no install-date records in the dataset).</w:t>
      </w:r>
    </w:p>
    <w:p>
      <w:pPr>
        <w:pStyle w:val="ListBullet"/>
        <w:spacing w:after="40" w:line="288" w:lineRule="auto"/>
      </w:pPr>
      <w:r>
        <w:rPr>
          <w:rFonts w:ascii="Calibri" w:hAnsi="Calibri"/>
          <w:b w:val="0"/>
          <w:i w:val="0"/>
          <w:color w:val="1A202C"/>
          <w:sz w:val="22"/>
        </w:rPr>
        <w:t xml:space="preserve">Cooler replenishment cycle modelled via its </w:t>
      </w:r>
      <w:r>
        <w:rPr>
          <w:rFonts w:ascii="Calibri" w:hAnsi="Calibri"/>
          <w:b w:val="0"/>
          <w:i/>
          <w:color w:val="1A202C"/>
          <w:sz w:val="22"/>
        </w:rPr>
        <w:t>effect</w:t>
      </w:r>
      <w:r>
        <w:rPr>
          <w:rFonts w:ascii="Calibri" w:hAnsi="Calibri"/>
          <w:b w:val="0"/>
          <w:i w:val="0"/>
          <w:color w:val="1A202C"/>
          <w:sz w:val="22"/>
        </w:rPr>
        <w:t xml:space="preserve"> (</w:t>
      </w:r>
      <w:r>
        <w:rPr>
          <w:rFonts w:ascii="Consolas" w:hAnsi="Consolas"/>
          <w:b w:val="0"/>
          <w:i w:val="0"/>
          <w:color w:val="1A202C"/>
          <w:sz w:val="21"/>
        </w:rPr>
        <w:t>stockout_flag_sum / active_months</w:t>
      </w:r>
      <w:r>
        <w:rPr>
          <w:rFonts w:ascii="Calibri" w:hAnsi="Calibri"/>
          <w:b w:val="0"/>
          <w:i w:val="0"/>
          <w:color w:val="1A202C"/>
          <w:sz w:val="22"/>
        </w:rPr>
        <w:t>), not the delivery process.</w:t>
      </w:r>
    </w:p>
    <w:p>
      <w:pPr>
        <w:pStyle w:val="ListBullet"/>
        <w:spacing w:after="40" w:line="288" w:lineRule="auto"/>
      </w:pPr>
      <w:r>
        <w:rPr>
          <w:rFonts w:ascii="Calibri" w:hAnsi="Calibri"/>
          <w:b w:val="0"/>
          <w:i w:val="0"/>
          <w:color w:val="1A202C"/>
          <w:sz w:val="22"/>
        </w:rPr>
        <w:t>Channel split heuristics from MMM conventions, not data-fitted.</w:t>
      </w:r>
    </w:p>
    <w:p>
      <w:pPr>
        <w:pStyle w:val="ListBullet"/>
        <w:spacing w:after="40" w:line="288" w:lineRule="auto"/>
      </w:pPr>
      <w:r>
        <w:rPr>
          <w:rFonts w:ascii="Calibri" w:hAnsi="Calibri"/>
          <w:b w:val="0"/>
          <w:i w:val="0"/>
          <w:color w:val="1A202C"/>
          <w:sz w:val="22"/>
        </w:rPr>
        <w:t>OSM POI coverage is patchier in rural districts; within-province tier normalisation mitigates this.</w:t>
      </w:r>
    </w:p>
    <w:p>
      <w:pPr>
        <w:spacing w:after="120" w:line="300" w:lineRule="auto"/>
      </w:pPr>
      <w:r>
        <w:rPr>
          <w:rFonts w:ascii="Calibri" w:hAnsi="Calibri"/>
          <w:b w:val="0"/>
          <w:i w:val="0"/>
          <w:color w:val="1A202C"/>
          <w:sz w:val="22"/>
        </w:rPr>
        <w:t>— Team DataX</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