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07B5" w14:textId="77777777" w:rsidR="00535DE8" w:rsidRPr="00535DE8" w:rsidRDefault="00535DE8" w:rsidP="00535DE8">
      <w:pPr>
        <w:shd w:val="clear" w:color="auto" w:fill="FFFFFF"/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>Petunjuk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>Operasional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>Kegiatan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 xml:space="preserve"> (POK) Detach Attach Database</w:t>
      </w:r>
    </w:p>
    <w:p w14:paraId="1CC6766F" w14:textId="38442AEC" w:rsidR="00535DE8" w:rsidRPr="00535DE8" w:rsidRDefault="00535DE8" w:rsidP="00535DE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112DBF06" wp14:editId="7C03C908">
            <wp:extent cx="5067300" cy="86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4556" w14:textId="77777777" w:rsidR="00535DE8" w:rsidRPr="00535DE8" w:rsidRDefault="00535DE8" w:rsidP="00535DE8">
      <w:pPr>
        <w:spacing w:after="20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Detaching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(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melepaskan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) dan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attaching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(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melampirkan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)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berfungsi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ketika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ingin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mengubah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instance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SQL Server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berbeda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komputer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sama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atau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untuk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memindahkan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database. Ketika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ingin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memindahkan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SQL Server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dalam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sebuah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flash disk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atau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media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lainnya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untuk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memindahkan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tersebut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komputer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lain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maka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tidak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bisa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melakukan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copy paste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seperti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file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biasa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.</w:t>
      </w:r>
    </w:p>
    <w:p w14:paraId="7902B2E1" w14:textId="77777777" w:rsidR="00535DE8" w:rsidRPr="00535DE8" w:rsidRDefault="00535DE8" w:rsidP="00535DE8">
      <w:pPr>
        <w:spacing w:after="20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Detach</w:t>
      </w:r>
      <w:r w:rsidRPr="00535DE8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adalah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suatu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proses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backup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pada SQL Server agar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tersebut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dapat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di-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copy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atau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proses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menghapus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dari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instances SQL Server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namun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membiarkan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data (.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) dan file transaction log (.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)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tetap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.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telah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dilakukan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detach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ikut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terbawa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sehingga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pada SQL Server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hilang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.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Sehingga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diperlukan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Attach</w:t>
      </w:r>
      <w:r w:rsidRPr="00535DE8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yaitu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menambahkan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kembali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telah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di-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cut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instance SQL Server mana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saja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.</w:t>
      </w:r>
    </w:p>
    <w:p w14:paraId="77955C3E" w14:textId="77777777" w:rsidR="00535DE8" w:rsidRPr="00535DE8" w:rsidRDefault="00535DE8" w:rsidP="00535DE8">
      <w:pPr>
        <w:spacing w:after="20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Detach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tidak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dapat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dilakukan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apabila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replicated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dan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 published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;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adanya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snapshot database;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tersebut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menggunakan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fitur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Always On availability group;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merupakan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mirroring; database yang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suspect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; dan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merupakan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system database. Ketika </w:t>
      </w:r>
      <w:proofErr w:type="spellStart"/>
      <w:proofErr w:type="gram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melakukan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  attach</w:t>
      </w:r>
      <w:proofErr w:type="gram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pastikan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semua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data (file .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dan .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)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harus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tersedia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. Jika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data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memiliki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path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berbeda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dari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saat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pertama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kali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dibuat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maka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harus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menentukan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path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terbaru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.</w:t>
      </w:r>
    </w:p>
    <w:p w14:paraId="3800B621" w14:textId="331CFACF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5D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5D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5D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5D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CE9456" w14:textId="051DAFD7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EF83AD" w14:textId="259B6302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32116D" w14:textId="7CD36A4C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1CE6F" w14:textId="3B7956A9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FE5F2C" w14:textId="1195E34B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3D7296" w14:textId="5661C320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878C45" w14:textId="0E1D379E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EB6851" w14:textId="0F0D9C95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3CB99A" w14:textId="6CA908A2" w:rsid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BD17D4" w14:textId="77777777" w:rsidR="00535DE8" w:rsidRPr="00535DE8" w:rsidRDefault="00535DE8" w:rsidP="00535D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57D05B" w14:textId="77777777" w:rsidR="00535DE8" w:rsidRPr="00535DE8" w:rsidRDefault="00535DE8" w:rsidP="00535DE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D"/>
        </w:rPr>
        <w:lastRenderedPageBreak/>
        <w:t>Detach</w:t>
      </w:r>
    </w:p>
    <w:p w14:paraId="59E0E7A8" w14:textId="77777777" w:rsidR="00535DE8" w:rsidRPr="00535DE8" w:rsidRDefault="00535DE8" w:rsidP="00535DE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Expand Databases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lalu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klik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kanan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pada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di-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copy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atau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pindahkan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komputer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lain dan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pilih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Tasks -&gt; Detach.</w:t>
      </w:r>
    </w:p>
    <w:p w14:paraId="24240581" w14:textId="27D22F64" w:rsidR="00535DE8" w:rsidRPr="00535DE8" w:rsidRDefault="00535DE8" w:rsidP="00535DE8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230604C0" wp14:editId="6DE5E6BF">
            <wp:extent cx="5689600" cy="3181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E7CE" w14:textId="77777777" w:rsidR="00535DE8" w:rsidRPr="00535DE8" w:rsidRDefault="00535DE8" w:rsidP="00535DE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Maka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muncul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jendela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seperti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gambar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dibawah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centang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Drop Connections</w:t>
      </w: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dan</w:t>
      </w: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Klik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OK. 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Jika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terjadi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error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atau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tidak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dapat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 detach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itu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berarti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sedang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digunakan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.</w:t>
      </w:r>
    </w:p>
    <w:p w14:paraId="6C107751" w14:textId="540B1221" w:rsidR="00535DE8" w:rsidRPr="00535DE8" w:rsidRDefault="00535DE8" w:rsidP="00535DE8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38F0FCBD" wp14:editId="4608A0BB">
            <wp:extent cx="57315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4214" w14:textId="77777777" w:rsidR="00535DE8" w:rsidRPr="00535DE8" w:rsidRDefault="00535DE8" w:rsidP="00535DE8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Jika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fitur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detach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berhasil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maka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dipilih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hilang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dari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daftar database pada SQL Server Management Studio.</w:t>
      </w:r>
    </w:p>
    <w:p w14:paraId="73F9E995" w14:textId="77777777" w:rsidR="00535DE8" w:rsidRPr="00535DE8" w:rsidRDefault="00535DE8" w:rsidP="00535DE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D"/>
        </w:rPr>
        <w:t>Attach</w:t>
      </w:r>
    </w:p>
    <w:p w14:paraId="5582DDAF" w14:textId="77777777" w:rsidR="00535DE8" w:rsidRPr="00535DE8" w:rsidRDefault="00535DE8" w:rsidP="00535DE8">
      <w:pPr>
        <w:numPr>
          <w:ilvl w:val="0"/>
          <w:numId w:val="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lastRenderedPageBreak/>
        <w:t>Selanjutnya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melakukan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attach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agar file database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sudah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di-</w:t>
      </w:r>
      <w:r w:rsidRPr="00535DE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backup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dapat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dikembalikan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muncul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kembali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dalam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SSMS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dengan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cara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klik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kanan</w:t>
      </w:r>
      <w:proofErr w:type="spellEnd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pada database</w:t>
      </w:r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&gt; </w:t>
      </w:r>
      <w:proofErr w:type="gramStart"/>
      <w:r w:rsidRPr="00535DE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Attach</w:t>
      </w:r>
      <w:proofErr w:type="gramEnd"/>
    </w:p>
    <w:p w14:paraId="187F536D" w14:textId="036A04B9" w:rsidR="00535DE8" w:rsidRPr="00535DE8" w:rsidRDefault="00535DE8" w:rsidP="00535DE8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101CA0FA" wp14:editId="28B6AF26">
            <wp:extent cx="5731510" cy="3216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2FB2" w14:textId="77777777" w:rsidR="00535DE8" w:rsidRPr="00535DE8" w:rsidRDefault="00535DE8" w:rsidP="00535DE8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Klik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Add dan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cari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backupan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secara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default, “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biasanya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” database SQL Server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terletak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 C:\Program Files\Microsoft SQL Server\MSSQL10.MSSQLSERVER\MSSQL\DATA. Lalu,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pilih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.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nya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saja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karena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file .log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otomatis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akan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ikut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jika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berada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di folder yang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sama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kemudian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klik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OK. (</w:t>
      </w:r>
      <w:proofErr w:type="spellStart"/>
      <w:proofErr w:type="gram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tetapi</w:t>
      </w:r>
      <w:proofErr w:type="spellEnd"/>
      <w:proofErr w:type="gram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kasus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berbeda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path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dan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ldf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tergantung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settingan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awal</w:t>
      </w:r>
      <w:proofErr w:type="spellEnd"/>
      <w:r w:rsidRPr="00535DE8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relocate) </w:t>
      </w:r>
    </w:p>
    <w:p w14:paraId="6D22BB38" w14:textId="0E4EDE7B" w:rsidR="00535DE8" w:rsidRPr="00535DE8" w:rsidRDefault="00535DE8" w:rsidP="00535DE8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DE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355840C8" wp14:editId="4EDCF925">
            <wp:extent cx="5731510" cy="3215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C9AC" w14:textId="77777777" w:rsidR="00535DE8" w:rsidRDefault="00535DE8"/>
    <w:sectPr w:rsidR="0053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E8F"/>
    <w:multiLevelType w:val="multilevel"/>
    <w:tmpl w:val="0580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079F"/>
    <w:multiLevelType w:val="multilevel"/>
    <w:tmpl w:val="31ACF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F68A1"/>
    <w:multiLevelType w:val="multilevel"/>
    <w:tmpl w:val="4FB07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E1C3D"/>
    <w:multiLevelType w:val="multilevel"/>
    <w:tmpl w:val="F8E8A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66B77"/>
    <w:multiLevelType w:val="multilevel"/>
    <w:tmpl w:val="00F8A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462679">
    <w:abstractNumId w:val="0"/>
  </w:num>
  <w:num w:numId="2" w16cid:durableId="23347061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6826111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83738427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45544475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E8"/>
    <w:rsid w:val="0053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DDD2"/>
  <w15:chartTrackingRefBased/>
  <w15:docId w15:val="{46A4B1DB-9958-45C2-A54C-52728D7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E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3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3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Adithia 19371. Jovandy</dc:creator>
  <cp:keywords/>
  <dc:description/>
  <cp:lastModifiedBy>Adithia 19371. Jovandy</cp:lastModifiedBy>
  <cp:revision>2</cp:revision>
  <dcterms:created xsi:type="dcterms:W3CDTF">2023-01-10T04:27:00Z</dcterms:created>
  <dcterms:modified xsi:type="dcterms:W3CDTF">2023-01-10T04:27:00Z</dcterms:modified>
</cp:coreProperties>
</file>