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211F"/>
          <w:sz w:val="52"/>
        </w:rPr>
        <w:t>Visual Design System &amp; Responsive Specification</w:t>
      </w:r>
    </w:p>
    <w:p>
      <w:pPr>
        <w:jc w:val="center"/>
      </w:pPr>
      <w:r>
        <w:rPr>
          <w:i/>
          <w:color w:val="62645F"/>
          <w:sz w:val="22"/>
        </w:rPr>
        <w:t>Colors, typography, spacing, components, device behavior, motion, and accessibility</w:t>
      </w:r>
    </w:p>
    <w:p>
      <w:pPr>
        <w:jc w:val="center"/>
      </w:pPr>
      <w:r>
        <w:rPr>
          <w:sz w:val="16"/>
        </w:rPr>
        <w:t>Technical Blog Product Package · Planning specification · 15 October 2026</w:t>
      </w:r>
    </w:p>
    <w:p>
      <w:r>
        <w:t>Purpose: a separate personal technical publication that is thoughtfully designed, publishable on demand, maintainable, and security-conscious.</w:t>
      </w:r>
    </w:p>
    <w:p>
      <w:r>
        <w:br w:type="page"/>
      </w:r>
    </w:p>
    <w:p>
      <w:pPr>
        <w:pStyle w:val="Heading1"/>
      </w:pPr>
      <w:r>
        <w:t>1. Design thesis</w:t>
      </w:r>
    </w:p>
    <w:p>
      <w:r>
        <w:t>Use warm editorial design with precise engineering details and restrained interaction. The site should feel like a thoughtful technical publication, not a dashboard or a hacker-movie prop. Identity comes from typography, composition, consistent labels, diagrams, and small material details—not excessive animation.</w:t>
      </w:r>
    </w:p>
    <w:p>
      <w:pPr>
        <w:pStyle w:val="Heading1"/>
      </w:pPr>
      <w:r>
        <w:t>2. Color tokens</w:t>
      </w:r>
    </w:p>
    <w:p>
      <w:r>
        <w:t>These are proposed starting values. Validate every real foreground/background pairing with a contrast checker in the built UI. A palette value is not automatically accessible. Never communicate status through color alone.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Light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Dark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Canvas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#F6F4EF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#202321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Main page background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#EFEBE2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#292E2A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Subtle cards and side panels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Raised surface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#FFFFFF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#303631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Popovers and elevated panels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Primary text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#20211F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#F0EFE8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Headings and body copy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Secondary text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#62645F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#C1C4BD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Metadata; verify contrast at actual size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Accent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#B65337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#E49A7A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Links, selected states, editorial markers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Border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#D8D5CC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#454A45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Dividers and card boundaries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Quiet green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#B9C0B5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#59645A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Occasional muted surface, not sole status cue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Focus ring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High-contrast ring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High-contrast ring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Keyboard focus, tested against adjacent surface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Success/warning/error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Dedicated semantic tokens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Dedicated semantic tokens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Pair color with text/icon and accessible announcement</w:t>
            </w:r>
          </w:p>
        </w:tc>
      </w:tr>
    </w:tbl>
    <w:p/>
    <w:p>
      <w:pPr>
        <w:pStyle w:val="Heading1"/>
      </w:pPr>
      <w:r>
        <w:t>3. Color application rules</w:t>
      </w:r>
    </w:p>
    <w:p>
      <w:pPr>
        <w:pStyle w:val="ListBullet"/>
      </w:pPr>
      <w:r>
        <w:t>Use canvas for the page and primary text for reading. Use accent sparingly for links, active navigation, small rules and key actions.</w:t>
      </w:r>
    </w:p>
    <w:p>
      <w:pPr>
        <w:pStyle w:val="ListBullet"/>
      </w:pPr>
      <w:r>
        <w:t>Do not place long body copy on saturated accent backgrounds.</w:t>
      </w:r>
    </w:p>
    <w:p>
      <w:pPr>
        <w:pStyle w:val="ListBullet"/>
      </w:pPr>
      <w:r>
        <w:t>Use borders to distinguish structure, not to box every element.</w:t>
      </w:r>
    </w:p>
    <w:p>
      <w:pPr>
        <w:pStyle w:val="ListBullet"/>
      </w:pPr>
      <w:r>
        <w:t>Dark mode is a considered palette, not a simple inversion; avoid pure black and glaring pure white body text.</w:t>
      </w:r>
    </w:p>
    <w:p>
      <w:pPr>
        <w:pStyle w:val="ListBullet"/>
      </w:pPr>
      <w:r>
        <w:t>Focus indicators must be distinct from hover states. Never remove outlines without a visible replacement.</w:t>
      </w:r>
    </w:p>
    <w:p>
      <w:pPr>
        <w:pStyle w:val="ListBullet"/>
      </w:pPr>
      <w:r>
        <w:t>Syntax colors are supplementary; code must remain understandable without color.</w:t>
      </w:r>
    </w:p>
    <w:p>
      <w:pPr>
        <w:pStyle w:val="Heading1"/>
      </w:pPr>
      <w:r>
        <w:t>4. Typography</w:t>
      </w:r>
    </w:p>
    <w:p>
      <w:pPr>
        <w:pStyle w:val="ListBullet"/>
      </w:pPr>
      <w:r>
        <w:t>Body: target 17–18 CSS px with line-height around 1.65–1.8. Allow zoom and user text settings.</w:t>
      </w:r>
    </w:p>
    <w:p>
      <w:pPr>
        <w:pStyle w:val="ListBullet"/>
      </w:pPr>
      <w:r>
        <w:t>Article measure: approximately 65–75 characters per line; use a narrower measure for summaries.</w:t>
      </w:r>
    </w:p>
    <w:p>
      <w:pPr>
        <w:pStyle w:val="ListBullet"/>
      </w:pPr>
      <w:r>
        <w:t>Use a clear heading hierarchy and enough spacing to expose the outline; avoid ultra-thin weights.</w:t>
      </w:r>
    </w:p>
    <w:p>
      <w:pPr>
        <w:pStyle w:val="ListBullet"/>
      </w:pPr>
      <w:r>
        <w:t>Use a legible monospace stack. Code may scroll inside its own container; do not create page-wide horizontal overflow.</w:t>
      </w:r>
    </w:p>
    <w:p>
      <w:pPr>
        <w:pStyle w:val="ListBullet"/>
      </w:pPr>
      <w:r>
        <w:t>Metadata must remain readable; allow wrapping rather than shrinking excessively.</w:t>
      </w:r>
    </w:p>
    <w:p>
      <w:pPr>
        <w:pStyle w:val="ListBullet"/>
      </w:pPr>
      <w:r>
        <w:t>Prefer local/system font stacks or self-hosted fonts with fallbacks; do not block text on remote font loads.</w:t>
      </w:r>
    </w:p>
    <w:p>
      <w:pPr>
        <w:pStyle w:val="Heading1"/>
      </w:pPr>
      <w:r>
        <w:t>5. Spacing, grid and depth</w:t>
      </w:r>
    </w:p>
    <w:p>
      <w:pPr>
        <w:pStyle w:val="ListBullet"/>
      </w:pPr>
      <w:r>
        <w:t>Use a 4px base scale: 4, 8, 12, 16, 24, 32, 40, 48, 64, 80, 96px.</w:t>
      </w:r>
    </w:p>
    <w:p>
      <w:pPr>
        <w:pStyle w:val="ListBullet"/>
      </w:pPr>
      <w:r>
        <w:t>Keep article text narrow enough for reading; index and navigation may be wider.</w:t>
      </w:r>
    </w:p>
    <w:p>
      <w:pPr>
        <w:pStyle w:val="ListBullet"/>
      </w:pPr>
      <w:r>
        <w:t>Use small radii for controls/cards and larger radii only for meaningful panels.</w:t>
      </w:r>
    </w:p>
    <w:p>
      <w:pPr>
        <w:pStyle w:val="ListBullet"/>
      </w:pPr>
      <w:r>
        <w:t>Prefer whitespace and borders to heavy shadows. Shadows signal overlay elevation.</w:t>
      </w:r>
    </w:p>
    <w:p>
      <w:pPr>
        <w:pStyle w:val="ListBullet"/>
      </w:pPr>
      <w:r>
        <w:t>Reserve image dimensions and stable spaces for embeds and metadata to avoid layout shift.</w:t>
      </w:r>
    </w:p>
    <w:p>
      <w:pPr>
        <w:pStyle w:val="Heading1"/>
      </w:pPr>
      <w:r>
        <w:t>6. Global placement</w:t>
      </w:r>
    </w:p>
    <w:p>
      <w:pPr>
        <w:pStyle w:val="ListBullet"/>
      </w:pPr>
      <w:r>
        <w:t>Header: site title/mark left; primary navigation; search and theme control as labelled controls. Collapse secondary navigation accessibly on small screens.</w:t>
      </w:r>
    </w:p>
    <w:p>
      <w:pPr>
        <w:pStyle w:val="ListBullet"/>
      </w:pPr>
      <w:r>
        <w:t>Main: one clear column on phones. On desktop, center article text; add a TOC column only when space allows.</w:t>
      </w:r>
    </w:p>
    <w:p>
      <w:pPr>
        <w:pStyle w:val="ListBullet"/>
      </w:pPr>
      <w:r>
        <w:t>Footer: About, RSS, privacy/credits if applicable, and a restrained back-to-top option on long pages.</w:t>
      </w:r>
    </w:p>
    <w:p>
      <w:pPr>
        <w:pStyle w:val="ListBullet"/>
      </w:pPr>
      <w:r>
        <w:t>Article metadata follows the title/summary in a compact, readable group. Avoid a wall of tags before the reader knows what the article is.</w:t>
      </w:r>
    </w:p>
    <w:p>
      <w:pPr>
        <w:pStyle w:val="ListBullet"/>
      </w:pPr>
      <w:r>
        <w:t>Most reading pages should prioritize reading, not a conversion button.</w:t>
      </w:r>
    </w:p>
    <w:p>
      <w:pPr>
        <w:pStyle w:val="Heading1"/>
      </w:pPr>
      <w:r>
        <w:t>7. Responsive behavior by viewport</w:t>
      </w:r>
    </w:p>
    <w:p>
      <w:r>
        <w:t>Breakpoints are test ranges, not device labels. Use content-driven CSS and test between ranges.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Viewport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Layout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Acceptance test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320–359px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Single column, minimal side padding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Compact header; metadata stacks; no side-by-side cards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No page-level horizontal scroll; title and controls fit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360–429px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Single-column mobile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Accessible menu; code scrolls inside container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Touch targets comfortable; theme toggle labelled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430–599px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Mobile with more room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Card metadata may wrap; captions wrap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No forced two-column layout that narrows text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600–767px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Wide phone/small tablet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Optional card grid only if readable; article stays single column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Portrait/landscape and zoom checked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768–1023px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Tablet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Header may expand; TOC inline or collapsible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No overlap between TOC and content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1024–1279px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Desktop baseline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Centered article measure; optional side TOC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Sticky elements never cover headings/focus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1280–1439px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Wide desktop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More whitespace, not wider paragraphs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Reading measure stays controlled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1440px+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Large display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Use margins/TOC, not oversized body lines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Content remains anchored and readable</w:t>
            </w:r>
          </w:p>
        </w:tc>
      </w:tr>
    </w:tbl>
    <w:p/>
    <w:p>
      <w:pPr>
        <w:pStyle w:val="Heading1"/>
      </w:pPr>
      <w:r>
        <w:t>8. Component rules</w:t>
      </w:r>
    </w:p>
    <w:p>
      <w:pPr>
        <w:pStyle w:val="ListBullet"/>
      </w:pPr>
      <w:r>
        <w:t>Text link: accent plus underline or another persistent non-color cue. Hover is not the only signal.</w:t>
      </w:r>
    </w:p>
    <w:p>
      <w:pPr>
        <w:pStyle w:val="ListBullet"/>
      </w:pPr>
      <w:r>
        <w:t>Primary button: use accent for the most important action; include clear label, focus and disabled/loading states where relevant.</w:t>
      </w:r>
    </w:p>
    <w:p>
      <w:pPr>
        <w:pStyle w:val="ListBullet"/>
      </w:pPr>
      <w:r>
        <w:t>Secondary button: neutral surface or border; avoid competing with primary action.</w:t>
      </w:r>
    </w:p>
    <w:p>
      <w:pPr>
        <w:pStyle w:val="ListBullet"/>
      </w:pPr>
      <w:r>
        <w:t>Icon-only button: accessible name always; visible tooltip where helpful.</w:t>
      </w:r>
    </w:p>
    <w:p>
      <w:pPr>
        <w:pStyle w:val="ListBullet"/>
      </w:pPr>
      <w:r>
        <w:t>Article card: title, useful summary, topic, date/updated date, optional read time. Avoid nested links inside a whole-card link.</w:t>
      </w:r>
    </w:p>
    <w:p>
      <w:pPr>
        <w:pStyle w:val="ListBullet"/>
      </w:pPr>
      <w:r>
        <w:t>Topic chip: readable label and clear selected state; ensure it is easy to activate.</w:t>
      </w:r>
    </w:p>
    <w:p>
      <w:pPr>
        <w:pStyle w:val="ListBullet"/>
      </w:pPr>
      <w:r>
        <w:t>Theme control: labelled toggle/menu; respect system preference on first visit and preserve the user choice.</w:t>
      </w:r>
    </w:p>
    <w:p>
      <w:pPr>
        <w:pStyle w:val="ListBullet"/>
      </w:pPr>
      <w:r>
        <w:t>Code block: language label, copy control, overflow handling and accessible success/failure feedback.</w:t>
      </w:r>
    </w:p>
    <w:p>
      <w:pPr>
        <w:pStyle w:val="ListBullet"/>
      </w:pPr>
      <w:r>
        <w:t>Search: labelled input, keyboard-operable results, clear/no-results states, Escape-to-close if modal, focus returns to trigger.</w:t>
      </w:r>
    </w:p>
    <w:p>
      <w:pPr>
        <w:pStyle w:val="ListBullet"/>
      </w:pPr>
      <w:r>
        <w:t>TOC: real heading links; selected state not conveyed only by color; collapsible on narrow screens.</w:t>
      </w:r>
    </w:p>
    <w:p>
      <w:pPr>
        <w:pStyle w:val="Heading1"/>
      </w:pPr>
      <w:r>
        <w:t>9. Motion and personality</w:t>
      </w:r>
    </w:p>
    <w:p>
      <w:pPr>
        <w:pStyle w:val="ListBullet"/>
      </w:pPr>
      <w:r>
        <w:t>Typical transitions: 100–220ms. Respect prefers-reduced-motion.</w:t>
      </w:r>
    </w:p>
    <w:p>
      <w:pPr>
        <w:pStyle w:val="ListBullet"/>
      </w:pPr>
      <w:r>
        <w:t>No scroll-jacking, forced swipe, autoplay audio/video, cursor trails, flashing effects or motion that delays access.</w:t>
      </w:r>
    </w:p>
    <w:p>
      <w:pPr>
        <w:pStyle w:val="ListBullet"/>
      </w:pPr>
      <w:r>
        <w:t>Hover effects need keyboard equivalents; essential content never appears only on hover.</w:t>
      </w:r>
    </w:p>
    <w:p>
      <w:pPr>
        <w:pStyle w:val="ListBullet"/>
      </w:pPr>
      <w:r>
        <w:t>Launch with at most one signature interaction and one hidden easter egg. They must not block reading, expose data, or require discovery.</w:t>
      </w:r>
    </w:p>
    <w:p>
      <w:pPr>
        <w:pStyle w:val="ListBullet"/>
      </w:pPr>
      <w:r>
        <w:t>Good options: colophon detail, margin annotation, or subtle 404 illustration. Avoid fake terminals, timed puzzles, sound and random confetti.</w:t>
      </w:r>
    </w:p>
    <w:p>
      <w:pPr>
        <w:pStyle w:val="Heading1"/>
      </w:pPr>
      <w:r>
        <w:t>10. Accessibility acceptance criteria</w:t>
      </w:r>
    </w:p>
    <w:p>
      <w:pPr>
        <w:pStyle w:val="ListBullet"/>
      </w:pPr>
      <w:r>
        <w:t>Target WCAG 2.2 AA and verify actual token pairings.</w:t>
      </w:r>
    </w:p>
    <w:p>
      <w:pPr>
        <w:pStyle w:val="ListBullet"/>
      </w:pPr>
      <w:r>
        <w:t>Use semantic landmarks, one clear H1, logical heading order, descriptive links and a skip link.</w:t>
      </w:r>
    </w:p>
    <w:p>
      <w:pPr>
        <w:pStyle w:val="ListBullet"/>
      </w:pPr>
      <w:r>
        <w:t>All controls work with keyboard and show visible focus.</w:t>
      </w:r>
    </w:p>
    <w:p>
      <w:pPr>
        <w:pStyle w:val="ListBullet"/>
      </w:pPr>
      <w:r>
        <w:t>At 200% zoom and narrow widths, content reflows without page-level two-dimensional scrolling except inherently two-dimensional content such as code/tables.</w:t>
      </w:r>
    </w:p>
    <w:p>
      <w:pPr>
        <w:pStyle w:val="ListBullet"/>
      </w:pPr>
      <w:r>
        <w:t>Respect reduced motion and never use color as the sole status signal.</w:t>
      </w:r>
    </w:p>
    <w:p>
      <w:pPr>
        <w:pStyle w:val="ListBullet"/>
      </w:pPr>
      <w:r>
        <w:t>Test with at least one screen reader and keyboard-only navigation; automated scans are not sufficient.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WCAG 2.2: https://www.w3.org/TR/WCAG22/</w:t>
      </w:r>
    </w:p>
    <w:p>
      <w:pPr>
        <w:pStyle w:val="ListBullet"/>
      </w:pPr>
      <w:r>
        <w:t>Core Web Vitals: https://web.dev/articles/vitals</w:t>
      </w:r>
    </w:p>
    <w:p>
      <w:pPr>
        <w:pStyle w:val="ListBullet"/>
      </w:pPr>
      <w:r>
        <w:t>Design Spells: https://designspells.com/</w:t>
      </w:r>
    </w:p>
    <w:p>
      <w:pPr>
        <w:pStyle w:val="ListBullet"/>
      </w:pPr>
      <w:r>
        <w:t>Recent Design: https://recent.design/websites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1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B653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021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0211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