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0211F"/>
          <w:sz w:val="52"/>
        </w:rPr>
        <w:t>Security Threat Model &amp; Hardening Standard</w:t>
      </w:r>
    </w:p>
    <w:p>
      <w:pPr>
        <w:jc w:val="center"/>
      </w:pPr>
      <w:r>
        <w:rPr>
          <w:i/>
          <w:color w:val="62645F"/>
          <w:sz w:val="22"/>
        </w:rPr>
        <w:t>Assets, threats, mitigations, accounts, content, headers, DNS and incident response</w:t>
      </w:r>
    </w:p>
    <w:p>
      <w:pPr>
        <w:jc w:val="center"/>
      </w:pPr>
      <w:r>
        <w:rPr>
          <w:sz w:val="16"/>
        </w:rPr>
        <w:t>Technical Blog Product Package · Planning specification · 15 October 2026</w:t>
      </w:r>
    </w:p>
    <w:p>
      <w:r>
        <w:t>Purpose: define implementation requirements for a separate personal technical blog. P0 means launch blocker; P1 means important soon after launch; P2 means optional enhancement.</w:t>
      </w:r>
    </w:p>
    <w:p>
      <w:r>
        <w:br w:type="page"/>
      </w:r>
    </w:p>
    <w:p>
      <w:pPr>
        <w:pStyle w:val="Heading1"/>
      </w:pPr>
      <w:r>
        <w:t>1. Security objective and limits</w:t>
      </w:r>
    </w:p>
    <w:p>
      <w:r>
        <w:t>The objective is to reduce likelihood and impact of compromise, protect unpublished content and provider accounts, avoid unnecessary services, detect meaningful failures, and recover quickly. No website can be guaranteed invulnerable. Security claims must be based on tested controls and stated scope.</w:t>
      </w:r>
    </w:p>
    <w:p>
      <w:r>
        <w:t>The strongest initial control is architectural simplicity: static public output, minimal JavaScript, no public accounts or uploads, and no database unless required.</w:t>
      </w:r>
    </w:p>
    <w:p>
      <w:pPr>
        <w:pStyle w:val="Heading1"/>
      </w:pPr>
      <w:r>
        <w:t>2. Assets to protect</w:t>
      </w:r>
    </w:p>
    <w:p>
      <w:pPr>
        <w:pStyle w:val="ListBullet"/>
      </w:pPr>
      <w:r>
        <w:t>Domain registration and DNS control.</w:t>
      </w:r>
    </w:p>
    <w:p>
      <w:pPr>
        <w:pStyle w:val="ListBullet"/>
      </w:pPr>
      <w:r>
        <w:t>Primary email used for account recovery.</w:t>
      </w:r>
    </w:p>
    <w:p>
      <w:pPr>
        <w:pStyle w:val="ListBullet"/>
      </w:pPr>
      <w:r>
        <w:t>GitHub account, repository, branch protections and CI workflows.</w:t>
      </w:r>
    </w:p>
    <w:p>
      <w:pPr>
        <w:pStyle w:val="ListBullet"/>
      </w:pPr>
      <w:r>
        <w:t>Hosting account and deployment credentials.</w:t>
      </w:r>
    </w:p>
    <w:p>
      <w:pPr>
        <w:pStyle w:val="ListBullet"/>
      </w:pPr>
      <w:r>
        <w:t>Unpublished drafts, private notes, secrets and local research artifacts.</w:t>
      </w:r>
    </w:p>
    <w:p>
      <w:pPr>
        <w:pStyle w:val="ListBullet"/>
      </w:pPr>
      <w:r>
        <w:t>Integrity of published articles and code examples.</w:t>
      </w:r>
    </w:p>
    <w:p>
      <w:pPr>
        <w:pStyle w:val="ListBullet"/>
      </w:pPr>
      <w:r>
        <w:t>Reader privacy and site availability.</w:t>
      </w:r>
    </w:p>
    <w:p>
      <w:pPr>
        <w:pStyle w:val="ListBullet"/>
      </w:pPr>
      <w:r>
        <w:t>Author reputation and integrity of security-related claims.</w:t>
      </w:r>
    </w:p>
    <w:p>
      <w:pPr>
        <w:pStyle w:val="Heading1"/>
      </w:pPr>
      <w:r>
        <w:t>3. Threat model</w:t>
      </w:r>
    </w:p>
    <w:p>
      <w:r>
        <w:t>Assume opportunistic scanners, phishing, malicious dependency updates, compromised integrations, accidental secret publication, misconfigured previews, and targeted attempts by someone who knows the author. Prioritize realistic attack paths first.</w:t>
      </w:r>
    </w:p>
    <w:tbl>
      <w:tblPr>
        <w:tblStyle w:val="LightShading-Accent1"/>
        <w:tblW w:type="auto" w:w="0"/>
        <w:tblLook w:firstColumn="1" w:firstRow="1" w:lastColumn="0" w:lastRow="0" w:noHBand="0" w:noVBand="1" w:val="04A0"/>
      </w:tblPr>
      <w:tblGrid>
        <w:gridCol w:w="2498"/>
        <w:gridCol w:w="2498"/>
        <w:gridCol w:w="2498"/>
        <w:gridCol w:w="2498"/>
      </w:tblGrid>
      <w:tr>
        <w:tc>
          <w:tcPr>
            <w:tcW w:type="dxa" w:w="2498"/>
            <w:shd w:fill="20211F"/>
          </w:tcPr>
          <w:p>
            <w:r>
              <w:rPr>
                <w:b/>
                <w:color w:val="FFFFFF"/>
                <w:sz w:val="16"/>
              </w:rPr>
              <w:t>Threat</w:t>
            </w:r>
          </w:p>
        </w:tc>
        <w:tc>
          <w:tcPr>
            <w:tcW w:type="dxa" w:w="2498"/>
            <w:shd w:fill="20211F"/>
          </w:tcPr>
          <w:p>
            <w:r>
              <w:rPr>
                <w:b/>
                <w:color w:val="FFFFFF"/>
                <w:sz w:val="16"/>
              </w:rPr>
              <w:t>Example path</w:t>
            </w:r>
          </w:p>
        </w:tc>
        <w:tc>
          <w:tcPr>
            <w:tcW w:type="dxa" w:w="2498"/>
            <w:shd w:fill="20211F"/>
          </w:tcPr>
          <w:p>
            <w:r>
              <w:rPr>
                <w:b/>
                <w:color w:val="FFFFFF"/>
                <w:sz w:val="16"/>
              </w:rPr>
              <w:t>Mitigations</w:t>
            </w:r>
          </w:p>
        </w:tc>
        <w:tc>
          <w:tcPr>
            <w:tcW w:type="dxa" w:w="2498"/>
            <w:shd w:fill="20211F"/>
          </w:tcPr>
          <w:p>
            <w:r>
              <w:rPr>
                <w:b/>
                <w:color w:val="FFFFFF"/>
                <w:sz w:val="16"/>
              </w:rPr>
              <w:t>Detection/recovery</w:t>
            </w:r>
          </w:p>
        </w:tc>
      </w:tr>
      <w:tr>
        <w:tc>
          <w:tcPr>
            <w:tcW w:type="dxa" w:w="2498"/>
          </w:tcPr>
          <w:p>
            <w:pPr>
              <w:spacing w:after="40"/>
            </w:pPr>
            <w:r>
              <w:rPr>
                <w:sz w:val="16"/>
              </w:rPr>
              <w:t>Account takeover</w:t>
            </w:r>
          </w:p>
        </w:tc>
        <w:tc>
          <w:tcPr>
            <w:tcW w:type="dxa" w:w="2498"/>
          </w:tcPr>
          <w:p>
            <w:pPr>
              <w:spacing w:after="40"/>
            </w:pPr>
            <w:r>
              <w:rPr>
                <w:sz w:val="16"/>
              </w:rPr>
              <w:t>Phishing/reused password compromises registrar, GitHub or host</w:t>
            </w:r>
          </w:p>
        </w:tc>
        <w:tc>
          <w:tcPr>
            <w:tcW w:type="dxa" w:w="2498"/>
          </w:tcPr>
          <w:p>
            <w:pPr>
              <w:spacing w:after="40"/>
            </w:pPr>
            <w:r>
              <w:rPr>
                <w:sz w:val="16"/>
              </w:rPr>
              <w:t>Passkeys/security keys, MFA, password manager, recovery-code hygiene, session review</w:t>
            </w:r>
          </w:p>
        </w:tc>
        <w:tc>
          <w:tcPr>
            <w:tcW w:type="dxa" w:w="2498"/>
          </w:tcPr>
          <w:p>
            <w:pPr>
              <w:spacing w:after="40"/>
            </w:pPr>
            <w:r>
              <w:rPr>
                <w:sz w:val="16"/>
              </w:rPr>
              <w:t>Provider alerts; revoke sessions/tokens; recover account; verify DNS/deploy</w:t>
            </w:r>
          </w:p>
        </w:tc>
      </w:tr>
      <w:tr>
        <w:tc>
          <w:tcPr>
            <w:tcW w:type="dxa" w:w="2498"/>
          </w:tcPr>
          <w:p>
            <w:pPr>
              <w:spacing w:after="40"/>
            </w:pPr>
            <w:r>
              <w:rPr>
                <w:sz w:val="16"/>
              </w:rPr>
              <w:t>DNS/domain hijack</w:t>
            </w:r>
          </w:p>
        </w:tc>
        <w:tc>
          <w:tcPr>
            <w:tcW w:type="dxa" w:w="2498"/>
          </w:tcPr>
          <w:p>
            <w:pPr>
              <w:spacing w:after="40"/>
            </w:pPr>
            <w:r>
              <w:rPr>
                <w:sz w:val="16"/>
              </w:rPr>
              <w:t>Registrar account or DNS token compromised</w:t>
            </w:r>
          </w:p>
        </w:tc>
        <w:tc>
          <w:tcPr>
            <w:tcW w:type="dxa" w:w="2498"/>
          </w:tcPr>
          <w:p>
            <w:pPr>
              <w:spacing w:after="40"/>
            </w:pPr>
            <w:r>
              <w:rPr>
                <w:sz w:val="16"/>
              </w:rPr>
              <w:t>Transfer lock, MFA, scoped tokens, DNSSEC if correctly supported</w:t>
            </w:r>
          </w:p>
        </w:tc>
        <w:tc>
          <w:tcPr>
            <w:tcW w:type="dxa" w:w="2498"/>
          </w:tcPr>
          <w:p>
            <w:pPr>
              <w:spacing w:after="40"/>
            </w:pPr>
            <w:r>
              <w:rPr>
                <w:sz w:val="16"/>
              </w:rPr>
              <w:t>Inspect DNS/certificate changes; revoke tokens; restore records</w:t>
            </w:r>
          </w:p>
        </w:tc>
      </w:tr>
      <w:tr>
        <w:tc>
          <w:tcPr>
            <w:tcW w:type="dxa" w:w="2498"/>
          </w:tcPr>
          <w:p>
            <w:pPr>
              <w:spacing w:after="40"/>
            </w:pPr>
            <w:r>
              <w:rPr>
                <w:sz w:val="16"/>
              </w:rPr>
              <w:t>Secret leak</w:t>
            </w:r>
          </w:p>
        </w:tc>
        <w:tc>
          <w:tcPr>
            <w:tcW w:type="dxa" w:w="2498"/>
          </w:tcPr>
          <w:p>
            <w:pPr>
              <w:spacing w:after="40"/>
            </w:pPr>
            <w:r>
              <w:rPr>
                <w:sz w:val="16"/>
              </w:rPr>
              <w:t>Token committed or bundled into frontend</w:t>
            </w:r>
          </w:p>
        </w:tc>
        <w:tc>
          <w:tcPr>
            <w:tcW w:type="dxa" w:w="2498"/>
          </w:tcPr>
          <w:p>
            <w:pPr>
              <w:spacing w:after="40"/>
            </w:pPr>
            <w:r>
              <w:rPr>
                <w:sz w:val="16"/>
              </w:rPr>
              <w:t>Secret scans, environment separation, least privilege</w:t>
            </w:r>
          </w:p>
        </w:tc>
        <w:tc>
          <w:tcPr>
            <w:tcW w:type="dxa" w:w="2498"/>
          </w:tcPr>
          <w:p>
            <w:pPr>
              <w:spacing w:after="40"/>
            </w:pPr>
            <w:r>
              <w:rPr>
                <w:sz w:val="16"/>
              </w:rPr>
              <w:t>Revoke/rotate; inspect logs/history and affected systems</w:t>
            </w:r>
          </w:p>
        </w:tc>
      </w:tr>
      <w:tr>
        <w:tc>
          <w:tcPr>
            <w:tcW w:type="dxa" w:w="2498"/>
          </w:tcPr>
          <w:p>
            <w:pPr>
              <w:spacing w:after="40"/>
            </w:pPr>
            <w:r>
              <w:rPr>
                <w:sz w:val="16"/>
              </w:rPr>
              <w:t>Malicious dependency</w:t>
            </w:r>
          </w:p>
        </w:tc>
        <w:tc>
          <w:tcPr>
            <w:tcW w:type="dxa" w:w="2498"/>
          </w:tcPr>
          <w:p>
            <w:pPr>
              <w:spacing w:after="40"/>
            </w:pPr>
            <w:r>
              <w:rPr>
                <w:sz w:val="16"/>
              </w:rPr>
              <w:t>Compromised package executes during build</w:t>
            </w:r>
          </w:p>
        </w:tc>
        <w:tc>
          <w:tcPr>
            <w:tcW w:type="dxa" w:w="2498"/>
          </w:tcPr>
          <w:p>
            <w:pPr>
              <w:spacing w:after="40"/>
            </w:pPr>
            <w:r>
              <w:rPr>
                <w:sz w:val="16"/>
              </w:rPr>
              <w:t>Few dependencies, lockfile, review updates, pin CI actions, restricted permissions</w:t>
            </w:r>
          </w:p>
        </w:tc>
        <w:tc>
          <w:tcPr>
            <w:tcW w:type="dxa" w:w="2498"/>
          </w:tcPr>
          <w:p>
            <w:pPr>
              <w:spacing w:after="40"/>
            </w:pPr>
            <w:r>
              <w:rPr>
                <w:sz w:val="16"/>
              </w:rPr>
              <w:t>Dependency alert; roll back; rebuild from trusted revision</w:t>
            </w:r>
          </w:p>
        </w:tc>
      </w:tr>
      <w:tr>
        <w:tc>
          <w:tcPr>
            <w:tcW w:type="dxa" w:w="2498"/>
          </w:tcPr>
          <w:p>
            <w:pPr>
              <w:spacing w:after="40"/>
            </w:pPr>
            <w:r>
              <w:rPr>
                <w:sz w:val="16"/>
              </w:rPr>
              <w:t>XSS/content injection</w:t>
            </w:r>
          </w:p>
        </w:tc>
        <w:tc>
          <w:tcPr>
            <w:tcW w:type="dxa" w:w="2498"/>
          </w:tcPr>
          <w:p>
            <w:pPr>
              <w:spacing w:after="40"/>
            </w:pPr>
            <w:r>
              <w:rPr>
                <w:sz w:val="16"/>
              </w:rPr>
              <w:t>Raw HTML/MDX or CMS content injects script</w:t>
            </w:r>
          </w:p>
        </w:tc>
        <w:tc>
          <w:tcPr>
            <w:tcW w:type="dxa" w:w="2498"/>
          </w:tcPr>
          <w:p>
            <w:pPr>
              <w:spacing w:after="40"/>
            </w:pPr>
            <w:r>
              <w:rPr>
                <w:sz w:val="16"/>
              </w:rPr>
              <w:t>Restrict raw HTML, sanitize untrusted input, CSP, safe rendering</w:t>
            </w:r>
          </w:p>
        </w:tc>
        <w:tc>
          <w:tcPr>
            <w:tcW w:type="dxa" w:w="2498"/>
          </w:tcPr>
          <w:p>
            <w:pPr>
              <w:spacing w:after="40"/>
            </w:pPr>
            <w:r>
              <w:rPr>
                <w:sz w:val="16"/>
              </w:rPr>
              <w:t>Remove payload; inspect affected content and tokens</w:t>
            </w:r>
          </w:p>
        </w:tc>
      </w:tr>
      <w:tr>
        <w:tc>
          <w:tcPr>
            <w:tcW w:type="dxa" w:w="2498"/>
          </w:tcPr>
          <w:p>
            <w:pPr>
              <w:spacing w:after="40"/>
            </w:pPr>
            <w:r>
              <w:rPr>
                <w:sz w:val="16"/>
              </w:rPr>
              <w:t>Draft disclosure</w:t>
            </w:r>
          </w:p>
        </w:tc>
        <w:tc>
          <w:tcPr>
            <w:tcW w:type="dxa" w:w="2498"/>
          </w:tcPr>
          <w:p>
            <w:pPr>
              <w:spacing w:after="40"/>
            </w:pPr>
            <w:r>
              <w:rPr>
                <w:sz w:val="16"/>
              </w:rPr>
              <w:t>Preview URL or search index exposes unpublished article</w:t>
            </w:r>
          </w:p>
        </w:tc>
        <w:tc>
          <w:tcPr>
            <w:tcW w:type="dxa" w:w="2498"/>
          </w:tcPr>
          <w:p>
            <w:pPr>
              <w:spacing w:after="40"/>
            </w:pPr>
            <w:r>
              <w:rPr>
                <w:sz w:val="16"/>
              </w:rPr>
              <w:t>Access-control preview, explicit draft filtering everywhere</w:t>
            </w:r>
          </w:p>
        </w:tc>
        <w:tc>
          <w:tcPr>
            <w:tcW w:type="dxa" w:w="2498"/>
          </w:tcPr>
          <w:p>
            <w:pPr>
              <w:spacing w:after="40"/>
            </w:pPr>
            <w:r>
              <w:rPr>
                <w:sz w:val="16"/>
              </w:rPr>
              <w:t>Test public routes/indexes; revoke access; purge caches</w:t>
            </w:r>
          </w:p>
        </w:tc>
      </w:tr>
      <w:tr>
        <w:tc>
          <w:tcPr>
            <w:tcW w:type="dxa" w:w="2498"/>
          </w:tcPr>
          <w:p>
            <w:pPr>
              <w:spacing w:after="40"/>
            </w:pPr>
            <w:r>
              <w:rPr>
                <w:sz w:val="16"/>
              </w:rPr>
              <w:t>Build pipeline compromise</w:t>
            </w:r>
          </w:p>
        </w:tc>
        <w:tc>
          <w:tcPr>
            <w:tcW w:type="dxa" w:w="2498"/>
          </w:tcPr>
          <w:p>
            <w:pPr>
              <w:spacing w:after="40"/>
            </w:pPr>
            <w:r>
              <w:rPr>
                <w:sz w:val="16"/>
              </w:rPr>
              <w:t>Untrusted PR receives production secret</w:t>
            </w:r>
          </w:p>
        </w:tc>
        <w:tc>
          <w:tcPr>
            <w:tcW w:type="dxa" w:w="2498"/>
          </w:tcPr>
          <w:p>
            <w:pPr>
              <w:spacing w:after="40"/>
            </w:pPr>
            <w:r>
              <w:rPr>
                <w:sz w:val="16"/>
              </w:rPr>
              <w:t>Protected branches, least privilege, no secrets in untrusted PRs</w:t>
            </w:r>
          </w:p>
        </w:tc>
        <w:tc>
          <w:tcPr>
            <w:tcW w:type="dxa" w:w="2498"/>
          </w:tcPr>
          <w:p>
            <w:pPr>
              <w:spacing w:after="40"/>
            </w:pPr>
            <w:r>
              <w:rPr>
                <w:sz w:val="16"/>
              </w:rPr>
              <w:t>Disable workflow, revoke credentials, audit runs</w:t>
            </w:r>
          </w:p>
        </w:tc>
      </w:tr>
      <w:tr>
        <w:tc>
          <w:tcPr>
            <w:tcW w:type="dxa" w:w="2498"/>
          </w:tcPr>
          <w:p>
            <w:pPr>
              <w:spacing w:after="40"/>
            </w:pPr>
            <w:r>
              <w:rPr>
                <w:sz w:val="16"/>
              </w:rPr>
              <w:t>Availability attack</w:t>
            </w:r>
          </w:p>
        </w:tc>
        <w:tc>
          <w:tcPr>
            <w:tcW w:type="dxa" w:w="2498"/>
          </w:tcPr>
          <w:p>
            <w:pPr>
              <w:spacing w:after="40"/>
            </w:pPr>
            <w:r>
              <w:rPr>
                <w:sz w:val="16"/>
              </w:rPr>
              <w:t>Traffic spike or abusive endpoint overloads site</w:t>
            </w:r>
          </w:p>
        </w:tc>
        <w:tc>
          <w:tcPr>
            <w:tcW w:type="dxa" w:w="2498"/>
          </w:tcPr>
          <w:p>
            <w:pPr>
              <w:spacing w:after="40"/>
            </w:pPr>
            <w:r>
              <w:rPr>
                <w:sz w:val="16"/>
              </w:rPr>
              <w:t>Static CDN, suitable edge controls, avoid expensive public endpoints</w:t>
            </w:r>
          </w:p>
        </w:tc>
        <w:tc>
          <w:tcPr>
            <w:tcW w:type="dxa" w:w="2498"/>
          </w:tcPr>
          <w:p>
            <w:pPr>
              <w:spacing w:after="40"/>
            </w:pPr>
            <w:r>
              <w:rPr>
                <w:sz w:val="16"/>
              </w:rPr>
              <w:t>Provider telemetry and available mitigation</w:t>
            </w:r>
          </w:p>
        </w:tc>
      </w:tr>
      <w:tr>
        <w:tc>
          <w:tcPr>
            <w:tcW w:type="dxa" w:w="2498"/>
          </w:tcPr>
          <w:p>
            <w:pPr>
              <w:spacing w:after="40"/>
            </w:pPr>
            <w:r>
              <w:rPr>
                <w:sz w:val="16"/>
              </w:rPr>
              <w:t>Privacy leakage</w:t>
            </w:r>
          </w:p>
        </w:tc>
        <w:tc>
          <w:tcPr>
            <w:tcW w:type="dxa" w:w="2498"/>
          </w:tcPr>
          <w:p>
            <w:pPr>
              <w:spacing w:after="40"/>
            </w:pPr>
            <w:r>
              <w:rPr>
                <w:sz w:val="16"/>
              </w:rPr>
              <w:t>Analytics/logs collect unnecessary data</w:t>
            </w:r>
          </w:p>
        </w:tc>
        <w:tc>
          <w:tcPr>
            <w:tcW w:type="dxa" w:w="2498"/>
          </w:tcPr>
          <w:p>
            <w:pPr>
              <w:spacing w:after="40"/>
            </w:pPr>
            <w:r>
              <w:rPr>
                <w:sz w:val="16"/>
              </w:rPr>
              <w:t>Minimal tracking, transparent notice, limited retention/access</w:t>
            </w:r>
          </w:p>
        </w:tc>
        <w:tc>
          <w:tcPr>
            <w:tcW w:type="dxa" w:w="2498"/>
          </w:tcPr>
          <w:p>
            <w:pPr>
              <w:spacing w:after="40"/>
            </w:pPr>
            <w:r>
              <w:rPr>
                <w:sz w:val="16"/>
              </w:rPr>
              <w:t>Disable integration, assess deletion and notification obligations</w:t>
            </w:r>
          </w:p>
        </w:tc>
      </w:tr>
      <w:tr>
        <w:tc>
          <w:tcPr>
            <w:tcW w:type="dxa" w:w="2498"/>
          </w:tcPr>
          <w:p>
            <w:pPr>
              <w:spacing w:after="40"/>
            </w:pPr>
            <w:r>
              <w:rPr>
                <w:sz w:val="16"/>
              </w:rPr>
              <w:t>Unsafe article artifact</w:t>
            </w:r>
          </w:p>
        </w:tc>
        <w:tc>
          <w:tcPr>
            <w:tcW w:type="dxa" w:w="2498"/>
          </w:tcPr>
          <w:p>
            <w:pPr>
              <w:spacing w:after="40"/>
            </w:pPr>
            <w:r>
              <w:rPr>
                <w:sz w:val="16"/>
              </w:rPr>
              <w:t>Logs/screenshots contain credentials or dangerous binaries</w:t>
            </w:r>
          </w:p>
        </w:tc>
        <w:tc>
          <w:tcPr>
            <w:tcW w:type="dxa" w:w="2498"/>
          </w:tcPr>
          <w:p>
            <w:pPr>
              <w:spacing w:after="40"/>
            </w:pPr>
            <w:r>
              <w:rPr>
                <w:sz w:val="16"/>
              </w:rPr>
              <w:t>Editorial security checklist, sanitize evidence, avoid casual malware hosting</w:t>
            </w:r>
          </w:p>
        </w:tc>
        <w:tc>
          <w:tcPr>
            <w:tcW w:type="dxa" w:w="2498"/>
          </w:tcPr>
          <w:p>
            <w:pPr>
              <w:spacing w:after="40"/>
            </w:pPr>
            <w:r>
              <w:rPr>
                <w:sz w:val="16"/>
              </w:rPr>
              <w:t>Unpublish, rotate leaked credentials, document correction</w:t>
            </w:r>
          </w:p>
        </w:tc>
      </w:tr>
    </w:tbl>
    <w:p/>
    <w:p>
      <w:pPr>
        <w:pStyle w:val="Heading1"/>
      </w:pPr>
      <w:r>
        <w:t>4. Account and domain baseline (P0)</w:t>
      </w:r>
    </w:p>
    <w:p>
      <w:pPr>
        <w:pStyle w:val="ListBullet"/>
      </w:pPr>
      <w:r>
        <w:t>Secure primary email first; it can reset other accounts.</w:t>
      </w:r>
    </w:p>
    <w:p>
      <w:pPr>
        <w:pStyle w:val="ListBullet"/>
      </w:pPr>
      <w:r>
        <w:t>Use passkeys or hardware security keys where supported; MFA everywhere else.</w:t>
      </w:r>
    </w:p>
    <w:p>
      <w:pPr>
        <w:pStyle w:val="ListBullet"/>
      </w:pPr>
      <w:r>
        <w:t>Store recovery codes offline; do not commit them or store them only in the account they recover.</w:t>
      </w:r>
    </w:p>
    <w:p>
      <w:pPr>
        <w:pStyle w:val="ListBullet"/>
      </w:pPr>
      <w:r>
        <w:t>Use unique passwords and review sessions, OAuth grants and API tokens.</w:t>
      </w:r>
    </w:p>
    <w:p>
      <w:pPr>
        <w:pStyle w:val="ListBullet"/>
      </w:pPr>
      <w:r>
        <w:t>Enable domain transfer lock and renewal reminders; confirm recovery details.</w:t>
      </w:r>
    </w:p>
    <w:p>
      <w:pPr>
        <w:pStyle w:val="ListBullet"/>
      </w:pPr>
      <w:r>
        <w:t>Use scoped tokens with minimum permissions and practical expiry; avoid global account keys in scripts or CI.</w:t>
      </w:r>
    </w:p>
    <w:p>
      <w:pPr>
        <w:pStyle w:val="ListBullet"/>
      </w:pPr>
      <w:r>
        <w:t>Enable DNSSEC only after verifying registrar/DNS setup; misconfiguration can make the domain unavailable.</w:t>
      </w:r>
    </w:p>
    <w:p>
      <w:pPr>
        <w:pStyle w:val="Heading1"/>
      </w:pPr>
      <w:r>
        <w:t>5. Repository and CI hardening (P0)</w:t>
      </w:r>
    </w:p>
    <w:p>
      <w:pPr>
        <w:pStyle w:val="ListBullet"/>
      </w:pPr>
      <w:r>
        <w:t>Protect production branch and require checks before merge.</w:t>
      </w:r>
    </w:p>
    <w:p>
      <w:pPr>
        <w:pStyle w:val="ListBullet"/>
      </w:pPr>
      <w:r>
        <w:t>Limit who can publish production deployments.</w:t>
      </w:r>
    </w:p>
    <w:p>
      <w:pPr>
        <w:pStyle w:val="ListBullet"/>
      </w:pPr>
      <w:r>
        <w:t>Grant CI only the permissions needed; default to read-only where practical.</w:t>
      </w:r>
    </w:p>
    <w:p>
      <w:pPr>
        <w:pStyle w:val="ListBullet"/>
      </w:pPr>
      <w:r>
        <w:t>Pin third-party CI actions to immutable commit SHAs where practical and review upgrades.</w:t>
      </w:r>
    </w:p>
    <w:p>
      <w:pPr>
        <w:pStyle w:val="ListBullet"/>
      </w:pPr>
      <w:r>
        <w:t>Never expose production secrets to untrusted pull requests or forks.</w:t>
      </w:r>
    </w:p>
    <w:p>
      <w:pPr>
        <w:pStyle w:val="ListBullet"/>
      </w:pPr>
      <w:r>
        <w:t>Use lockfiles and repeatable builds.</w:t>
      </w:r>
    </w:p>
    <w:p>
      <w:pPr>
        <w:pStyle w:val="ListBullet"/>
      </w:pPr>
      <w:r>
        <w:t>Enable secret scanning and dependency alerts where available.</w:t>
      </w:r>
    </w:p>
    <w:p>
      <w:pPr>
        <w:pStyle w:val="ListBullet"/>
      </w:pPr>
      <w:r>
        <w:t>Deleting a leaked secret from the latest commit is not enough: rotate it and assess history/logs.</w:t>
      </w:r>
    </w:p>
    <w:p>
      <w:pPr>
        <w:pStyle w:val="ListBullet"/>
      </w:pPr>
      <w:r>
        <w:t>Anything shipped to a browser is public; never place private tokens in client-side environment variables.</w:t>
      </w:r>
    </w:p>
    <w:p>
      <w:pPr>
        <w:pStyle w:val="Heading1"/>
      </w:pPr>
      <w:r>
        <w:t>6. Content and CMS security</w:t>
      </w:r>
    </w:p>
    <w:p>
      <w:pPr>
        <w:pStyle w:val="ListBullet"/>
      </w:pPr>
      <w:r>
        <w:t>Treat content as data, not executable code. Restrict arbitrary HTML, inline scripts and untrusted embeds.</w:t>
      </w:r>
    </w:p>
    <w:p>
      <w:pPr>
        <w:pStyle w:val="ListBullet"/>
      </w:pPr>
      <w:r>
        <w:t>MDX can execute components during build; control who can commit MDX.</w:t>
      </w:r>
    </w:p>
    <w:p>
      <w:pPr>
        <w:pStyle w:val="ListBullet"/>
      </w:pPr>
      <w:r>
        <w:t>Validate frontmatter and fail the build on invalid metadata.</w:t>
      </w:r>
    </w:p>
    <w:p>
      <w:pPr>
        <w:pStyle w:val="ListBullet"/>
      </w:pPr>
      <w:r>
        <w:t>Sanitize untrusted HTML and use safe framework rendering.</w:t>
      </w:r>
    </w:p>
    <w:p>
      <w:pPr>
        <w:pStyle w:val="ListBullet"/>
      </w:pPr>
      <w:r>
        <w:t>If CMS is added: MFA, role-based permissions, access-controlled previews, scoped tokens, administrative audit trail where possible, and server-side authorization.</w:t>
      </w:r>
    </w:p>
    <w:p>
      <w:pPr>
        <w:pStyle w:val="ListBullet"/>
      </w:pPr>
      <w:r>
        <w:t>If uploads are added: allowed types and sizes, signature checks, generated names, non-executable storage, scanning where appropriate, and isolation from main origin.</w:t>
      </w:r>
    </w:p>
    <w:p>
      <w:pPr>
        <w:pStyle w:val="ListBullet"/>
      </w:pPr>
      <w:r>
        <w:t>Do not host raw malware samples or executable attachments on the main blog origin without a dedicated isolation/distribution policy.</w:t>
      </w:r>
    </w:p>
    <w:p>
      <w:pPr>
        <w:pStyle w:val="Heading1"/>
      </w:pPr>
      <w:r>
        <w:t>7. HTTP security header policy</w:t>
      </w:r>
    </w:p>
    <w:p>
      <w:r>
        <w:t>Configure headers at the host/edge and verify live responses. Start CSP in report-only mode, identify legitimate sources, then enforce a restrictive policy. The exact policy depends on fonts, images, analytics and embeds; do not blindly paste a policy that breaks the site or allows broad sources.</w:t>
      </w:r>
    </w:p>
    <w:tbl>
      <w:tblPr>
        <w:tblStyle w:val="LightShading-Accent1"/>
        <w:tblW w:type="auto" w:w="0"/>
        <w:tblLook w:firstColumn="1" w:firstRow="1" w:lastColumn="0" w:lastRow="0" w:noHBand="0" w:noVBand="1" w:val="04A0"/>
      </w:tblPr>
      <w:tblGrid>
        <w:gridCol w:w="3331"/>
        <w:gridCol w:w="3331"/>
        <w:gridCol w:w="3331"/>
      </w:tblGrid>
      <w:tr>
        <w:tc>
          <w:tcPr>
            <w:tcW w:type="dxa" w:w="3331"/>
            <w:shd w:fill="20211F"/>
          </w:tcPr>
          <w:p>
            <w:r>
              <w:rPr>
                <w:b/>
                <w:color w:val="FFFFFF"/>
                <w:sz w:val="16"/>
              </w:rPr>
              <w:t>Control</w:t>
            </w:r>
          </w:p>
        </w:tc>
        <w:tc>
          <w:tcPr>
            <w:tcW w:type="dxa" w:w="3331"/>
            <w:shd w:fill="20211F"/>
          </w:tcPr>
          <w:p>
            <w:r>
              <w:rPr>
                <w:b/>
                <w:color w:val="FFFFFF"/>
                <w:sz w:val="16"/>
              </w:rPr>
              <w:t>Intent</w:t>
            </w:r>
          </w:p>
        </w:tc>
        <w:tc>
          <w:tcPr>
            <w:tcW w:type="dxa" w:w="3331"/>
            <w:shd w:fill="20211F"/>
          </w:tcPr>
          <w:p>
            <w:r>
              <w:rPr>
                <w:b/>
                <w:color w:val="FFFFFF"/>
                <w:sz w:val="16"/>
              </w:rPr>
              <w:t>Caution</w:t>
            </w:r>
          </w:p>
        </w:tc>
      </w:tr>
      <w:tr>
        <w:tc>
          <w:tcPr>
            <w:tcW w:type="dxa" w:w="3331"/>
          </w:tcPr>
          <w:p>
            <w:pPr>
              <w:spacing w:after="40"/>
            </w:pPr>
            <w:r>
              <w:rPr>
                <w:sz w:val="16"/>
              </w:rPr>
              <w:t>Strict-Transport-Security</w:t>
            </w:r>
          </w:p>
        </w:tc>
        <w:tc>
          <w:tcPr>
            <w:tcW w:type="dxa" w:w="3331"/>
          </w:tcPr>
          <w:p>
            <w:pPr>
              <w:spacing w:after="40"/>
            </w:pPr>
            <w:r>
              <w:rPr>
                <w:sz w:val="16"/>
              </w:rPr>
              <w:t>Require HTTPS for future visits</w:t>
            </w:r>
          </w:p>
        </w:tc>
        <w:tc>
          <w:tcPr>
            <w:tcW w:type="dxa" w:w="3331"/>
          </w:tcPr>
          <w:p>
            <w:pPr>
              <w:spacing w:after="40"/>
            </w:pPr>
            <w:r>
              <w:rPr>
                <w:sz w:val="16"/>
              </w:rPr>
              <w:t>Enable only after HTTPS is stable; be careful with includeSubDomains/preload</w:t>
            </w:r>
          </w:p>
        </w:tc>
      </w:tr>
      <w:tr>
        <w:tc>
          <w:tcPr>
            <w:tcW w:type="dxa" w:w="3331"/>
          </w:tcPr>
          <w:p>
            <w:pPr>
              <w:spacing w:after="40"/>
            </w:pPr>
            <w:r>
              <w:rPr>
                <w:sz w:val="16"/>
              </w:rPr>
              <w:t>Content-Security-Policy</w:t>
            </w:r>
          </w:p>
        </w:tc>
        <w:tc>
          <w:tcPr>
            <w:tcW w:type="dxa" w:w="3331"/>
          </w:tcPr>
          <w:p>
            <w:pPr>
              <w:spacing w:after="40"/>
            </w:pPr>
            <w:r>
              <w:rPr>
                <w:sz w:val="16"/>
              </w:rPr>
              <w:t>Restrict script, style, image, font, connect, frame and object sources</w:t>
            </w:r>
          </w:p>
        </w:tc>
        <w:tc>
          <w:tcPr>
            <w:tcW w:type="dxa" w:w="3331"/>
          </w:tcPr>
          <w:p>
            <w:pPr>
              <w:spacing w:after="40"/>
            </w:pPr>
            <w:r>
              <w:rPr>
                <w:sz w:val="16"/>
              </w:rPr>
              <w:t>Test report-only first; avoid unsafe-inline/eval unless justified</w:t>
            </w:r>
          </w:p>
        </w:tc>
      </w:tr>
      <w:tr>
        <w:tc>
          <w:tcPr>
            <w:tcW w:type="dxa" w:w="3331"/>
          </w:tcPr>
          <w:p>
            <w:pPr>
              <w:spacing w:after="40"/>
            </w:pPr>
            <w:r>
              <w:rPr>
                <w:sz w:val="16"/>
              </w:rPr>
              <w:t>X-Content-Type-Options</w:t>
            </w:r>
          </w:p>
        </w:tc>
        <w:tc>
          <w:tcPr>
            <w:tcW w:type="dxa" w:w="3331"/>
          </w:tcPr>
          <w:p>
            <w:pPr>
              <w:spacing w:after="40"/>
            </w:pPr>
            <w:r>
              <w:rPr>
                <w:sz w:val="16"/>
              </w:rPr>
              <w:t>nosniff</w:t>
            </w:r>
          </w:p>
        </w:tc>
        <w:tc>
          <w:tcPr>
            <w:tcW w:type="dxa" w:w="3331"/>
          </w:tcPr>
          <w:p>
            <w:pPr>
              <w:spacing w:after="40"/>
            </w:pPr>
            <w:r>
              <w:rPr>
                <w:sz w:val="16"/>
              </w:rPr>
              <w:t>Serve correct content types</w:t>
            </w:r>
          </w:p>
        </w:tc>
      </w:tr>
      <w:tr>
        <w:tc>
          <w:tcPr>
            <w:tcW w:type="dxa" w:w="3331"/>
          </w:tcPr>
          <w:p>
            <w:pPr>
              <w:spacing w:after="40"/>
            </w:pPr>
            <w:r>
              <w:rPr>
                <w:sz w:val="16"/>
              </w:rPr>
              <w:t>Referrer-Policy</w:t>
            </w:r>
          </w:p>
        </w:tc>
        <w:tc>
          <w:tcPr>
            <w:tcW w:type="dxa" w:w="3331"/>
          </w:tcPr>
          <w:p>
            <w:pPr>
              <w:spacing w:after="40"/>
            </w:pPr>
            <w:r>
              <w:rPr>
                <w:sz w:val="16"/>
              </w:rPr>
              <w:t>strict-origin-when-cross-origin or stricter</w:t>
            </w:r>
          </w:p>
        </w:tc>
        <w:tc>
          <w:tcPr>
            <w:tcW w:type="dxa" w:w="3331"/>
          </w:tcPr>
          <w:p>
            <w:pPr>
              <w:spacing w:after="40"/>
            </w:pPr>
            <w:r>
              <w:rPr>
                <w:sz w:val="16"/>
              </w:rPr>
              <w:t>Check whether external navigation needs referrer details</w:t>
            </w:r>
          </w:p>
        </w:tc>
      </w:tr>
      <w:tr>
        <w:tc>
          <w:tcPr>
            <w:tcW w:type="dxa" w:w="3331"/>
          </w:tcPr>
          <w:p>
            <w:pPr>
              <w:spacing w:after="40"/>
            </w:pPr>
            <w:r>
              <w:rPr>
                <w:sz w:val="16"/>
              </w:rPr>
              <w:t>Permissions-Policy</w:t>
            </w:r>
          </w:p>
        </w:tc>
        <w:tc>
          <w:tcPr>
            <w:tcW w:type="dxa" w:w="3331"/>
          </w:tcPr>
          <w:p>
            <w:pPr>
              <w:spacing w:after="40"/>
            </w:pPr>
            <w:r>
              <w:rPr>
                <w:sz w:val="16"/>
              </w:rPr>
              <w:t>Disable unused browser capabilities</w:t>
            </w:r>
          </w:p>
        </w:tc>
        <w:tc>
          <w:tcPr>
            <w:tcW w:type="dxa" w:w="3331"/>
          </w:tcPr>
          <w:p>
            <w:pPr>
              <w:spacing w:after="40"/>
            </w:pPr>
            <w:r>
              <w:rPr>
                <w:sz w:val="16"/>
              </w:rPr>
              <w:t>Configure based on actual site needs</w:t>
            </w:r>
          </w:p>
        </w:tc>
      </w:tr>
      <w:tr>
        <w:tc>
          <w:tcPr>
            <w:tcW w:type="dxa" w:w="3331"/>
          </w:tcPr>
          <w:p>
            <w:pPr>
              <w:spacing w:after="40"/>
            </w:pPr>
            <w:r>
              <w:rPr>
                <w:sz w:val="16"/>
              </w:rPr>
              <w:t>frame-ancestors</w:t>
            </w:r>
          </w:p>
        </w:tc>
        <w:tc>
          <w:tcPr>
            <w:tcW w:type="dxa" w:w="3331"/>
          </w:tcPr>
          <w:p>
            <w:pPr>
              <w:spacing w:after="40"/>
            </w:pPr>
            <w:r>
              <w:rPr>
                <w:sz w:val="16"/>
              </w:rPr>
              <w:t>Prevent unauthorized embedding via CSP</w:t>
            </w:r>
          </w:p>
        </w:tc>
        <w:tc>
          <w:tcPr>
            <w:tcW w:type="dxa" w:w="3331"/>
          </w:tcPr>
          <w:p>
            <w:pPr>
              <w:spacing w:after="40"/>
            </w:pPr>
            <w:r>
              <w:rPr>
                <w:sz w:val="16"/>
              </w:rPr>
              <w:t>Avoid conflicting policies</w:t>
            </w:r>
          </w:p>
        </w:tc>
      </w:tr>
      <w:tr>
        <w:tc>
          <w:tcPr>
            <w:tcW w:type="dxa" w:w="3331"/>
          </w:tcPr>
          <w:p>
            <w:pPr>
              <w:spacing w:after="40"/>
            </w:pPr>
            <w:r>
              <w:rPr>
                <w:sz w:val="16"/>
              </w:rPr>
              <w:t>CORS</w:t>
            </w:r>
          </w:p>
        </w:tc>
        <w:tc>
          <w:tcPr>
            <w:tcW w:type="dxa" w:w="3331"/>
          </w:tcPr>
          <w:p>
            <w:pPr>
              <w:spacing w:after="40"/>
            </w:pPr>
            <w:r>
              <w:rPr>
                <w:sz w:val="16"/>
              </w:rPr>
              <w:t>No broad permissive CORS unless required</w:t>
            </w:r>
          </w:p>
        </w:tc>
        <w:tc>
          <w:tcPr>
            <w:tcW w:type="dxa" w:w="3331"/>
          </w:tcPr>
          <w:p>
            <w:pPr>
              <w:spacing w:after="40"/>
            </w:pPr>
            <w:r>
              <w:rPr>
                <w:sz w:val="16"/>
              </w:rPr>
              <w:t>CORS is not authentication</w:t>
            </w:r>
          </w:p>
        </w:tc>
      </w:tr>
      <w:tr>
        <w:tc>
          <w:tcPr>
            <w:tcW w:type="dxa" w:w="3331"/>
          </w:tcPr>
          <w:p>
            <w:pPr>
              <w:spacing w:after="40"/>
            </w:pPr>
            <w:r>
              <w:rPr>
                <w:sz w:val="16"/>
              </w:rPr>
              <w:t>Cache controls</w:t>
            </w:r>
          </w:p>
        </w:tc>
        <w:tc>
          <w:tcPr>
            <w:tcW w:type="dxa" w:w="3331"/>
          </w:tcPr>
          <w:p>
            <w:pPr>
              <w:spacing w:after="40"/>
            </w:pPr>
            <w:r>
              <w:rPr>
                <w:sz w:val="16"/>
              </w:rPr>
              <w:t>Cache public assets efficiently; never publicly cache private preview content</w:t>
            </w:r>
          </w:p>
        </w:tc>
        <w:tc>
          <w:tcPr>
            <w:tcW w:type="dxa" w:w="3331"/>
          </w:tcPr>
          <w:p>
            <w:pPr>
              <w:spacing w:after="40"/>
            </w:pPr>
            <w:r>
              <w:rPr>
                <w:sz w:val="16"/>
              </w:rPr>
              <w:t>Check cache behavior when unpublishing</w:t>
            </w:r>
          </w:p>
        </w:tc>
      </w:tr>
    </w:tbl>
    <w:p/>
    <w:p>
      <w:pPr>
        <w:pStyle w:val="Heading1"/>
      </w:pPr>
      <w:r>
        <w:t>8. DNS, CDN and origin</w:t>
      </w:r>
    </w:p>
    <w:p>
      <w:pPr>
        <w:pStyle w:val="ListBullet"/>
      </w:pPr>
      <w:r>
        <w:t>Document authoritative nameservers and DNS records.</w:t>
      </w:r>
    </w:p>
    <w:p>
      <w:pPr>
        <w:pStyle w:val="ListBullet"/>
      </w:pPr>
      <w:r>
        <w:t>Verify HTTP-to-HTTPS redirect, canonical hostname, certificate validity and no mixed content.</w:t>
      </w:r>
    </w:p>
    <w:p>
      <w:pPr>
        <w:pStyle w:val="ListBullet"/>
      </w:pPr>
      <w:r>
        <w:t>Avoid an exposed origin that bypasses intended edge controls where origin shielding matters.</w:t>
      </w:r>
    </w:p>
    <w:p>
      <w:pPr>
        <w:pStyle w:val="ListBullet"/>
      </w:pPr>
      <w:r>
        <w:t>Use provider-native protections only after checking current plan and behavior.</w:t>
      </w:r>
    </w:p>
    <w:p>
      <w:pPr>
        <w:pStyle w:val="ListBullet"/>
      </w:pPr>
      <w:r>
        <w:t>A CDN/WAF does not replace secure application design or prevent every denial-of-service attack.</w:t>
      </w:r>
    </w:p>
    <w:p>
      <w:pPr>
        <w:pStyle w:val="ListBullet"/>
      </w:pPr>
      <w:r>
        <w:t>Separate DNS and hosting tokens where practical; rotate exposed tokens.</w:t>
      </w:r>
    </w:p>
    <w:p>
      <w:pPr>
        <w:pStyle w:val="Heading1"/>
      </w:pPr>
      <w:r>
        <w:t>9. Privacy and operational security</w:t>
      </w:r>
    </w:p>
    <w:p>
      <w:pPr>
        <w:pStyle w:val="ListBullet"/>
      </w:pPr>
      <w:r>
        <w:t>Minimize analytics and third-party scripts; disclose data processing when relevant and review applicable legal obligations.</w:t>
      </w:r>
    </w:p>
    <w:p>
      <w:pPr>
        <w:pStyle w:val="ListBullet"/>
      </w:pPr>
      <w:r>
        <w:t>Avoid publishing home address, private email, private repository URLs, local paths, access tokens, internal hostnames or personal schedules.</w:t>
      </w:r>
    </w:p>
    <w:p>
      <w:pPr>
        <w:pStyle w:val="ListBullet"/>
      </w:pPr>
      <w:r>
        <w:t>Review screenshots, logs, environment dumps and copied config before publishing.</w:t>
      </w:r>
    </w:p>
    <w:p>
      <w:pPr>
        <w:pStyle w:val="ListBullet"/>
      </w:pPr>
      <w:r>
        <w:t>Keep malware analysis in an isolated lab; do not expose lab machines or private research shares through blog infrastructure.</w:t>
      </w:r>
    </w:p>
    <w:p>
      <w:pPr>
        <w:pStyle w:val="ListBullet"/>
      </w:pPr>
      <w:r>
        <w:t>For security write-ups, state authorization/scope, redact sensitive details and follow responsible disclosure practices.</w:t>
      </w:r>
    </w:p>
    <w:p>
      <w:pPr>
        <w:pStyle w:val="Heading1"/>
      </w:pPr>
      <w:r>
        <w:t>10. Incident response</w:t>
      </w:r>
    </w:p>
    <w:p>
      <w:pPr>
        <w:pStyle w:val="ListNumber"/>
      </w:pPr>
      <w:r>
        <w:t>Record suspected time, symptoms, affected routes, provider alerts and recent deployments.</w:t>
      </w:r>
    </w:p>
    <w:p>
      <w:pPr>
        <w:pStyle w:val="ListNumber"/>
      </w:pPr>
      <w:r>
        <w:t>From a trusted device, secure primary email and provider accounts; revoke suspicious sessions and tokens.</w:t>
      </w:r>
    </w:p>
    <w:p>
      <w:pPr>
        <w:pStyle w:val="ListNumber"/>
      </w:pPr>
      <w:r>
        <w:t>If credentials may be exposed, revoke and rotate immediately; deleting visible text is not enough.</w:t>
      </w:r>
    </w:p>
    <w:p>
      <w:pPr>
        <w:pStyle w:val="ListNumber"/>
      </w:pPr>
      <w:r>
        <w:t>Pause deployments if the pipeline may be compromised.</w:t>
      </w:r>
    </w:p>
    <w:p>
      <w:pPr>
        <w:pStyle w:val="ListNumber"/>
      </w:pPr>
      <w:r>
        <w:t>Restore DNS and content from known-good configuration/commit; verify certificate and canonical domain.</w:t>
      </w:r>
    </w:p>
    <w:p>
      <w:pPr>
        <w:pStyle w:val="ListNumber"/>
      </w:pPr>
      <w:r>
        <w:t>Inspect recent commits, workflow runs, dependencies, deployment logs and provider audit events.</w:t>
      </w:r>
    </w:p>
    <w:p>
      <w:pPr>
        <w:pStyle w:val="ListNumber"/>
      </w:pPr>
      <w:r>
        <w:t>Remove malicious content and purge relevant caches; check feeds/indexes if private content leaked.</w:t>
      </w:r>
    </w:p>
    <w:p>
      <w:pPr>
        <w:pStyle w:val="ListNumber"/>
      </w:pPr>
      <w:r>
        <w:t>Document root cause, impact, remediation and follow-up controls; notify affected parties when required.</w:t>
      </w:r>
    </w:p>
    <w:p>
      <w:pPr>
        <w:pStyle w:val="Heading1"/>
      </w:pPr>
      <w:r>
        <w:t>11. Security acceptance criteria</w:t>
      </w:r>
    </w:p>
    <w:p>
      <w:pPr>
        <w:pStyle w:val="ListBullet"/>
      </w:pPr>
      <w:r>
        <w:t>No known secrets in code, built output, client bundles, repository history or CI logs; exposed credentials have been rotated.</w:t>
      </w:r>
    </w:p>
    <w:p>
      <w:pPr>
        <w:pStyle w:val="ListBullet"/>
      </w:pPr>
      <w:r>
        <w:t>No public drafts in routes, RSS, sitemap, topic counts, search index or unprotected previews.</w:t>
      </w:r>
    </w:p>
    <w:p>
      <w:pPr>
        <w:pStyle w:val="ListBullet"/>
      </w:pPr>
      <w:r>
        <w:t>Production branch and deployment permissions are restricted.</w:t>
      </w:r>
    </w:p>
    <w:p>
      <w:pPr>
        <w:pStyle w:val="ListBullet"/>
      </w:pPr>
      <w:r>
        <w:t>Live security headers verified; CSP enforced after testing.</w:t>
      </w:r>
    </w:p>
    <w:p>
      <w:pPr>
        <w:pStyle w:val="ListBullet"/>
      </w:pPr>
      <w:r>
        <w:t>Dependencies locked; high-severity findings reviewed before launch.</w:t>
      </w:r>
    </w:p>
    <w:p>
      <w:pPr>
        <w:pStyle w:val="ListBullet"/>
      </w:pPr>
      <w:r>
        <w:t>Domain recovery, rollback, token rotation and content restoration documented and tested.</w:t>
      </w:r>
    </w:p>
    <w:p>
      <w:pPr>
        <w:pStyle w:val="ListBullet"/>
      </w:pPr>
      <w:r>
        <w:t>Private vulnerability-reporting path defined.</w:t>
      </w:r>
    </w:p>
    <w:p>
      <w:pPr>
        <w:pStyle w:val="Heading1"/>
      </w:pPr>
      <w:r>
        <w:t>12. References</w:t>
      </w:r>
    </w:p>
    <w:p>
      <w:pPr>
        <w:pStyle w:val="ListBullet"/>
      </w:pPr>
      <w:r>
        <w:t>OWASP ASVS: https://owasp.org/www-project-application-security-verification-standard/</w:t>
      </w:r>
    </w:p>
    <w:p>
      <w:pPr>
        <w:pStyle w:val="ListBullet"/>
      </w:pPr>
      <w:r>
        <w:t>OWASP Cheat Sheets: https://cheatsheetseries.owasp.org/</w:t>
      </w:r>
    </w:p>
    <w:p>
      <w:pPr>
        <w:pStyle w:val="ListBullet"/>
      </w:pPr>
      <w:r>
        <w:t>GitHub Actions hardening: https://docs.github.com/en/actions/security-for-github-actions/security-guides/security-hardening-for-github-actions</w:t>
      </w:r>
    </w:p>
    <w:p>
      <w:pPr>
        <w:pStyle w:val="ListBullet"/>
      </w:pPr>
      <w:r>
        <w:t>Cloudflare security: https://developers.cloudflare.com/security/</w:t>
      </w:r>
    </w:p>
    <w:p>
      <w:pPr>
        <w:pStyle w:val="ListBullet"/>
      </w:pPr>
      <w:r>
        <w:t>WCAG 2.2: https://www.w3.org/TR/WCAG22/</w:t>
      </w:r>
    </w:p>
    <w:sectPr w:rsidR="00FC693F" w:rsidRPr="0006063C" w:rsidSect="00034616">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0211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20211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B653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0211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20211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