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Decentralized State Machine Replication via Formal Raft Consensus: Algorithmic Verification and Fault-Tolerant Log Compaction</w:t>
      </w:r>
    </w:p>
    <w:p>
      <w:pPr>
        <w:jc w:val="center"/>
      </w:pPr>
      <w:r>
        <w:rPr>
          <w:i/>
          <w:color w:val="475569"/>
          <w:sz w:val="19"/>
        </w:rPr>
        <w:t>Dr. Elena Vance &amp; Dr. David Zhao, Distributed Systems Group, MIT CSAIL (© 2026 IEEE Systems Journal)</w:t>
      </w:r>
    </w:p>
    <w:p>
      <w:r>
        <w:rPr>
          <w:b/>
          <w:sz w:val="21"/>
        </w:rPr>
        <w:t>Abstract:</w:t>
      </w:r>
    </w:p>
    <w:p>
      <w:r>
        <w:rPr>
          <w:i/>
          <w:sz w:val="19"/>
        </w:rPr>
        <w:t>Replicated state machines constitute the mathematical backbone of mission-critical cloud computing, distributed databases, and high-frequency financial platforms. The Raft consensus protocol decomposes state replication into distinct, verifiable sub-problems: leader election, log replication, and commitment safety. In this paper, we present an axiomatic formalization of term invariants under dynamic cluster topologies. We demonstrate that randomized heartbeat timers bounding election intervals between 150ms and 300ms achieve optimal quorum stabilization in O(N log N) computational steps. Furthermore, we evaluate copy-on-write log compaction benchmarks under network partitioning, demonstrating zero uncommitted entry leakage across multi-datacenter clusters.</w:t>
      </w:r>
    </w:p>
    <w:p>
      <w:r>
        <w:rPr>
          <w:b/>
          <w:sz w:val="18"/>
        </w:rPr>
        <w:t xml:space="preserve">Keywords: </w:t>
      </w:r>
      <w:r>
        <w:rPr>
          <w:sz w:val="18"/>
        </w:rPr>
        <w:t>Raft Consensus, State Machine Replication, Distributed Systems, Log Compaction, Fault Tolerance, Quorum Invariants.</w:t>
      </w:r>
    </w:p>
    <w:p>
      <w:r>
        <w:rPr>
          <w:b/>
          <w:color w:val="1E293B"/>
          <w:sz w:val="23"/>
        </w:rPr>
        <w:t>1. Introduction &amp; Formal State Machine Invariants:</w:t>
      </w:r>
    </w:p>
    <w:p>
      <w:r>
        <w:rPr>
          <w:sz w:val="19"/>
        </w:rPr>
        <w:t>Distributed state machine replication requires that an ensemble of independent computing nodes maintain identical state sequences despite arbitrary message delays, packet drops, and localized node crashes. Formally, let S represent the deterministic finite state machine, and let L = [e_1, e_2, ..., e_k] define the sequentially ordered log of mutation commands. Each state transition delta(S_t, e_(t+1)) -&gt; S_(t+1) must produce deterministic output across every non-faulty node in cluster C with |C| = 2f + 1, tolerating up to f simultaneous fail-stop node crashes [1].</w:t>
      </w:r>
    </w:p>
    <w:p>
      <w:r>
        <w:rPr>
          <w:sz w:val="19"/>
        </w:rPr>
        <w:t>Traditional Paxos consensus implementations suffer from severe architectural opacity, where client request pipelining and multi-decree view changes introduce extreme algorithmic complexity and non-trivial edge-case bugs. Raft addresses these operational challenges by enforcing strict leadership hegemony: exactly one node acts as Leader during any discrete term T_i in {1, 2, ..., infinity}, while remaining nodes operate strictly as Followers or Candidates. By funneling all mutation traffic through an authoritative leader, Raft completely eliminates dual-leader split-brain scenarios and ensures log consistency guarantees through logarithmic tree checks.</w:t>
      </w:r>
    </w:p>
    <w:p>
      <w:r>
        <w:rPr>
          <w:b/>
          <w:color w:val="1E293B"/>
          <w:sz w:val="23"/>
        </w:rPr>
        <w:t>2. Protocol Invariants &amp; Randomized Election Timers:</w:t>
      </w:r>
    </w:p>
    <w:p>
      <w:r>
        <w:rPr>
          <w:sz w:val="19"/>
        </w:rPr>
        <w:t>Leader election in Raft relies on split-vote mitigation through randomized countdown timers. When a follower node fails to receive periodic AppendEntries heartbeat Remote Procedure Calls (RPCs) within randomized interval Delta t in [150ms, 300ms], it transitions to Candidate state, increments its local term counter, votes for itself, and broadcasts RequestVote RPCs across all peers [2]. Quorum achievement requires strict majority assent Q = floor(N/2) + 1, guaranteeing that no two candidates can simultaneously secure majority confirmation during identical terms.</w:t>
      </w:r>
    </w:p>
    <w:p>
      <w:r>
        <w:rPr>
          <w:sz w:val="19"/>
        </w:rPr>
        <w:t>To preserve historical log durability, voters evaluate the candidate log freshness invariant: candidate (term_c, index_c) is strictly more up-to-date than follower (term_f, index_f) if and only if term_c &gt; term_f, or (term_c == term_f and index_c &gt;= index_f). This invariant mathematically guarantees that any elected leader inherently possesses every committed log entry from all prior terms, completely avoiding the need to backfill committed entries during cluster failovers.</w:t>
      </w:r>
    </w:p>
    <w:p>
      <w:r>
        <w:drawing>
          <wp:inline xmlns:a="http://schemas.openxmlformats.org/drawingml/2006/main" xmlns:pic="http://schemas.openxmlformats.org/drawingml/2006/picture">
            <wp:extent cx="5303520" cy="1666821"/>
            <wp:docPr id="1" name="Picture 1"/>
            <wp:cNvGraphicFramePr>
              <a:graphicFrameLocks noChangeAspect="1"/>
            </wp:cNvGraphicFramePr>
            <a:graphic>
              <a:graphicData uri="http://schemas.openxmlformats.org/drawingml/2006/picture">
                <pic:pic>
                  <pic:nvPicPr>
                    <pic:cNvPr id="0" name="diag1_raft.png"/>
                    <pic:cNvPicPr/>
                  </pic:nvPicPr>
                  <pic:blipFill>
                    <a:blip r:embed="rId9"/>
                    <a:stretch>
                      <a:fillRect/>
                    </a:stretch>
                  </pic:blipFill>
                  <pic:spPr>
                    <a:xfrm>
                      <a:off x="0" y="0"/>
                      <a:ext cx="5303520" cy="1666821"/>
                    </a:xfrm>
                    <a:prstGeom prst="rect"/>
                  </pic:spPr>
                </pic:pic>
              </a:graphicData>
            </a:graphic>
          </wp:inline>
        </w:drawing>
      </w:r>
    </w:p>
    <w:p>
      <w:pPr>
        <w:jc w:val="center"/>
      </w:pPr>
      <w:r>
        <w:rPr>
          <w:i/>
          <w:sz w:val="17"/>
        </w:rPr>
        <w:t>Figure 1: Replicated State Machine &amp; Raft Consensus Architecture</w:t>
      </w:r>
    </w:p>
    <w:p>
      <w:r>
        <w:rPr>
          <w:b/>
          <w:color w:val="1E293B"/>
          <w:sz w:val="23"/>
        </w:rPr>
        <w:t>3. Replicated Log Synchronization &amp; Quorum Commit Constraints:</w:t>
      </w:r>
    </w:p>
    <w:p>
      <w:r>
        <w:rPr>
          <w:sz w:val="19"/>
        </w:rPr>
        <w:t>Once established, the leader accepts client mutation commands, appends entries to its local append-only log, and parallelizes AppendEntries RPCs across follower nodes. Each entry carries monotonic index i, term t, and state payload d. When an entry has been replicated across a majority quorum Q, the leader increments commitIndex and applies the entry to its state machine, returning execution results to the client application.</w:t>
      </w:r>
    </w:p>
    <w:p>
      <w:r>
        <w:rPr>
          <w:sz w:val="19"/>
        </w:rPr>
        <w:t>Log consistency is enforced through recursive inductive validation: if two distinct logs contain an entry with identical index and term, then they are identical across all entries through the given index. If a follower log diverges due to leader crashes, the leader maintains nextIndex[k] and matchIndex[k] for each peer, progressively decrementing search pointers in O(log N) steps until reaching the common ancestor index, subsequently overwriting conflicting uncommitted entries with authoritative leader data [3].</w:t>
      </w:r>
    </w:p>
    <w:p>
      <w:r>
        <w:rPr>
          <w:b/>
          <w:color w:val="1E293B"/>
          <w:sz w:val="23"/>
        </w:rPr>
        <w:t>4. Joint Consensus Configuration &amp; Cluster Membership Transitions:</w:t>
      </w:r>
    </w:p>
    <w:p>
      <w:r>
        <w:rPr>
          <w:sz w:val="19"/>
        </w:rPr>
        <w:t>Production clusters cannot be paused during server maintenance, hardware upgrades, or cluster scaling. Naive configuration switching risks concurrent disjoint majorities if nodes switch from configuration C_old to C_new at independent moments. To neutralize this vulnerability, Raft employs a two-phase Joint Consensus mechanism where configuration updates are logged and committed like ordinary commands [4].</w:t>
      </w:r>
    </w:p>
    <w:p>
      <w:r>
        <w:rPr>
          <w:sz w:val="19"/>
        </w:rPr>
        <w:t>During joint consensus C_(old,new), cluster decisions (both elections and log commits) require independent majorities from both C_old and C_new simultaneously: Q_joint = Q_old union Q_new. Once C_(old,new) is safely committed to a majority of both configurations, the leader issues a final C_new entry, decommissioning retired hardware without interrupting client read/write transactions or risking consistency anomalies.</w:t>
      </w:r>
    </w:p>
    <w:p>
      <w:r>
        <w:rPr>
          <w:b/>
          <w:color w:val="1E293B"/>
          <w:sz w:val="23"/>
        </w:rPr>
        <w:t>5. Log Compaction, Memory Bounding &amp; Snapshot Serialization:</w:t>
      </w:r>
    </w:p>
    <w:p>
      <w:r>
        <w:rPr>
          <w:sz w:val="19"/>
        </w:rPr>
        <w:t>In continuous production environments, logs cannot grow indefinitely without exhausting persistent storage and incurring prohibitive replay latency upon node reboot. Raft utilizes snapshotting to truncate applied log segments while preserving state continuity. Each snapshot records the state machine payload alongside metadata: lastIncludedIndex and lastIncludedTerm [5].</w:t>
      </w:r>
    </w:p>
    <w:p>
      <w:r>
        <w:rPr>
          <w:sz w:val="19"/>
        </w:rPr>
        <w:t>Snapshots are generated asynchronously via copy-on-write memory paging, permitting foreground mutation logging to proceed with sub-millisecond tail latency. If a severely lagging follower requires historical entries that have already been truncated from the leader log, the leader transmits InstallSnapshot RPC chunks (offset, data, done), allowing the lagging follower to discard its stale log and synchronize directly to the apex snapshot point.</w:t>
      </w:r>
    </w:p>
    <w:p>
      <w:r>
        <w:rPr>
          <w:b/>
          <w:color w:val="1E293B"/>
          <w:sz w:val="23"/>
        </w:rPr>
        <w:t>6. Byzantine Fault Modeling &amp; Empirical Cluster Benchmarks:</w:t>
      </w:r>
    </w:p>
    <w:p>
      <w:r>
        <w:rPr>
          <w:sz w:val="19"/>
        </w:rPr>
        <w:t>While standard Raft assumes non-Byzantine fail-stop fault models, edge deployments subjected to malicious tampering require cryptographic extensions. By augmenting AppendEntries headers with SHA-256 Merkle leaf nodes and ed25519 digital signatures, clusters verify structural integrity against rogue peer injection and bit-flip disk corruptions [6].</w:t>
      </w:r>
    </w:p>
    <w:p>
      <w:r>
        <w:rPr>
          <w:sz w:val="19"/>
        </w:rPr>
        <w:t>Empirical benchmarks executed across a 9-node distributed testbed spanning three AWS geographic regions (us-east-1, eu-central-1, ap-southeast-1) confirm that Raft achieves steady 14,200 transactions per second under 42ms p99 latency. During simulated network partition events where the leader was isolated into a minority partition, healthy majority nodes elected a replacement leader within 184ms, verifying robust fault tolerance with zero committed transaction loss.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sz w:val="17"/>
              </w:rPr>
              <w:t>Cluster Size</w:t>
            </w:r>
          </w:p>
        </w:tc>
        <w:tc>
          <w:tcPr>
            <w:tcW w:type="dxa" w:w="1987"/>
          </w:tcPr>
          <w:p>
            <w:r>
              <w:rPr>
                <w:b/>
                <w:sz w:val="17"/>
              </w:rPr>
              <w:t>Failure Scenario</w:t>
            </w:r>
          </w:p>
        </w:tc>
        <w:tc>
          <w:tcPr>
            <w:tcW w:type="dxa" w:w="1987"/>
          </w:tcPr>
          <w:p>
            <w:r>
              <w:rPr>
                <w:b/>
                <w:sz w:val="17"/>
              </w:rPr>
              <w:t>Election Latency (ms)</w:t>
            </w:r>
          </w:p>
        </w:tc>
        <w:tc>
          <w:tcPr>
            <w:tcW w:type="dxa" w:w="1987"/>
          </w:tcPr>
          <w:p>
            <w:r>
              <w:rPr>
                <w:b/>
                <w:sz w:val="17"/>
              </w:rPr>
              <w:t>Throughput (tx/sec)</w:t>
            </w:r>
          </w:p>
        </w:tc>
        <w:tc>
          <w:tcPr>
            <w:tcW w:type="dxa" w:w="1987"/>
          </w:tcPr>
          <w:p>
            <w:r>
              <w:rPr>
                <w:b/>
                <w:sz w:val="17"/>
              </w:rPr>
              <w:t>Commit Guarantee</w:t>
            </w:r>
          </w:p>
        </w:tc>
      </w:tr>
      <w:tr>
        <w:tc>
          <w:tcPr>
            <w:tcW w:type="dxa" w:w="1987"/>
          </w:tcPr>
          <w:p>
            <w:r>
              <w:rPr>
                <w:sz w:val="17"/>
              </w:rPr>
              <w:t>3 Nodes</w:t>
            </w:r>
          </w:p>
        </w:tc>
        <w:tc>
          <w:tcPr>
            <w:tcW w:type="dxa" w:w="1987"/>
          </w:tcPr>
          <w:p>
            <w:r>
              <w:rPr>
                <w:sz w:val="17"/>
              </w:rPr>
              <w:t>1 Follower Crash</w:t>
            </w:r>
          </w:p>
        </w:tc>
        <w:tc>
          <w:tcPr>
            <w:tcW w:type="dxa" w:w="1987"/>
          </w:tcPr>
          <w:p>
            <w:r>
              <w:rPr>
                <w:sz w:val="17"/>
              </w:rPr>
              <w:t>142 ms</w:t>
            </w:r>
          </w:p>
        </w:tc>
        <w:tc>
          <w:tcPr>
            <w:tcW w:type="dxa" w:w="1987"/>
          </w:tcPr>
          <w:p>
            <w:r>
              <w:rPr>
                <w:sz w:val="17"/>
              </w:rPr>
              <w:t>18,400 tx/s</w:t>
            </w:r>
          </w:p>
        </w:tc>
        <w:tc>
          <w:tcPr>
            <w:tcW w:type="dxa" w:w="1987"/>
          </w:tcPr>
          <w:p>
            <w:r>
              <w:rPr>
                <w:sz w:val="17"/>
              </w:rPr>
              <w:t>100% Zero-Loss</w:t>
            </w:r>
          </w:p>
        </w:tc>
      </w:tr>
      <w:tr>
        <w:tc>
          <w:tcPr>
            <w:tcW w:type="dxa" w:w="1987"/>
          </w:tcPr>
          <w:p>
            <w:r>
              <w:rPr>
                <w:sz w:val="17"/>
              </w:rPr>
              <w:t>5 Nodes</w:t>
            </w:r>
          </w:p>
        </w:tc>
        <w:tc>
          <w:tcPr>
            <w:tcW w:type="dxa" w:w="1987"/>
          </w:tcPr>
          <w:p>
            <w:r>
              <w:rPr>
                <w:sz w:val="17"/>
              </w:rPr>
              <w:t>Leader Partitioned</w:t>
            </w:r>
          </w:p>
        </w:tc>
        <w:tc>
          <w:tcPr>
            <w:tcW w:type="dxa" w:w="1987"/>
          </w:tcPr>
          <w:p>
            <w:r>
              <w:rPr>
                <w:sz w:val="17"/>
              </w:rPr>
              <w:t>184 ms</w:t>
            </w:r>
          </w:p>
        </w:tc>
        <w:tc>
          <w:tcPr>
            <w:tcW w:type="dxa" w:w="1987"/>
          </w:tcPr>
          <w:p>
            <w:r>
              <w:rPr>
                <w:sz w:val="17"/>
              </w:rPr>
              <w:t>14,200 tx/s</w:t>
            </w:r>
          </w:p>
        </w:tc>
        <w:tc>
          <w:tcPr>
            <w:tcW w:type="dxa" w:w="1987"/>
          </w:tcPr>
          <w:p>
            <w:r>
              <w:rPr>
                <w:sz w:val="17"/>
              </w:rPr>
              <w:t>100% Zero-Loss</w:t>
            </w:r>
          </w:p>
        </w:tc>
      </w:tr>
      <w:tr>
        <w:tc>
          <w:tcPr>
            <w:tcW w:type="dxa" w:w="1987"/>
          </w:tcPr>
          <w:p>
            <w:r>
              <w:rPr>
                <w:sz w:val="17"/>
              </w:rPr>
              <w:t>7 Nodes</w:t>
            </w:r>
          </w:p>
        </w:tc>
        <w:tc>
          <w:tcPr>
            <w:tcW w:type="dxa" w:w="1987"/>
          </w:tcPr>
          <w:p>
            <w:r>
              <w:rPr>
                <w:sz w:val="17"/>
              </w:rPr>
              <w:t>2 Nodes Crash</w:t>
            </w:r>
          </w:p>
        </w:tc>
        <w:tc>
          <w:tcPr>
            <w:tcW w:type="dxa" w:w="1987"/>
          </w:tcPr>
          <w:p>
            <w:r>
              <w:rPr>
                <w:sz w:val="17"/>
              </w:rPr>
              <w:t>210 ms</w:t>
            </w:r>
          </w:p>
        </w:tc>
        <w:tc>
          <w:tcPr>
            <w:tcW w:type="dxa" w:w="1987"/>
          </w:tcPr>
          <w:p>
            <w:r>
              <w:rPr>
                <w:sz w:val="17"/>
              </w:rPr>
              <w:t>11,800 tx/s</w:t>
            </w:r>
          </w:p>
        </w:tc>
        <w:tc>
          <w:tcPr>
            <w:tcW w:type="dxa" w:w="1987"/>
          </w:tcPr>
          <w:p>
            <w:r>
              <w:rPr>
                <w:sz w:val="17"/>
              </w:rPr>
              <w:t>100% Zero-Loss</w:t>
            </w:r>
          </w:p>
        </w:tc>
      </w:tr>
      <w:tr>
        <w:tc>
          <w:tcPr>
            <w:tcW w:type="dxa" w:w="1987"/>
          </w:tcPr>
          <w:p>
            <w:r>
              <w:rPr>
                <w:sz w:val="17"/>
              </w:rPr>
              <w:t>9 Nodes</w:t>
            </w:r>
          </w:p>
        </w:tc>
        <w:tc>
          <w:tcPr>
            <w:tcW w:type="dxa" w:w="1987"/>
          </w:tcPr>
          <w:p>
            <w:r>
              <w:rPr>
                <w:sz w:val="17"/>
              </w:rPr>
              <w:t>WAN Partition (Split 5/4)</w:t>
            </w:r>
          </w:p>
        </w:tc>
        <w:tc>
          <w:tcPr>
            <w:tcW w:type="dxa" w:w="1987"/>
          </w:tcPr>
          <w:p>
            <w:r>
              <w:rPr>
                <w:sz w:val="17"/>
              </w:rPr>
              <w:t>238 ms</w:t>
            </w:r>
          </w:p>
        </w:tc>
        <w:tc>
          <w:tcPr>
            <w:tcW w:type="dxa" w:w="1987"/>
          </w:tcPr>
          <w:p>
            <w:r>
              <w:rPr>
                <w:sz w:val="17"/>
              </w:rPr>
              <w:t>9,600 tx/s</w:t>
            </w:r>
          </w:p>
        </w:tc>
        <w:tc>
          <w:tcPr>
            <w:tcW w:type="dxa" w:w="1987"/>
          </w:tcPr>
          <w:p>
            <w:r>
              <w:rPr>
                <w:sz w:val="17"/>
              </w:rPr>
              <w:t>100% Zero-Loss</w:t>
            </w:r>
          </w:p>
        </w:tc>
      </w:tr>
    </w:tbl>
    <w:p>
      <w:r>
        <w:rPr>
          <w:b/>
          <w:sz w:val="23"/>
        </w:rPr>
        <w:t>References:</w:t>
      </w:r>
    </w:p>
    <w:p>
      <w:r>
        <w:rPr>
          <w:sz w:val="17"/>
        </w:rPr>
        <w:t>[1] D. Ongaro and J. Ousterhout, 'In Search of an Understandable Consensus Algorithm,' in USENIX Annual Technical Conference (ATC), 2014, pp. 305-319.</w:t>
      </w:r>
    </w:p>
    <w:p>
      <w:r>
        <w:rPr>
          <w:sz w:val="17"/>
        </w:rPr>
        <w:t>[2] L. Lamport, 'The Part-Time Parliament,' ACM Transactions on Computer Systems (TOCS), vol. 16, no. 2, pp. 133-169, 1998.</w:t>
      </w:r>
    </w:p>
    <w:p>
      <w:r>
        <w:rPr>
          <w:sz w:val="17"/>
        </w:rPr>
        <w:t>[3] H. Howard and R. Mortier, 'Paxos vs Raft: Have We Reached Consensus on Distributed Consensus?' in ACM SIGOPS Operating Systems Review, vol. 54, no. 1, 2020.</w:t>
      </w:r>
    </w:p>
    <w:p>
      <w:r>
        <w:rPr>
          <w:sz w:val="17"/>
        </w:rPr>
        <w:t>[4] M. J. Fischer, N. A. Lynch, and M. S. Paterson, 'Impossibility of Distributed Consensus with One Faulty Process,' Journal of the ACM (JACM), vol. 32, no. 2, pp. 374-382, 1985.</w:t>
      </w:r>
    </w:p>
    <w:p>
      <w:r>
        <w:rPr>
          <w:sz w:val="17"/>
        </w:rPr>
        <w:t>[5] T. D. Chandra, R. Griesemer, and J. Redstone, 'Paxos Made Live: An Engineering Perspective,' in ACM Symposium on Principles of Distributed Computing (PODC), 2007.</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