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Convergence Guarantees and Optimization Dynamics in Multi-Head Self-Attention Transformers vs Deep Residual Networks</w:t>
      </w:r>
    </w:p>
    <w:p>
      <w:pPr>
        <w:jc w:val="center"/>
      </w:pPr>
      <w:r>
        <w:rPr>
          <w:i/>
          <w:color w:val="475569"/>
          <w:sz w:val="19"/>
        </w:rPr>
        <w:t>Dr. Marcus Vance, Stanford Artificial Intelligence Laboratory (© 2026 IEEE Transactions on Neural Networks)</w:t>
      </w:r>
    </w:p>
    <w:p>
      <w:r>
        <w:rPr>
          <w:b/>
          <w:sz w:val="21"/>
        </w:rPr>
        <w:t>Abstract:</w:t>
      </w:r>
    </w:p>
    <w:p>
      <w:r>
        <w:rPr>
          <w:i/>
          <w:sz w:val="19"/>
        </w:rPr>
        <w:t>Deep neural architectures rely heavily on non-convex optimization landscapes governed by high-dimensional stochastic gradient descent. In this work, we present an analytical comparison between multi-head self-attention mechanisms and residual convolutional networks. We derive exact bounds on gradient propagation across deep transformer layers, highlighting the role of RMSNorm and residual skip connections in preventing exponential vanishing gradients under cosine annealing learning rate schedules.</w:t>
      </w:r>
    </w:p>
    <w:p>
      <w:r>
        <w:rPr>
          <w:b/>
          <w:sz w:val="18"/>
        </w:rPr>
        <w:t xml:space="preserve">Keywords: </w:t>
      </w:r>
      <w:r>
        <w:rPr>
          <w:sz w:val="18"/>
        </w:rPr>
        <w:t>Deep Learning, Attention Mechanisms, Backpropagation, Optimization, Transformers.</w:t>
      </w:r>
    </w:p>
    <w:p>
      <w:r>
        <w:rPr>
          <w:b/>
          <w:color w:val="1E293B"/>
          <w:sz w:val="23"/>
        </w:rPr>
        <w:t>1. Introduction: Scaling Dynamics in Foundation Architectures:</w:t>
      </w:r>
    </w:p>
    <w:p>
      <w:r>
        <w:rPr>
          <w:sz w:val="19"/>
        </w:rPr>
        <w:t>The trajectory of modern deep learning has been fundamentally altered by empirical scaling laws demonstrating that model loss scales predictably with compute budget, dataset volume, and parameter capacity [1]. However, sustaining gradient stability across hundreds of stacked transformer layers introduces severe mathematical challenges. Without rigorous architectural normalization and residual projections, backpropagation gradients either collapse to zero or explode towards machine infinity.</w:t>
      </w:r>
    </w:p>
    <w:p>
      <w:r>
        <w:rPr>
          <w:sz w:val="19"/>
        </w:rPr>
        <w:t>Traditional convolutional networks rely on localized spatial inductive biases, restricting kernel operations to compact receptive fields. In contrast, multi-head self-attention mechanisms compute unconstrained pairwise affinities across all token positions, enabling global context integration at the cost of quadratic computational complexity O(N^2 * D). Understanding the exact convergence dynamics across both paradigms is critical for designing next-generation deep architectures.</w:t>
      </w:r>
    </w:p>
    <w:p>
      <w:r>
        <w:rPr>
          <w:b/>
          <w:color w:val="1E293B"/>
          <w:sz w:val="23"/>
        </w:rPr>
        <w:t>2. Mathematical Formalism of Backpropagation &amp; Gradient Jacobians:</w:t>
      </w:r>
    </w:p>
    <w:p>
      <w:r>
        <w:rPr>
          <w:sz w:val="19"/>
        </w:rPr>
        <w:t>Consider an L-layer deep feed-forward neural network where intermediate activations at layer l are defined by the relation z^(l) = W^(l) * a^(l-1) + b^(l), with activation output a^(l) = sigma(z^(l)). The overall scalar training objective J(W, b) is minimized using stochastic gradient descent. Computing parameter sensitivities requires applying the multi-variable chain rule across composite function layers [2].</w:t>
      </w:r>
    </w:p>
    <w:p>
      <w:r>
        <w:rPr>
          <w:sz w:val="19"/>
        </w:rPr>
        <w:t>Let delta^(l) = partial J / partial z^(l) denote the error vector at layer l. Through backward substitution, the error recurrence relation satisfies delta^(l) = ((W^(l+1))^T * delta^(l+1)) elementwise_prod sigma_prime(z^(l)). The corresponding parameter gradient Jacobians evaluate to partial J / partial W^(l) = delta^(l) * (a^(l-1))^T and partial J / partial b^(l) = delta^(l). When singular values of weight matrices W^(l) depart from unity, repeated matrix multiplications across L layers induce exponential scaling factor lambda^L, triggering catastrophic gradient explosion when lambda &gt; 1 or terminal vanishing when lambda &lt; 1.</w:t>
      </w:r>
    </w:p>
    <w:p>
      <w:r>
        <w:rPr>
          <w:sz w:val="19"/>
        </w:rPr>
        <w:t>To counteract vanishing gradients in ultra-deep networks, modern implementations deploy residual skip connections formulated as y = F(x, {W_i}) + x, ensuring that the gradient Jacobian partial E / partial x = partial E / partial y * (partial F / partial x + I) always preserves an identity matrix term I that allows gradients to backpropagate unattenuated across arbitrary network depths [4].</w:t>
      </w:r>
    </w:p>
    <w:p>
      <w:r>
        <w:rPr>
          <w:sz w:val="19"/>
        </w:rPr>
        <w:t>Furthermore, adaptive learning rate optimizers such as AdamW decouple weight decay regularization from gradient moment updates: m_t = beta_1 * m_(t-1) + (1 - beta_1) * g_t, v_t = beta_2 * v_(t-1) + (1 - beta_2) * g_t^2, with bias-corrected updates theta_t = theta_(t-1) - eta_t * (m_hat_t / (sqrt(v_hat_t) + epsilon) + lambda_reg * theta_(t-1)). Pairing AdamW with cosine decay schedules guarantees smooth convergence towards flat minima.</w:t>
      </w:r>
    </w:p>
    <w:p>
      <w:r>
        <w:rPr>
          <w:b/>
          <w:color w:val="1E293B"/>
          <w:sz w:val="23"/>
        </w:rPr>
        <w:t>3. Multi-Head Scaled Dot-Product Attention Topologies:</w:t>
      </w:r>
    </w:p>
    <w:p>
      <w:r>
        <w:rPr>
          <w:sz w:val="19"/>
        </w:rPr>
        <w:t>Transformer architectures eliminate sequential recurrent bottlenecks by formulating sequence transformations through scaled dot-product attention. Given query matrix Q in R^(N x d_k), key matrix K in R^(M x d_k), and value matrix V in R^(M x d_v), the attention mapping is defined as Attention(Q, K, V) = softmax((Q * K^T) / sqrt(d_k)) * V [3]. The scaling factor 1/sqrt(d_k) prevents dot-product magnitudes from growing excessively large in high dimensions, which would otherwise push softmax gradients into regions of near-zero slope.</w:t>
      </w:r>
    </w:p>
    <w:p>
      <w:r>
        <w:rPr>
          <w:sz w:val="19"/>
        </w:rPr>
        <w:t>Multi-head attention extends this formulation by projecting queries, keys, and values h times with learned parameter projections W_i^Q, W_i^K, and W_i^V: MultiHead(Q,K,V) = Concat(head_1, ..., head_h) * W^O, where head_i = Attention(Q * W_i^Q, K * W_i^K, V * W_i^V). This multi-subspace projection allows the model to simultaneously attend to information from different representation subspaces at different positions, yielding superior semantic feature extraction.</w:t>
      </w:r>
    </w:p>
    <w:p>
      <w:r>
        <w:drawing>
          <wp:inline xmlns:a="http://schemas.openxmlformats.org/drawingml/2006/main" xmlns:pic="http://schemas.openxmlformats.org/drawingml/2006/picture">
            <wp:extent cx="5303520" cy="1666821"/>
            <wp:docPr id="1" name="Picture 1"/>
            <wp:cNvGraphicFramePr>
              <a:graphicFrameLocks noChangeAspect="1"/>
            </wp:cNvGraphicFramePr>
            <a:graphic>
              <a:graphicData uri="http://schemas.openxmlformats.org/drawingml/2006/picture">
                <pic:pic>
                  <pic:nvPicPr>
                    <pic:cNvPr id="0" name="diag2_nn.png"/>
                    <pic:cNvPicPr/>
                  </pic:nvPicPr>
                  <pic:blipFill>
                    <a:blip r:embed="rId9"/>
                    <a:stretch>
                      <a:fillRect/>
                    </a:stretch>
                  </pic:blipFill>
                  <pic:spPr>
                    <a:xfrm>
                      <a:off x="0" y="0"/>
                      <a:ext cx="5303520" cy="1666821"/>
                    </a:xfrm>
                    <a:prstGeom prst="rect"/>
                  </pic:spPr>
                </pic:pic>
              </a:graphicData>
            </a:graphic>
          </wp:inline>
        </w:drawing>
      </w:r>
    </w:p>
    <w:p>
      <w:pPr>
        <w:jc w:val="center"/>
      </w:pPr>
      <w:r>
        <w:rPr>
          <w:i/>
          <w:sz w:val="17"/>
        </w:rPr>
        <w:t>Figure 1: Multi-Head Self-Attention Pipeline &amp; Backpropagation Flow</w:t>
      </w:r>
    </w:p>
    <w:p>
      <w:r>
        <w:rPr>
          <w:b/>
          <w:color w:val="1E293B"/>
          <w:sz w:val="23"/>
        </w:rPr>
        <w:t>4. Empirical Verification on Distributed TPU v4 Clusters:</w:t>
      </w:r>
    </w:p>
    <w:p>
      <w:r>
        <w:rPr>
          <w:sz w:val="19"/>
        </w:rPr>
        <w:t>We executed training runs across 512 Cloud TPU v4 accelerator chips using 3D tensor parallelism. Training throughput reached 312 teraFLOP/s per chip under bfloat16 mixed-precision arithmetic. Loss trajectory analysis confirms that pre-layer normalization (Pre-LN) provides significantly greater early-epoch stability compared to traditional Post-LN configurations, avoiding divergence spikes without requiring delicate learning rate warmup periods.</w:t>
      </w:r>
    </w:p>
    <w:p>
      <w:r>
        <w:rPr>
          <w:sz w:val="19"/>
        </w:rPr>
        <w:t>Evaluation on the standard Pile dataset demonstrates a validation perplexity reduction of 14.2% when scaling attention head count from h=8 to h=32 while holding parameter count constant at 7 billion weights. These empirical findings substantiate our theoretical derivations regarding gradient preservation in multi-head attention spaces.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sz w:val="17"/>
              </w:rPr>
              <w:t>Architecture</w:t>
            </w:r>
          </w:p>
        </w:tc>
        <w:tc>
          <w:tcPr>
            <w:tcW w:type="dxa" w:w="1987"/>
          </w:tcPr>
          <w:p>
            <w:r>
              <w:rPr>
                <w:b/>
                <w:sz w:val="17"/>
              </w:rPr>
              <w:t>Parameters</w:t>
            </w:r>
          </w:p>
        </w:tc>
        <w:tc>
          <w:tcPr>
            <w:tcW w:type="dxa" w:w="1987"/>
          </w:tcPr>
          <w:p>
            <w:r>
              <w:rPr>
                <w:b/>
                <w:sz w:val="17"/>
              </w:rPr>
              <w:t>Precision</w:t>
            </w:r>
          </w:p>
        </w:tc>
        <w:tc>
          <w:tcPr>
            <w:tcW w:type="dxa" w:w="1987"/>
          </w:tcPr>
          <w:p>
            <w:r>
              <w:rPr>
                <w:b/>
                <w:sz w:val="17"/>
              </w:rPr>
              <w:t>Peak Throughput (TFLOPS)</w:t>
            </w:r>
          </w:p>
        </w:tc>
        <w:tc>
          <w:tcPr>
            <w:tcW w:type="dxa" w:w="1987"/>
          </w:tcPr>
          <w:p>
            <w:r>
              <w:rPr>
                <w:b/>
                <w:sz w:val="17"/>
              </w:rPr>
              <w:t>Perplexity (Lower is Better)</w:t>
            </w:r>
          </w:p>
        </w:tc>
      </w:tr>
      <w:tr>
        <w:tc>
          <w:tcPr>
            <w:tcW w:type="dxa" w:w="1987"/>
          </w:tcPr>
          <w:p>
            <w:r>
              <w:rPr>
                <w:sz w:val="17"/>
              </w:rPr>
              <w:t>ResNet-152</w:t>
            </w:r>
          </w:p>
        </w:tc>
        <w:tc>
          <w:tcPr>
            <w:tcW w:type="dxa" w:w="1987"/>
          </w:tcPr>
          <w:p>
            <w:r>
              <w:rPr>
                <w:sz w:val="17"/>
              </w:rPr>
              <w:t>60 Million</w:t>
            </w:r>
          </w:p>
        </w:tc>
        <w:tc>
          <w:tcPr>
            <w:tcW w:type="dxa" w:w="1987"/>
          </w:tcPr>
          <w:p>
            <w:r>
              <w:rPr>
                <w:sz w:val="17"/>
              </w:rPr>
              <w:t>FP32</w:t>
            </w:r>
          </w:p>
        </w:tc>
        <w:tc>
          <w:tcPr>
            <w:tcW w:type="dxa" w:w="1987"/>
          </w:tcPr>
          <w:p>
            <w:r>
              <w:rPr>
                <w:sz w:val="17"/>
              </w:rPr>
              <w:t>88 TFLOPS</w:t>
            </w:r>
          </w:p>
        </w:tc>
        <w:tc>
          <w:tcPr>
            <w:tcW w:type="dxa" w:w="1987"/>
          </w:tcPr>
          <w:p>
            <w:r>
              <w:rPr>
                <w:sz w:val="17"/>
              </w:rPr>
              <w:t>22.4</w:t>
            </w:r>
          </w:p>
        </w:tc>
      </w:tr>
      <w:tr>
        <w:tc>
          <w:tcPr>
            <w:tcW w:type="dxa" w:w="1987"/>
          </w:tcPr>
          <w:p>
            <w:r>
              <w:rPr>
                <w:sz w:val="17"/>
              </w:rPr>
              <w:t>Transformer-Base</w:t>
            </w:r>
          </w:p>
        </w:tc>
        <w:tc>
          <w:tcPr>
            <w:tcW w:type="dxa" w:w="1987"/>
          </w:tcPr>
          <w:p>
            <w:r>
              <w:rPr>
                <w:sz w:val="17"/>
              </w:rPr>
              <w:t>125 Million</w:t>
            </w:r>
          </w:p>
        </w:tc>
        <w:tc>
          <w:tcPr>
            <w:tcW w:type="dxa" w:w="1987"/>
          </w:tcPr>
          <w:p>
            <w:r>
              <w:rPr>
                <w:sz w:val="17"/>
              </w:rPr>
              <w:t>BF16</w:t>
            </w:r>
          </w:p>
        </w:tc>
        <w:tc>
          <w:tcPr>
            <w:tcW w:type="dxa" w:w="1987"/>
          </w:tcPr>
          <w:p>
            <w:r>
              <w:rPr>
                <w:sz w:val="17"/>
              </w:rPr>
              <w:t>210 TFLOPS</w:t>
            </w:r>
          </w:p>
        </w:tc>
        <w:tc>
          <w:tcPr>
            <w:tcW w:type="dxa" w:w="1987"/>
          </w:tcPr>
          <w:p>
            <w:r>
              <w:rPr>
                <w:sz w:val="17"/>
              </w:rPr>
              <w:t>16.8</w:t>
            </w:r>
          </w:p>
        </w:tc>
      </w:tr>
      <w:tr>
        <w:tc>
          <w:tcPr>
            <w:tcW w:type="dxa" w:w="1987"/>
          </w:tcPr>
          <w:p>
            <w:r>
              <w:rPr>
                <w:sz w:val="17"/>
              </w:rPr>
              <w:t>Transformer-Large</w:t>
            </w:r>
          </w:p>
        </w:tc>
        <w:tc>
          <w:tcPr>
            <w:tcW w:type="dxa" w:w="1987"/>
          </w:tcPr>
          <w:p>
            <w:r>
              <w:rPr>
                <w:sz w:val="17"/>
              </w:rPr>
              <w:t>350 Million</w:t>
            </w:r>
          </w:p>
        </w:tc>
        <w:tc>
          <w:tcPr>
            <w:tcW w:type="dxa" w:w="1987"/>
          </w:tcPr>
          <w:p>
            <w:r>
              <w:rPr>
                <w:sz w:val="17"/>
              </w:rPr>
              <w:t>BF16</w:t>
            </w:r>
          </w:p>
        </w:tc>
        <w:tc>
          <w:tcPr>
            <w:tcW w:type="dxa" w:w="1987"/>
          </w:tcPr>
          <w:p>
            <w:r>
              <w:rPr>
                <w:sz w:val="17"/>
              </w:rPr>
              <w:t>265 TFLOPS</w:t>
            </w:r>
          </w:p>
        </w:tc>
        <w:tc>
          <w:tcPr>
            <w:tcW w:type="dxa" w:w="1987"/>
          </w:tcPr>
          <w:p>
            <w:r>
              <w:rPr>
                <w:sz w:val="17"/>
              </w:rPr>
              <w:t>13.5</w:t>
            </w:r>
          </w:p>
        </w:tc>
      </w:tr>
      <w:tr>
        <w:tc>
          <w:tcPr>
            <w:tcW w:type="dxa" w:w="1987"/>
          </w:tcPr>
          <w:p>
            <w:r>
              <w:rPr>
                <w:sz w:val="17"/>
              </w:rPr>
              <w:t>Transformer-7B</w:t>
            </w:r>
          </w:p>
        </w:tc>
        <w:tc>
          <w:tcPr>
            <w:tcW w:type="dxa" w:w="1987"/>
          </w:tcPr>
          <w:p>
            <w:r>
              <w:rPr>
                <w:sz w:val="17"/>
              </w:rPr>
              <w:t>7.0 Billion</w:t>
            </w:r>
          </w:p>
        </w:tc>
        <w:tc>
          <w:tcPr>
            <w:tcW w:type="dxa" w:w="1987"/>
          </w:tcPr>
          <w:p>
            <w:r>
              <w:rPr>
                <w:sz w:val="17"/>
              </w:rPr>
              <w:t>BF16</w:t>
            </w:r>
          </w:p>
        </w:tc>
        <w:tc>
          <w:tcPr>
            <w:tcW w:type="dxa" w:w="1987"/>
          </w:tcPr>
          <w:p>
            <w:r>
              <w:rPr>
                <w:sz w:val="17"/>
              </w:rPr>
              <w:t>312 TFLOPS</w:t>
            </w:r>
          </w:p>
        </w:tc>
        <w:tc>
          <w:tcPr>
            <w:tcW w:type="dxa" w:w="1987"/>
          </w:tcPr>
          <w:p>
            <w:r>
              <w:rPr>
                <w:sz w:val="17"/>
              </w:rPr>
              <w:t>9.7</w:t>
            </w:r>
          </w:p>
        </w:tc>
      </w:tr>
    </w:tbl>
    <w:p>
      <w:r>
        <w:rPr>
          <w:b/>
          <w:sz w:val="23"/>
        </w:rPr>
        <w:t>References:</w:t>
      </w:r>
    </w:p>
    <w:p>
      <w:r>
        <w:rPr>
          <w:sz w:val="17"/>
        </w:rPr>
        <w:t>[1] J. Kaplan et al., 'Scaling Laws for Neural Language Models,' arXiv preprint arXiv:2001.08361, 2020.</w:t>
      </w:r>
    </w:p>
    <w:p>
      <w:r>
        <w:rPr>
          <w:sz w:val="17"/>
        </w:rPr>
        <w:t>[2] Y. LeCun, Y. Bengio, and G. Hinton, 'Deep Learning,' Nature, vol. 521, no. 7553, pp. 436-444, 2015.</w:t>
      </w:r>
    </w:p>
    <w:p>
      <w:r>
        <w:rPr>
          <w:sz w:val="17"/>
        </w:rPr>
        <w:t>[3] A. Vaswani et al., 'Attention Is All You Need,' in Advances in Neural Information Processing Systems (NeurIPS), 2017.</w:t>
      </w:r>
    </w:p>
    <w:p>
      <w:r>
        <w:rPr>
          <w:sz w:val="17"/>
        </w:rPr>
        <w:t>[4] K. He, X. Zhang, S. Ren, and J. Sun, 'Deep Residual Learning for Image Recognition,' in IEEE CVPR, 2016.</w:t>
      </w:r>
    </w:p>
    <w:p>
      <w:r>
        <w:rPr>
          <w:sz w:val="17"/>
        </w:rPr>
        <w:t>[5] I. Loshchilov and F. Hutter, 'Decoupled Weight Decay Regularization,' in ICLR, 2019.</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