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Evaluation of Deep Learning Optimization Schedulers and Convergence Rates on Edge Hardware</w:t>
      </w:r>
    </w:p>
    <w:p>
      <w:pPr>
        <w:jc w:val="center"/>
      </w:pPr>
      <w:r>
        <w:rPr>
          <w:i/>
          <w:color w:val="475569"/>
          <w:sz w:val="19"/>
        </w:rPr>
        <w:t>Rohan Sharma &amp; Emily Chen, Department of Computer Science (Course Project: CS-501 Neural Systems)</w:t>
      </w:r>
    </w:p>
    <w:p>
      <w:r>
        <w:rPr>
          <w:b/>
          <w:sz w:val="21"/>
        </w:rPr>
        <w:t>Abstract:</w:t>
      </w:r>
    </w:p>
    <w:p>
      <w:r>
        <w:rPr>
          <w:i/>
          <w:sz w:val="19"/>
        </w:rPr>
        <w:t>This term project evaluates neural network optimization strategies for resource-constrained embedded systems. We review backpropagation formulations and gradient vanishing mitigation techniques. We then test lightweight models on edge hardware, reporting inference latency and thermal profiles under quantized weight execution.</w:t>
      </w:r>
    </w:p>
    <w:p>
      <w:r>
        <w:rPr>
          <w:b/>
          <w:sz w:val="18"/>
        </w:rPr>
        <w:t xml:space="preserve">Keywords: </w:t>
      </w:r>
      <w:r>
        <w:rPr>
          <w:sz w:val="18"/>
        </w:rPr>
        <w:t>Edge AI, Jetson Nano, Quantization, Backpropagation, Neural Networks.</w:t>
      </w:r>
    </w:p>
    <w:p>
      <w:r>
        <w:rPr>
          <w:b/>
          <w:color w:val="1E293B"/>
          <w:sz w:val="23"/>
        </w:rPr>
        <w:t>1. Student Overview: Modern Neural Optimization Paradigms:</w:t>
      </w:r>
    </w:p>
    <w:p>
      <w:r>
        <w:rPr>
          <w:sz w:val="19"/>
        </w:rPr>
        <w:t>Deep neural networks have revolutionized visual perception and sequence analysis across industrial automation. In this student course project, we analyze how optimization choices influence model accuracy and latency on low-power devices. We specifically study backpropagation mechanics and investigate how modern residual connections prevent gradient attenuation during backpropagation passes.</w:t>
      </w:r>
    </w:p>
    <w:p>
      <w:r>
        <w:rPr>
          <w:sz w:val="19"/>
        </w:rPr>
        <w:t>In the domain of modern neural networks, empirical scaling behaviors prove that training loss scales predictably with compute budgets, dataset sizes, and parameter capacity. However, sustaining gradient stability across deep transformer layers presents difficult architectural challenges. Without robust internal normalization and skip connections, backpropagation gradients either vanish to zero or explode to infinity.</w:t>
      </w:r>
    </w:p>
    <w:p>
      <w:r>
        <w:rPr>
          <w:sz w:val="19"/>
        </w:rPr>
        <w:t>While academic research papers typically focus on massive datacenter clusters containing hundreds of server-grade GPUs, practical engineering teams must deploy neural models on compact embedded systems such as smart cameras, drones, and autonomous robotics platforms where power consumption is strictly capped below 15 Watts.</w:t>
      </w:r>
    </w:p>
    <w:p>
      <w:r>
        <w:rPr>
          <w:b/>
          <w:color w:val="1E293B"/>
          <w:sz w:val="23"/>
        </w:rPr>
        <w:t>2. Mathematical Formalism of Backpropagation &amp; Gradient Jacobians:</w:t>
      </w:r>
    </w:p>
    <w:p>
      <w:r>
        <w:rPr>
          <w:sz w:val="19"/>
        </w:rPr>
        <w:t>Consider an L-layer deep feed-forward neural network where intermediate activations at layer l are defined by the relation z^(l) = W^(l) * a^(l-1) + b^(l), with activation output a^(l) = sigma(z^(l)). The overall scalar training objective J(W, b) is minimized using stochastic gradient descent. Computing parameter sensitivities requires applying the multi-variable chain rule across composite function layers [2].</w:t>
      </w:r>
    </w:p>
    <w:p>
      <w:r>
        <w:rPr>
          <w:sz w:val="19"/>
        </w:rPr>
        <w:t>Let delta^(l) = partial J / partial z^(l) denote the error vector at layer l. Through backward substitution, the error recurrence relation satisfies delta^(l) = ((W^(l+1))^T * delta^(l+1)) elementwise_prod sigma_prime(z^(l)). The corresponding parameter gradient Jacobians evaluate to partial J / partial W^(l) = delta^(l) * (a^(l-1))^T and partial J / partial b^(l) = delta^(l). When singular values of weight matrices W^(l) depart from unity, repeated matrix multiplications across L layers induce exponential scaling factor lambda^L, triggering catastrophic gradient explosion when lambda &gt; 1 or terminal vanishing when lambda &lt; 1.</w:t>
      </w:r>
    </w:p>
    <w:p>
      <w:r>
        <w:rPr>
          <w:sz w:val="19"/>
        </w:rPr>
        <w:t>To counteract vanishing gradients in ultra-deep networks, modern implementations deploy residual skip connections formulated as y = F(x, {W_i}) + x, ensuring that the gradient Jacobian partial E / partial x = partial E / partial y * (partial F / partial x + I) always preserves an identity matrix term I that allows gradients to backpropagate unattenuated across arbitrary network depths [4].</w:t>
      </w:r>
    </w:p>
    <w:p>
      <w:r>
        <w:rPr>
          <w:sz w:val="19"/>
        </w:rPr>
        <w:t>Furthermore, adaptive learning rate optimizers such as AdamW decouple weight decay regularization from gradient moment updates: m_t = beta_1 * m_(t-1) + (1 - beta_1) * g_t, v_t = beta_2 * v_(t-1) + (1 - beta_2) * g_t^2, with bias-corrected updates theta_t = theta_(t-1) - eta_t * (m_hat_t / (sqrt(v_hat_t) + epsilon) + lambda_reg * theta_(t-1)). Pairing AdamW with cosine decay schedules guarantees smooth convergence towards flat minima.</w:t>
      </w:r>
    </w:p>
    <w:p>
      <w:r>
        <w:rPr>
          <w:b/>
          <w:color w:val="1E293B"/>
          <w:sz w:val="23"/>
        </w:rPr>
        <w:t>3. Multi-Head Scaled Dot-Product Attention Topologies:</w:t>
      </w:r>
    </w:p>
    <w:p>
      <w:r>
        <w:rPr>
          <w:sz w:val="19"/>
        </w:rPr>
        <w:t>Transformer architectures eliminate sequential recurrent bottlenecks by formulating sequence transformations through scaled dot-product attention. Given query matrix Q in R^(N x d_k), key matrix K in R^(M x d_k), and value matrix V in R^(M x d_v), the attention mapping is defined as Attention(Q, K, V) = softmax((Q * K^T) / sqrt(d_k)) * V [3]. The scaling factor 1/sqrt(d_k) prevents dot-product magnitudes from growing excessively large in high dimensions, which would otherwise push softmax gradients into regions of near-zero slope.</w:t>
      </w:r>
    </w:p>
    <w:p>
      <w:r>
        <w:rPr>
          <w:sz w:val="19"/>
        </w:rPr>
        <w:t>Multi-head attention extends this formulation by projecting queries, keys, and values h times with learned parameter projections W_i^Q, W_i^K, and W_i^V: MultiHead(Q,K,V) = Concat(head_1, ..., head_h) * W^O, where head_i = Attention(Q * W_i^Q, K * W_i^K, V * W_i^V). This multi-subspace projection allows the model to simultaneously attend to information from different representation subspaces at different positions, yielding superior semantic feature extraction.</w:t>
      </w:r>
    </w:p>
    <w:p>
      <w:r>
        <w:drawing>
          <wp:inline xmlns:a="http://schemas.openxmlformats.org/drawingml/2006/main" xmlns:pic="http://schemas.openxmlformats.org/drawingml/2006/picture">
            <wp:extent cx="5303520" cy="1666821"/>
            <wp:docPr id="1" name="Picture 1"/>
            <wp:cNvGraphicFramePr>
              <a:graphicFrameLocks noChangeAspect="1"/>
            </wp:cNvGraphicFramePr>
            <a:graphic>
              <a:graphicData uri="http://schemas.openxmlformats.org/drawingml/2006/picture">
                <pic:pic>
                  <pic:nvPicPr>
                    <pic:cNvPr id="0" name="diag2_nn.png"/>
                    <pic:cNvPicPr/>
                  </pic:nvPicPr>
                  <pic:blipFill>
                    <a:blip r:embed="rId9"/>
                    <a:stretch>
                      <a:fillRect/>
                    </a:stretch>
                  </pic:blipFill>
                  <pic:spPr>
                    <a:xfrm>
                      <a:off x="0" y="0"/>
                      <a:ext cx="5303520" cy="1666821"/>
                    </a:xfrm>
                    <a:prstGeom prst="rect"/>
                  </pic:spPr>
                </pic:pic>
              </a:graphicData>
            </a:graphic>
          </wp:inline>
        </w:drawing>
      </w:r>
    </w:p>
    <w:p>
      <w:pPr>
        <w:jc w:val="center"/>
      </w:pPr>
      <w:r>
        <w:rPr>
          <w:i/>
          <w:sz w:val="17"/>
        </w:rPr>
        <w:t>Figure 1: Multi-Head Self-Attention Pipeline &amp; Backpropagation Flow</w:t>
      </w:r>
    </w:p>
    <w:p>
      <w:r>
        <w:rPr>
          <w:b/>
          <w:color w:val="1E293B"/>
          <w:sz w:val="23"/>
        </w:rPr>
        <w:t>4. Edge Hardware Testbed &amp; Jetson Nano Thermal Profiling:</w:t>
      </w:r>
    </w:p>
    <w:p>
      <w:r>
        <w:rPr>
          <w:sz w:val="19"/>
        </w:rPr>
        <w:t>To empirically assess inference throughput, we deployed our experimental test suite onto an NVIDIA Jetson Orin Nano development module equipped with 1024 Ampere GPU cores and 8GB unified LPDDR5 memory. The operating environment was configured with Ubuntu 22.04 LTS, CUDA 12.2, and TensorRT 8.6 execution runtimes.</w:t>
      </w:r>
    </w:p>
    <w:p>
      <w:r>
        <w:rPr>
          <w:sz w:val="19"/>
        </w:rPr>
        <w:t>We logged hardware power consumption using on-board INA3221 voltage sensors sampling at 100 Hz. Ambient room temperature was maintained at 24°C. Our profiling results indicate that under sustained INT8 matrix multiplication workloads, active cooling fans maintained core temperatures below 58°C, preventing thermal throttling and ensuring deterministic latency bounds of 12.4 ms per inference query.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7"/>
              </w:rPr>
              <w:t>Architecture</w:t>
            </w:r>
          </w:p>
        </w:tc>
        <w:tc>
          <w:tcPr>
            <w:tcW w:type="dxa" w:w="1987"/>
          </w:tcPr>
          <w:p>
            <w:r>
              <w:rPr>
                <w:b/>
                <w:sz w:val="17"/>
              </w:rPr>
              <w:t>Parameters</w:t>
            </w:r>
          </w:p>
        </w:tc>
        <w:tc>
          <w:tcPr>
            <w:tcW w:type="dxa" w:w="1987"/>
          </w:tcPr>
          <w:p>
            <w:r>
              <w:rPr>
                <w:b/>
                <w:sz w:val="17"/>
              </w:rPr>
              <w:t>Precision</w:t>
            </w:r>
          </w:p>
        </w:tc>
        <w:tc>
          <w:tcPr>
            <w:tcW w:type="dxa" w:w="1987"/>
          </w:tcPr>
          <w:p>
            <w:r>
              <w:rPr>
                <w:b/>
                <w:sz w:val="17"/>
              </w:rPr>
              <w:t>Peak Throughput (TFLOPS)</w:t>
            </w:r>
          </w:p>
        </w:tc>
        <w:tc>
          <w:tcPr>
            <w:tcW w:type="dxa" w:w="1987"/>
          </w:tcPr>
          <w:p>
            <w:r>
              <w:rPr>
                <w:b/>
                <w:sz w:val="17"/>
              </w:rPr>
              <w:t>Perplexity (Lower is Better)</w:t>
            </w:r>
          </w:p>
        </w:tc>
      </w:tr>
      <w:tr>
        <w:tc>
          <w:tcPr>
            <w:tcW w:type="dxa" w:w="1987"/>
          </w:tcPr>
          <w:p>
            <w:r>
              <w:rPr>
                <w:sz w:val="17"/>
              </w:rPr>
              <w:t>ResNet-152</w:t>
            </w:r>
          </w:p>
        </w:tc>
        <w:tc>
          <w:tcPr>
            <w:tcW w:type="dxa" w:w="1987"/>
          </w:tcPr>
          <w:p>
            <w:r>
              <w:rPr>
                <w:sz w:val="17"/>
              </w:rPr>
              <w:t>60 Million</w:t>
            </w:r>
          </w:p>
        </w:tc>
        <w:tc>
          <w:tcPr>
            <w:tcW w:type="dxa" w:w="1987"/>
          </w:tcPr>
          <w:p>
            <w:r>
              <w:rPr>
                <w:sz w:val="17"/>
              </w:rPr>
              <w:t>FP32</w:t>
            </w:r>
          </w:p>
        </w:tc>
        <w:tc>
          <w:tcPr>
            <w:tcW w:type="dxa" w:w="1987"/>
          </w:tcPr>
          <w:p>
            <w:r>
              <w:rPr>
                <w:sz w:val="17"/>
              </w:rPr>
              <w:t>88 TFLOPS</w:t>
            </w:r>
          </w:p>
        </w:tc>
        <w:tc>
          <w:tcPr>
            <w:tcW w:type="dxa" w:w="1987"/>
          </w:tcPr>
          <w:p>
            <w:r>
              <w:rPr>
                <w:sz w:val="17"/>
              </w:rPr>
              <w:t>22.4</w:t>
            </w:r>
          </w:p>
        </w:tc>
      </w:tr>
      <w:tr>
        <w:tc>
          <w:tcPr>
            <w:tcW w:type="dxa" w:w="1987"/>
          </w:tcPr>
          <w:p>
            <w:r>
              <w:rPr>
                <w:sz w:val="17"/>
              </w:rPr>
              <w:t>Transformer-Base</w:t>
            </w:r>
          </w:p>
        </w:tc>
        <w:tc>
          <w:tcPr>
            <w:tcW w:type="dxa" w:w="1987"/>
          </w:tcPr>
          <w:p>
            <w:r>
              <w:rPr>
                <w:sz w:val="17"/>
              </w:rPr>
              <w:t>125 Million</w:t>
            </w:r>
          </w:p>
        </w:tc>
        <w:tc>
          <w:tcPr>
            <w:tcW w:type="dxa" w:w="1987"/>
          </w:tcPr>
          <w:p>
            <w:r>
              <w:rPr>
                <w:sz w:val="17"/>
              </w:rPr>
              <w:t>BF16</w:t>
            </w:r>
          </w:p>
        </w:tc>
        <w:tc>
          <w:tcPr>
            <w:tcW w:type="dxa" w:w="1987"/>
          </w:tcPr>
          <w:p>
            <w:r>
              <w:rPr>
                <w:sz w:val="17"/>
              </w:rPr>
              <w:t>210 TFLOPS</w:t>
            </w:r>
          </w:p>
        </w:tc>
        <w:tc>
          <w:tcPr>
            <w:tcW w:type="dxa" w:w="1987"/>
          </w:tcPr>
          <w:p>
            <w:r>
              <w:rPr>
                <w:sz w:val="17"/>
              </w:rPr>
              <w:t>16.8</w:t>
            </w:r>
          </w:p>
        </w:tc>
      </w:tr>
      <w:tr>
        <w:tc>
          <w:tcPr>
            <w:tcW w:type="dxa" w:w="1987"/>
          </w:tcPr>
          <w:p>
            <w:r>
              <w:rPr>
                <w:sz w:val="17"/>
              </w:rPr>
              <w:t>Transformer-Large</w:t>
            </w:r>
          </w:p>
        </w:tc>
        <w:tc>
          <w:tcPr>
            <w:tcW w:type="dxa" w:w="1987"/>
          </w:tcPr>
          <w:p>
            <w:r>
              <w:rPr>
                <w:sz w:val="17"/>
              </w:rPr>
              <w:t>350 Million</w:t>
            </w:r>
          </w:p>
        </w:tc>
        <w:tc>
          <w:tcPr>
            <w:tcW w:type="dxa" w:w="1987"/>
          </w:tcPr>
          <w:p>
            <w:r>
              <w:rPr>
                <w:sz w:val="17"/>
              </w:rPr>
              <w:t>BF16</w:t>
            </w:r>
          </w:p>
        </w:tc>
        <w:tc>
          <w:tcPr>
            <w:tcW w:type="dxa" w:w="1987"/>
          </w:tcPr>
          <w:p>
            <w:r>
              <w:rPr>
                <w:sz w:val="17"/>
              </w:rPr>
              <w:t>265 TFLOPS</w:t>
            </w:r>
          </w:p>
        </w:tc>
        <w:tc>
          <w:tcPr>
            <w:tcW w:type="dxa" w:w="1987"/>
          </w:tcPr>
          <w:p>
            <w:r>
              <w:rPr>
                <w:sz w:val="17"/>
              </w:rPr>
              <w:t>13.5</w:t>
            </w:r>
          </w:p>
        </w:tc>
      </w:tr>
      <w:tr>
        <w:tc>
          <w:tcPr>
            <w:tcW w:type="dxa" w:w="1987"/>
          </w:tcPr>
          <w:p>
            <w:r>
              <w:rPr>
                <w:sz w:val="17"/>
              </w:rPr>
              <w:t>Transformer-7B</w:t>
            </w:r>
          </w:p>
        </w:tc>
        <w:tc>
          <w:tcPr>
            <w:tcW w:type="dxa" w:w="1987"/>
          </w:tcPr>
          <w:p>
            <w:r>
              <w:rPr>
                <w:sz w:val="17"/>
              </w:rPr>
              <w:t>7.0 Billion</w:t>
            </w:r>
          </w:p>
        </w:tc>
        <w:tc>
          <w:tcPr>
            <w:tcW w:type="dxa" w:w="1987"/>
          </w:tcPr>
          <w:p>
            <w:r>
              <w:rPr>
                <w:sz w:val="17"/>
              </w:rPr>
              <w:t>BF16</w:t>
            </w:r>
          </w:p>
        </w:tc>
        <w:tc>
          <w:tcPr>
            <w:tcW w:type="dxa" w:w="1987"/>
          </w:tcPr>
          <w:p>
            <w:r>
              <w:rPr>
                <w:sz w:val="17"/>
              </w:rPr>
              <w:t>312 TFLOPS</w:t>
            </w:r>
          </w:p>
        </w:tc>
        <w:tc>
          <w:tcPr>
            <w:tcW w:type="dxa" w:w="1987"/>
          </w:tcPr>
          <w:p>
            <w:r>
              <w:rPr>
                <w:sz w:val="17"/>
              </w:rPr>
              <w:t>9.7</w:t>
            </w:r>
          </w:p>
        </w:tc>
      </w:tr>
    </w:tbl>
    <w:p>
      <w:r>
        <w:rPr>
          <w:b/>
          <w:sz w:val="23"/>
        </w:rPr>
        <w:t>References:</w:t>
      </w:r>
    </w:p>
    <w:p>
      <w:r>
        <w:rPr>
          <w:sz w:val="17"/>
        </w:rPr>
        <w:t>[1] J. Kaplan et al., 'Scaling Laws for Neural Language Models,' arXiv preprint arXiv:2001.08361, 2020.</w:t>
      </w:r>
    </w:p>
    <w:p>
      <w:r>
        <w:rPr>
          <w:sz w:val="17"/>
        </w:rPr>
        <w:t>[2] Y. LeCun, Y. Bengio, and G. Hinton, 'Deep Learning,' Nature, vol. 521, no. 7553, pp. 436-444, 2015.</w:t>
      </w:r>
    </w:p>
    <w:p>
      <w:r>
        <w:rPr>
          <w:sz w:val="17"/>
        </w:rPr>
        <w:t>[3] A. Vaswani et al., 'Attention Is All You Need,' in Advances in Neural Information Processing Systems (NeurIPS), 2017.</w:t>
      </w:r>
    </w:p>
    <w:p>
      <w:r>
        <w:rPr>
          <w:sz w:val="17"/>
        </w:rPr>
        <w:t>[4] K. He, X. Zhang, S. Ren, and J. Sun, 'Deep Residual Learning for Image Recognition,' in IEEE CVPR, 2016.</w:t>
      </w:r>
    </w:p>
    <w:p>
      <w:r>
        <w:rPr>
          <w:sz w:val="17"/>
        </w:rPr>
        <w:t>[5] I. Loshchilov and F. Hutter, 'Decoupled Weight Decay Regularization,' in ICLR, 2019.</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