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>This Non-Disclosure Agreement (NDA) is entered on 1st February 2025 between TechNova Corp and John Doe.</w:t>
      </w:r>
    </w:p>
    <w:p>
      <w:r>
        <w:t>1. CONFIDENTIAL INFORMATION: Includes all source code, business plans, financial records, and client databases.</w:t>
      </w:r>
    </w:p>
    <w:p>
      <w:r>
        <w:t>2. OBLIGATIONS: The recipient will maintain confidentiality and use the information solely for evaluation purposes.</w:t>
      </w:r>
    </w:p>
    <w:p>
      <w:r>
        <w:t>3. EXCLUSIONS: Information already public or independently developed is excluded from confidentiality.</w:t>
      </w:r>
    </w:p>
    <w:p>
      <w:r>
        <w:t>4. TERM: The obligations under this Agreement shall remain effective for 24 months from the effective date.</w:t>
      </w:r>
    </w:p>
    <w:p>
      <w:r>
        <w:t>5. REMEDIES: Both parties acknowledge monetary damages may be inadequate and injunctive relief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