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6"/>
          <w:szCs w:val="56"/>
        </w:rPr>
        <w:t xml:space="preserve">VENTIS</w:t>
      </w:r>
    </w:p>
    <w:p>
      <w:pPr>
        <w:spacing w:after="60"/>
        <w:jc w:val="center"/>
      </w:pPr>
      <w:r>
        <w:rPr>
          <w:b/>
          <w:bCs/>
          <w:color w:val="333333"/>
          <w:sz w:val="32"/>
          <w:szCs w:val="32"/>
        </w:rPr>
        <w:t xml:space="preserve">References, Prior Art and Project Positioning</w:t>
      </w:r>
    </w:p>
    <w:p>
      <w:pPr>
        <w:spacing w:after="300"/>
        <w:jc w:val="center"/>
      </w:pPr>
      <w:r>
        <w:rPr>
          <w:i/>
          <w:iCs/>
          <w:color w:val="666666"/>
          <w:sz w:val="20"/>
          <w:szCs w:val="20"/>
        </w:rPr>
        <w:t xml:space="preserve">51 curated sources across every domain the project touches — followed by an honest account of what they have already achieved, and what is left for us to 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7566"/>
      </w:tblGrid>
      <w:tr>
        <w:trPr>
          <w:tblHeader/>
        </w:trPr>
        <w:tc>
          <w:tcPr>
            <w:tcW w:type="dxa" w:w="2134"/>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7566"/>
            <w:shd w:fill="1F3864" w:val="clear"/>
            <w:tcMar>
              <w:top w:type="dxa" w:w="60"/>
              <w:left w:type="dxa" w:w="90"/>
              <w:bottom w:type="dxa" w:w="60"/>
              <w:right w:type="dxa" w:w="90"/>
            </w:tcMar>
          </w:tcPr>
          <w:p>
            <w:pPr>
              <w:spacing w:after="0"/>
            </w:pPr>
            <w:r>
              <w:rPr>
                <w:b/>
                <w:bCs/>
                <w:color w:val="FFFFFF"/>
                <w:sz w:val="17"/>
                <w:szCs w:val="17"/>
              </w:rPr>
              <w:t xml:space="preserve">Value</w:t>
            </w:r>
          </w:p>
        </w:tc>
      </w:tr>
      <w:tr>
        <w:tc>
          <w:tcPr>
            <w:tcW w:type="dxa" w:w="2134"/>
            <w:shd w:fill="FFFFFF" w:val="clear"/>
            <w:tcMar>
              <w:top w:type="dxa" w:w="60"/>
              <w:left w:type="dxa" w:w="90"/>
              <w:bottom w:type="dxa" w:w="60"/>
              <w:right w:type="dxa" w:w="90"/>
            </w:tcMar>
          </w:tcPr>
          <w:p>
            <w:pPr>
              <w:spacing w:after="0"/>
            </w:pPr>
            <w:r>
              <w:rPr>
                <w:sz w:val="17"/>
                <w:szCs w:val="17"/>
              </w:rPr>
              <w:t xml:space="preserve">Document ID</w:t>
            </w:r>
          </w:p>
        </w:tc>
        <w:tc>
          <w:tcPr>
            <w:tcW w:type="dxa" w:w="7566"/>
            <w:shd w:fill="FFFFFF" w:val="clear"/>
            <w:tcMar>
              <w:top w:type="dxa" w:w="60"/>
              <w:left w:type="dxa" w:w="90"/>
              <w:bottom w:type="dxa" w:w="60"/>
              <w:right w:type="dxa" w:w="90"/>
            </w:tcMar>
          </w:tcPr>
          <w:p>
            <w:pPr>
              <w:spacing w:after="0"/>
            </w:pPr>
            <w:r>
              <w:rPr>
                <w:sz w:val="17"/>
                <w:szCs w:val="17"/>
              </w:rPr>
              <w:t xml:space="preserve">AQR-REF-001  ·  Revision v1.0  ·  2026-09-05</w:t>
            </w:r>
          </w:p>
        </w:tc>
      </w:tr>
      <w:tr>
        <w:tc>
          <w:tcPr>
            <w:tcW w:type="dxa" w:w="2134"/>
            <w:shd w:fill="EDF1F8" w:val="clear"/>
            <w:tcMar>
              <w:top w:type="dxa" w:w="60"/>
              <w:left w:type="dxa" w:w="90"/>
              <w:bottom w:type="dxa" w:w="60"/>
              <w:right w:type="dxa" w:w="90"/>
            </w:tcMar>
          </w:tcPr>
          <w:p>
            <w:pPr>
              <w:spacing w:after="0"/>
            </w:pPr>
            <w:r>
              <w:rPr>
                <w:sz w:val="17"/>
                <w:szCs w:val="17"/>
              </w:rPr>
              <w:t xml:space="preserve">Companion documents</w:t>
            </w:r>
          </w:p>
        </w:tc>
        <w:tc>
          <w:tcPr>
            <w:tcW w:type="dxa" w:w="7566"/>
            <w:shd w:fill="EDF1F8" w:val="clear"/>
            <w:tcMar>
              <w:top w:type="dxa" w:w="60"/>
              <w:left w:type="dxa" w:w="90"/>
              <w:bottom w:type="dxa" w:w="60"/>
              <w:right w:type="dxa" w:w="90"/>
            </w:tcMar>
          </w:tcPr>
          <w:p>
            <w:pPr>
              <w:spacing w:after="0"/>
            </w:pPr>
            <w:r>
              <w:rPr>
                <w:sz w:val="17"/>
                <w:szCs w:val="17"/>
              </w:rPr>
              <w:t xml:space="preserve">AQR-ARCH-001 (PRD / Architecture), AQR-DATA-001 (Dataset Specification), AQR-MATH-001 (Mathematical Reference)</w:t>
            </w:r>
          </w:p>
        </w:tc>
      </w:tr>
      <w:tr>
        <w:tc>
          <w:tcPr>
            <w:tcW w:type="dxa" w:w="2134"/>
            <w:shd w:fill="FFFFFF" w:val="clear"/>
            <w:tcMar>
              <w:top w:type="dxa" w:w="60"/>
              <w:left w:type="dxa" w:w="90"/>
              <w:bottom w:type="dxa" w:w="60"/>
              <w:right w:type="dxa" w:w="90"/>
            </w:tcMar>
          </w:tcPr>
          <w:p>
            <w:pPr>
              <w:spacing w:after="0"/>
            </w:pPr>
            <w:r>
              <w:rPr>
                <w:sz w:val="17"/>
                <w:szCs w:val="17"/>
              </w:rPr>
              <w:t xml:space="preserve">Reference count</w:t>
            </w:r>
          </w:p>
        </w:tc>
        <w:tc>
          <w:tcPr>
            <w:tcW w:type="dxa" w:w="7566"/>
            <w:shd w:fill="FFFFFF" w:val="clear"/>
            <w:tcMar>
              <w:top w:type="dxa" w:w="60"/>
              <w:left w:type="dxa" w:w="90"/>
              <w:bottom w:type="dxa" w:w="60"/>
              <w:right w:type="dxa" w:w="90"/>
            </w:tcMar>
          </w:tcPr>
          <w:p>
            <w:pPr>
              <w:spacing w:after="0"/>
            </w:pPr>
            <w:r>
              <w:rPr>
                <w:sz w:val="17"/>
                <w:szCs w:val="17"/>
              </w:rPr>
              <w:t xml:space="preserve">51, grouped into 9 domains</w:t>
            </w:r>
          </w:p>
        </w:tc>
      </w:tr>
      <w:tr>
        <w:tc>
          <w:tcPr>
            <w:tcW w:type="dxa" w:w="2134"/>
            <w:shd w:fill="EDF1F8" w:val="clear"/>
            <w:tcMar>
              <w:top w:type="dxa" w:w="60"/>
              <w:left w:type="dxa" w:w="90"/>
              <w:bottom w:type="dxa" w:w="60"/>
              <w:right w:type="dxa" w:w="90"/>
            </w:tcMar>
          </w:tcPr>
          <w:p>
            <w:pPr>
              <w:spacing w:after="0"/>
            </w:pPr>
            <w:r>
              <w:rPr>
                <w:sz w:val="17"/>
                <w:szCs w:val="17"/>
              </w:rPr>
              <w:t xml:space="preserve">How to use</w:t>
            </w:r>
          </w:p>
        </w:tc>
        <w:tc>
          <w:tcPr>
            <w:tcW w:type="dxa" w:w="7566"/>
            <w:shd w:fill="EDF1F8" w:val="clear"/>
            <w:tcMar>
              <w:top w:type="dxa" w:w="60"/>
              <w:left w:type="dxa" w:w="90"/>
              <w:bottom w:type="dxa" w:w="60"/>
              <w:right w:type="dxa" w:w="90"/>
            </w:tcMar>
          </w:tcPr>
          <w:p>
            <w:pPr>
              <w:spacing w:after="0"/>
            </w:pPr>
            <w:r>
              <w:rPr>
                <w:sz w:val="17"/>
                <w:szCs w:val="17"/>
              </w:rPr>
              <w:t xml:space="preserve">Sections 1–9 are the reference list (entries 1–51); every title is a live link. Sections 10–15 are the analysis: what exists, what we add, what gaps we close, and why it matters.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Standards, indices and health guidelines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w:t>
            </w:r>
          </w:p>
        </w:tc>
        <w:tc>
          <w:tcPr>
            <w:tcW w:type="dxa" w:w="4559"/>
            <w:shd w:fill="FFFFFF" w:val="clear"/>
            <w:tcMar>
              <w:top w:type="dxa" w:w="60"/>
              <w:left w:type="dxa" w:w="90"/>
              <w:bottom w:type="dxa" w:w="60"/>
              <w:right w:type="dxa" w:w="90"/>
            </w:tcMar>
          </w:tcPr>
          <w:p>
            <w:pPr>
              <w:spacing w:after="20"/>
            </w:pPr>
            <w:hyperlink w:history="1" r:id="rIdeg15nler_7kk-1wiewjls">
              <w:r>
                <w:rPr>
                  <w:color w:val="1155CC"/>
                  <w:sz w:val="17"/>
                  <w:szCs w:val="17"/>
                  <w:u w:val="single"/>
                </w:rPr>
                <w:t xml:space="preserve">CPCB — National Air Quality Index (portal &amp; methodology)</w:t>
              </w:r>
            </w:hyperlink>
          </w:p>
          <w:p>
            <w:pPr>
              <w:spacing w:after="20"/>
            </w:pPr>
            <w:r>
              <w:rPr>
                <w:i/>
                <w:iCs/>
                <w:color w:val="777777"/>
                <w:sz w:val="14"/>
                <w:szCs w:val="14"/>
              </w:rPr>
              <w:t xml:space="preserve">Central Pollution Control Board, Govt. of India · Standard</w:t>
            </w:r>
          </w:p>
          <w:p>
            <w:pPr>
              <w:spacing w:after="0"/>
            </w:pPr>
            <w:r>
              <w:rPr>
                <w:rFonts w:ascii="Consolas" w:cs="Consolas" w:eastAsia="Consolas" w:hAnsi="Consolas"/>
                <w:color w:val="999999"/>
                <w:sz w:val="13"/>
                <w:szCs w:val="13"/>
              </w:rPr>
              <w:t xml:space="preserve">https://cpcb.nic.in/National-Air-Quality-Index/</w:t>
            </w:r>
          </w:p>
        </w:tc>
        <w:tc>
          <w:tcPr>
            <w:tcW w:type="dxa" w:w="4656"/>
            <w:shd w:fill="FFFFFF" w:val="clear"/>
            <w:tcMar>
              <w:top w:type="dxa" w:w="60"/>
              <w:left w:type="dxa" w:w="90"/>
              <w:bottom w:type="dxa" w:w="60"/>
              <w:right w:type="dxa" w:w="90"/>
            </w:tcMar>
          </w:tcPr>
          <w:p>
            <w:pPr>
              <w:spacing w:after="0"/>
            </w:pPr>
            <w:r>
              <w:rPr>
                <w:sz w:val="17"/>
                <w:szCs w:val="17"/>
              </w:rPr>
              <w:t xml:space="preserve">Defines the sub-index breakpoints and the max-of-sub-indices aggregation rule that the controller's index is built on. Primary standard for Indian deployment.</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2</w:t>
            </w:r>
          </w:p>
        </w:tc>
        <w:tc>
          <w:tcPr>
            <w:tcW w:type="dxa" w:w="4559"/>
            <w:shd w:fill="EDF1F8" w:val="clear"/>
            <w:tcMar>
              <w:top w:type="dxa" w:w="60"/>
              <w:left w:type="dxa" w:w="90"/>
              <w:bottom w:type="dxa" w:w="60"/>
              <w:right w:type="dxa" w:w="90"/>
            </w:tcMar>
          </w:tcPr>
          <w:p>
            <w:pPr>
              <w:spacing w:after="20"/>
            </w:pPr>
            <w:hyperlink w:history="1" r:id="rId3aokqxyxds5molxqp7u7g">
              <w:r>
                <w:rPr>
                  <w:color w:val="1155CC"/>
                  <w:sz w:val="17"/>
                  <w:szCs w:val="17"/>
                  <w:u w:val="single"/>
                </w:rPr>
                <w:t xml:space="preserve">Technical Assistance Document for the Reporting of Daily Air Quality — the AQI</w:t>
              </w:r>
            </w:hyperlink>
          </w:p>
          <w:p>
            <w:pPr>
              <w:spacing w:after="20"/>
            </w:pPr>
            <w:r>
              <w:rPr>
                <w:i/>
                <w:iCs/>
                <w:color w:val="777777"/>
                <w:sz w:val="14"/>
                <w:szCs w:val="14"/>
              </w:rPr>
              <w:t xml:space="preserve">US EPA / AirNow · Standard</w:t>
            </w:r>
          </w:p>
          <w:p>
            <w:pPr>
              <w:spacing w:after="0"/>
            </w:pPr>
            <w:r>
              <w:rPr>
                <w:rFonts w:ascii="Consolas" w:cs="Consolas" w:eastAsia="Consolas" w:hAnsi="Consolas"/>
                <w:color w:val="999999"/>
                <w:sz w:val="13"/>
                <w:szCs w:val="13"/>
              </w:rPr>
              <w:t xml:space="preserve">https://www.airnow.gov/sites/default/files/2020-05/aqi-technical-assistance-document-sept2018.pdf</w:t>
            </w:r>
          </w:p>
        </w:tc>
        <w:tc>
          <w:tcPr>
            <w:tcW w:type="dxa" w:w="4656"/>
            <w:shd w:fill="EDF1F8" w:val="clear"/>
            <w:tcMar>
              <w:top w:type="dxa" w:w="60"/>
              <w:left w:type="dxa" w:w="90"/>
              <w:bottom w:type="dxa" w:w="60"/>
              <w:right w:type="dxa" w:w="90"/>
            </w:tcMar>
          </w:tcPr>
          <w:p>
            <w:pPr>
              <w:spacing w:after="0"/>
            </w:pPr>
            <w:r>
              <w:rPr>
                <w:sz w:val="17"/>
                <w:szCs w:val="17"/>
              </w:rPr>
              <w:t xml:space="preserve">The authoritative definition of AQI breakpoint interpolation and the NowCast weighting used for the project's reporting index.</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w:t>
            </w:r>
          </w:p>
        </w:tc>
        <w:tc>
          <w:tcPr>
            <w:tcW w:type="dxa" w:w="4559"/>
            <w:shd w:fill="FFFFFF" w:val="clear"/>
            <w:tcMar>
              <w:top w:type="dxa" w:w="60"/>
              <w:left w:type="dxa" w:w="90"/>
              <w:bottom w:type="dxa" w:w="60"/>
              <w:right w:type="dxa" w:w="90"/>
            </w:tcMar>
          </w:tcPr>
          <w:p>
            <w:pPr>
              <w:spacing w:after="20"/>
            </w:pPr>
            <w:hyperlink w:history="1" r:id="rIdl7zqimmrk4iumteg3tlqv">
              <w:r>
                <w:rPr>
                  <w:color w:val="1155CC"/>
                  <w:sz w:val="17"/>
                  <w:szCs w:val="17"/>
                  <w:u w:val="single"/>
                </w:rPr>
                <w:t xml:space="preserve">Reconsideration of the NAAQS for Particulate Matter (2024 final rule)</w:t>
              </w:r>
            </w:hyperlink>
          </w:p>
          <w:p>
            <w:pPr>
              <w:spacing w:after="20"/>
            </w:pPr>
            <w:r>
              <w:rPr>
                <w:i/>
                <w:iCs/>
                <w:color w:val="777777"/>
                <w:sz w:val="14"/>
                <w:szCs w:val="14"/>
              </w:rPr>
              <w:t xml:space="preserve">US EPA · Federal Register · Regulation</w:t>
            </w:r>
          </w:p>
          <w:p>
            <w:pPr>
              <w:spacing w:after="0"/>
            </w:pPr>
            <w:r>
              <w:rPr>
                <w:rFonts w:ascii="Consolas" w:cs="Consolas" w:eastAsia="Consolas" w:hAnsi="Consolas"/>
                <w:color w:val="999999"/>
                <w:sz w:val="13"/>
                <w:szCs w:val="13"/>
              </w:rPr>
              <w:t xml:space="preserve">https://www.federalregister.gov/documents/2024/03/06/2024-02637/reconsideration-of-the-national-ambient-air-quality-standards-for-particulate-matter</w:t>
            </w:r>
          </w:p>
        </w:tc>
        <w:tc>
          <w:tcPr>
            <w:tcW w:type="dxa" w:w="4656"/>
            <w:shd w:fill="FFFFFF" w:val="clear"/>
            <w:tcMar>
              <w:top w:type="dxa" w:w="60"/>
              <w:left w:type="dxa" w:w="90"/>
              <w:bottom w:type="dxa" w:w="60"/>
              <w:right w:type="dxa" w:w="90"/>
            </w:tcMar>
          </w:tcPr>
          <w:p>
            <w:pPr>
              <w:spacing w:after="0"/>
            </w:pPr>
            <w:r>
              <w:rPr>
                <w:sz w:val="17"/>
                <w:szCs w:val="17"/>
              </w:rPr>
              <w:t xml:space="preserve">Source of the 2024 PM2.5 breakpoint revision (Good ceiling 12.0 → 9.0 µg/m³) used in the optional EPA index mode.</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w:t>
            </w:r>
          </w:p>
        </w:tc>
        <w:tc>
          <w:tcPr>
            <w:tcW w:type="dxa" w:w="4559"/>
            <w:shd w:fill="EDF1F8" w:val="clear"/>
            <w:tcMar>
              <w:top w:type="dxa" w:w="60"/>
              <w:left w:type="dxa" w:w="90"/>
              <w:bottom w:type="dxa" w:w="60"/>
              <w:right w:type="dxa" w:w="90"/>
            </w:tcMar>
          </w:tcPr>
          <w:p>
            <w:pPr>
              <w:spacing w:after="20"/>
            </w:pPr>
            <w:hyperlink w:history="1" r:id="rIdrksawzj_ravjtxk3hx1aw">
              <w:r>
                <w:rPr>
                  <w:color w:val="1155CC"/>
                  <w:sz w:val="17"/>
                  <w:szCs w:val="17"/>
                  <w:u w:val="single"/>
                </w:rPr>
                <w:t xml:space="preserve">WHO Global Air Quality Guidelines (2021): PM, O3, NO2, SO2 and CO</w:t>
              </w:r>
            </w:hyperlink>
          </w:p>
          <w:p>
            <w:pPr>
              <w:spacing w:after="20"/>
            </w:pPr>
            <w:r>
              <w:rPr>
                <w:i/>
                <w:iCs/>
                <w:color w:val="777777"/>
                <w:sz w:val="14"/>
                <w:szCs w:val="14"/>
              </w:rPr>
              <w:t xml:space="preserve">World Health Organization · Guideline</w:t>
            </w:r>
          </w:p>
          <w:p>
            <w:pPr>
              <w:spacing w:after="0"/>
            </w:pPr>
            <w:r>
              <w:rPr>
                <w:rFonts w:ascii="Consolas" w:cs="Consolas" w:eastAsia="Consolas" w:hAnsi="Consolas"/>
                <w:color w:val="999999"/>
                <w:sz w:val="13"/>
                <w:szCs w:val="13"/>
              </w:rPr>
              <w:t xml:space="preserve">https://iris.who.int/handle/10665/345329</w:t>
            </w:r>
          </w:p>
        </w:tc>
        <w:tc>
          <w:tcPr>
            <w:tcW w:type="dxa" w:w="4656"/>
            <w:shd w:fill="EDF1F8" w:val="clear"/>
            <w:tcMar>
              <w:top w:type="dxa" w:w="60"/>
              <w:left w:type="dxa" w:w="90"/>
              <w:bottom w:type="dxa" w:w="60"/>
              <w:right w:type="dxa" w:w="90"/>
            </w:tcMar>
          </w:tcPr>
          <w:p>
            <w:pPr>
              <w:spacing w:after="0"/>
            </w:pPr>
            <w:r>
              <w:rPr>
                <w:sz w:val="17"/>
                <w:szCs w:val="17"/>
              </w:rPr>
              <w:t xml:space="preserve">Establishes the health basis for why sub-100 index targets matter; frames the societal impact argument in Section 15.</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5</w:t>
            </w:r>
          </w:p>
        </w:tc>
        <w:tc>
          <w:tcPr>
            <w:tcW w:type="dxa" w:w="4559"/>
            <w:shd w:fill="FFFFFF" w:val="clear"/>
            <w:tcMar>
              <w:top w:type="dxa" w:w="60"/>
              <w:left w:type="dxa" w:w="90"/>
              <w:bottom w:type="dxa" w:w="60"/>
              <w:right w:type="dxa" w:w="90"/>
            </w:tcMar>
          </w:tcPr>
          <w:p>
            <w:pPr>
              <w:spacing w:after="20"/>
            </w:pPr>
            <w:hyperlink w:history="1" r:id="rId65zzlr5zlewboiw_1-qn9">
              <w:r>
                <w:rPr>
                  <w:color w:val="1155CC"/>
                  <w:sz w:val="17"/>
                  <w:szCs w:val="17"/>
                  <w:u w:val="single"/>
                </w:rPr>
                <w:t xml:space="preserve">ASHRAE Position Document on Indoor Carbon Dioxide</w:t>
              </w:r>
            </w:hyperlink>
          </w:p>
          <w:p>
            <w:pPr>
              <w:spacing w:after="20"/>
            </w:pPr>
            <w:r>
              <w:rPr>
                <w:i/>
                <w:iCs/>
                <w:color w:val="777777"/>
                <w:sz w:val="14"/>
                <w:szCs w:val="14"/>
              </w:rPr>
              <w:t xml:space="preserve">ASHRAE · Position document</w:t>
            </w:r>
          </w:p>
          <w:p>
            <w:pPr>
              <w:spacing w:after="0"/>
            </w:pPr>
            <w:r>
              <w:rPr>
                <w:rFonts w:ascii="Consolas" w:cs="Consolas" w:eastAsia="Consolas" w:hAnsi="Consolas"/>
                <w:color w:val="999999"/>
                <w:sz w:val="13"/>
                <w:szCs w:val="13"/>
              </w:rPr>
              <w:t xml:space="preserve">https://www.ashrae.org/file%20library/about/position%20documents/pd-on-indoor-carbon-dioxide-english.pdf</w:t>
            </w:r>
          </w:p>
        </w:tc>
        <w:tc>
          <w:tcPr>
            <w:tcW w:type="dxa" w:w="4656"/>
            <w:shd w:fill="FFFFFF" w:val="clear"/>
            <w:tcMar>
              <w:top w:type="dxa" w:w="60"/>
              <w:left w:type="dxa" w:w="90"/>
              <w:bottom w:type="dxa" w:w="60"/>
              <w:right w:type="dxa" w:w="90"/>
            </w:tcMar>
          </w:tcPr>
          <w:p>
            <w:pPr>
              <w:spacing w:after="0"/>
            </w:pPr>
            <w:r>
              <w:rPr>
                <w:sz w:val="17"/>
                <w:szCs w:val="17"/>
              </w:rPr>
              <w:t xml:space="preserve">Basis for the project-defined CO2 sub-index anchors and the correct — and incorrect — ways to use CO2 as a ventilation proxy.</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6</w:t>
            </w:r>
          </w:p>
        </w:tc>
        <w:tc>
          <w:tcPr>
            <w:tcW w:type="dxa" w:w="4559"/>
            <w:shd w:fill="EDF1F8" w:val="clear"/>
            <w:tcMar>
              <w:top w:type="dxa" w:w="60"/>
              <w:left w:type="dxa" w:w="90"/>
              <w:bottom w:type="dxa" w:w="60"/>
              <w:right w:type="dxa" w:w="90"/>
            </w:tcMar>
          </w:tcPr>
          <w:p>
            <w:pPr>
              <w:spacing w:after="20"/>
            </w:pPr>
            <w:hyperlink w:history="1" r:id="rId7vqslkp64n7v7-qwvwmkq">
              <w:r>
                <w:rPr>
                  <w:color w:val="1155CC"/>
                  <w:sz w:val="17"/>
                  <w:szCs w:val="17"/>
                  <w:u w:val="single"/>
                </w:rPr>
                <w:t xml:space="preserve">ASTM E741 — Determining Air Change in a Single Zone by Means of a Tracer Gas Dilution</w:t>
              </w:r>
            </w:hyperlink>
          </w:p>
          <w:p>
            <w:pPr>
              <w:spacing w:after="20"/>
            </w:pPr>
            <w:r>
              <w:rPr>
                <w:i/>
                <w:iCs/>
                <w:color w:val="777777"/>
                <w:sz w:val="14"/>
                <w:szCs w:val="14"/>
              </w:rPr>
              <w:t xml:space="preserve">ASTM International · Test standard</w:t>
            </w:r>
          </w:p>
          <w:p>
            <w:pPr>
              <w:spacing w:after="0"/>
            </w:pPr>
            <w:r>
              <w:rPr>
                <w:rFonts w:ascii="Consolas" w:cs="Consolas" w:eastAsia="Consolas" w:hAnsi="Consolas"/>
                <w:color w:val="999999"/>
                <w:sz w:val="13"/>
                <w:szCs w:val="13"/>
              </w:rPr>
              <w:t xml:space="preserve">https://www.astm.org/Standards/E741.htm</w:t>
            </w:r>
          </w:p>
        </w:tc>
        <w:tc>
          <w:tcPr>
            <w:tcW w:type="dxa" w:w="4656"/>
            <w:shd w:fill="EDF1F8" w:val="clear"/>
            <w:tcMar>
              <w:top w:type="dxa" w:w="60"/>
              <w:left w:type="dxa" w:w="90"/>
              <w:bottom w:type="dxa" w:w="60"/>
              <w:right w:type="dxa" w:w="90"/>
            </w:tcMar>
          </w:tcPr>
          <w:p>
            <w:pPr>
              <w:spacing w:after="0"/>
            </w:pPr>
            <w:r>
              <w:rPr>
                <w:sz w:val="17"/>
                <w:szCs w:val="17"/>
              </w:rPr>
              <w:t xml:space="preserve">The standard method behind the project's three-step identification chain: CO2 tracer decay is how Q(u) and the leak rate are measured.</w:t>
            </w:r>
          </w:p>
        </w:tc>
      </w:tr>
    </w:tbl>
    <w:p>
      <w:pPr>
        <w:spacing w:after="120"/>
      </w:pPr>
    </w:p>
    <w:p>
      <w:pPr>
        <w:pStyle w:val="Heading1"/>
      </w:pPr>
      <w:r>
        <w:t xml:space="preserve">2. Sensor and power-stage datasheets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7</w:t>
            </w:r>
          </w:p>
        </w:tc>
        <w:tc>
          <w:tcPr>
            <w:tcW w:type="dxa" w:w="4559"/>
            <w:shd w:fill="FFFFFF" w:val="clear"/>
            <w:tcMar>
              <w:top w:type="dxa" w:w="60"/>
              <w:left w:type="dxa" w:w="90"/>
              <w:bottom w:type="dxa" w:w="60"/>
              <w:right w:type="dxa" w:w="90"/>
            </w:tcMar>
          </w:tcPr>
          <w:p>
            <w:pPr>
              <w:spacing w:after="20"/>
            </w:pPr>
            <w:hyperlink w:history="1" r:id="rIdnua_k4hdvywy5oaxjkxuh">
              <w:r>
                <w:rPr>
                  <w:color w:val="1155CC"/>
                  <w:sz w:val="17"/>
                  <w:szCs w:val="17"/>
                  <w:u w:val="single"/>
                </w:rPr>
                <w:t xml:space="preserve">Plantower PMS5003 series manual</w:t>
              </w:r>
            </w:hyperlink>
          </w:p>
          <w:p>
            <w:pPr>
              <w:spacing w:after="20"/>
            </w:pPr>
            <w:r>
              <w:rPr>
                <w:i/>
                <w:iCs/>
                <w:color w:val="777777"/>
                <w:sz w:val="14"/>
                <w:szCs w:val="14"/>
              </w:rPr>
              <w:t xml:space="preserve">Plantower · Datasheet</w:t>
            </w:r>
          </w:p>
          <w:p>
            <w:pPr>
              <w:spacing w:after="0"/>
            </w:pPr>
            <w:r>
              <w:rPr>
                <w:rFonts w:ascii="Consolas" w:cs="Consolas" w:eastAsia="Consolas" w:hAnsi="Consolas"/>
                <w:color w:val="999999"/>
                <w:sz w:val="13"/>
                <w:szCs w:val="13"/>
              </w:rPr>
              <w:t xml:space="preserve">https://www.digikey.lt/htmldatasheets/production/2903006/0/0/1/pms5003-series-manual.html</w:t>
            </w:r>
          </w:p>
        </w:tc>
        <w:tc>
          <w:tcPr>
            <w:tcW w:type="dxa" w:w="4656"/>
            <w:shd w:fill="FFFFFF" w:val="clear"/>
            <w:tcMar>
              <w:top w:type="dxa" w:w="60"/>
              <w:left w:type="dxa" w:w="90"/>
              <w:bottom w:type="dxa" w:w="60"/>
              <w:right w:type="dxa" w:w="90"/>
            </w:tcMar>
          </w:tcPr>
          <w:p>
            <w:pPr>
              <w:spacing w:after="0"/>
            </w:pPr>
            <w:r>
              <w:rPr>
                <w:sz w:val="17"/>
                <w:szCs w:val="17"/>
              </w:rPr>
              <w:t xml:space="preserve">Frame format, 30 s spin-up, ≤100 mA running / &lt;200 µA standby, MTTF ≥ 3 years — the numbers behind the power budget and the duty-cycling policy.</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8</w:t>
            </w:r>
          </w:p>
        </w:tc>
        <w:tc>
          <w:tcPr>
            <w:tcW w:type="dxa" w:w="4559"/>
            <w:shd w:fill="EDF1F8" w:val="clear"/>
            <w:tcMar>
              <w:top w:type="dxa" w:w="60"/>
              <w:left w:type="dxa" w:w="90"/>
              <w:bottom w:type="dxa" w:w="60"/>
              <w:right w:type="dxa" w:w="90"/>
            </w:tcMar>
          </w:tcPr>
          <w:p>
            <w:pPr>
              <w:spacing w:after="20"/>
            </w:pPr>
            <w:hyperlink w:history="1" r:id="rIdcqtnfekktihnj8bklue0t">
              <w:r>
                <w:rPr>
                  <w:color w:val="1155CC"/>
                  <w:sz w:val="17"/>
                  <w:szCs w:val="17"/>
                  <w:u w:val="single"/>
                </w:rPr>
                <w:t xml:space="preserve">Nova Fitness SDS011 Laser PM2.5 Sensor specification</w:t>
              </w:r>
            </w:hyperlink>
          </w:p>
          <w:p>
            <w:pPr>
              <w:spacing w:after="20"/>
            </w:pPr>
            <w:r>
              <w:rPr>
                <w:i/>
                <w:iCs/>
                <w:color w:val="777777"/>
                <w:sz w:val="14"/>
                <w:szCs w:val="14"/>
              </w:rPr>
              <w:t xml:space="preserve">Nova Fitness · Datasheet</w:t>
            </w:r>
          </w:p>
          <w:p>
            <w:pPr>
              <w:spacing w:after="0"/>
            </w:pPr>
            <w:r>
              <w:rPr>
                <w:rFonts w:ascii="Consolas" w:cs="Consolas" w:eastAsia="Consolas" w:hAnsi="Consolas"/>
                <w:color w:val="999999"/>
                <w:sz w:val="13"/>
                <w:szCs w:val="13"/>
              </w:rPr>
              <w:t xml:space="preserve">https://components101.com/sites/default/files/component_datasheet/SDS011-Sensor-Datasheet.pdf</w:t>
            </w:r>
          </w:p>
        </w:tc>
        <w:tc>
          <w:tcPr>
            <w:tcW w:type="dxa" w:w="4656"/>
            <w:shd w:fill="EDF1F8" w:val="clear"/>
            <w:tcMar>
              <w:top w:type="dxa" w:w="60"/>
              <w:left w:type="dxa" w:w="90"/>
              <w:bottom w:type="dxa" w:w="60"/>
              <w:right w:type="dxa" w:w="90"/>
            </w:tcMar>
          </w:tcPr>
          <w:p>
            <w:pPr>
              <w:spacing w:after="0"/>
            </w:pPr>
            <w:r>
              <w:rPr>
                <w:sz w:val="17"/>
                <w:szCs w:val="17"/>
              </w:rPr>
              <w:t xml:space="preserve">The 8,000-hour laser life figure that makes SDS011 the second choice and makes duty-cycling mandatory if it is fitted.</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9</w:t>
            </w:r>
          </w:p>
        </w:tc>
        <w:tc>
          <w:tcPr>
            <w:tcW w:type="dxa" w:w="4559"/>
            <w:shd w:fill="FFFFFF" w:val="clear"/>
            <w:tcMar>
              <w:top w:type="dxa" w:w="60"/>
              <w:left w:type="dxa" w:w="90"/>
              <w:bottom w:type="dxa" w:w="60"/>
              <w:right w:type="dxa" w:w="90"/>
            </w:tcMar>
          </w:tcPr>
          <w:p>
            <w:pPr>
              <w:spacing w:after="20"/>
            </w:pPr>
            <w:hyperlink w:history="1" r:id="rIdcejar3x2frychttfdy6rb">
              <w:r>
                <w:rPr>
                  <w:color w:val="1155CC"/>
                  <w:sz w:val="17"/>
                  <w:szCs w:val="17"/>
                  <w:u w:val="single"/>
                </w:rPr>
                <w:t xml:space="preserve">Winsen MH-Z19B Intelligent Infrared CO2 Module</w:t>
              </w:r>
            </w:hyperlink>
          </w:p>
          <w:p>
            <w:pPr>
              <w:spacing w:after="20"/>
            </w:pPr>
            <w:r>
              <w:rPr>
                <w:i/>
                <w:iCs/>
                <w:color w:val="777777"/>
                <w:sz w:val="14"/>
                <w:szCs w:val="14"/>
              </w:rPr>
              <w:t xml:space="preserve">Winsen · Datasheet</w:t>
            </w:r>
          </w:p>
          <w:p>
            <w:pPr>
              <w:spacing w:after="0"/>
            </w:pPr>
            <w:r>
              <w:rPr>
                <w:rFonts w:ascii="Consolas" w:cs="Consolas" w:eastAsia="Consolas" w:hAnsi="Consolas"/>
                <w:color w:val="999999"/>
                <w:sz w:val="13"/>
                <w:szCs w:val="13"/>
              </w:rPr>
              <w:t xml:space="preserve">https://www.winsen-sensor.com/d/files/MH-Z19B.pdf</w:t>
            </w:r>
          </w:p>
        </w:tc>
        <w:tc>
          <w:tcPr>
            <w:tcW w:type="dxa" w:w="4656"/>
            <w:shd w:fill="FFFFFF" w:val="clear"/>
            <w:tcMar>
              <w:top w:type="dxa" w:w="60"/>
              <w:left w:type="dxa" w:w="90"/>
              <w:bottom w:type="dxa" w:w="60"/>
              <w:right w:type="dxa" w:w="90"/>
            </w:tcMar>
          </w:tcPr>
          <w:p>
            <w:pPr>
              <w:spacing w:after="0"/>
            </w:pPr>
            <w:r>
              <w:rPr>
                <w:sz w:val="17"/>
                <w:szCs w:val="17"/>
              </w:rPr>
              <w:t xml:space="preserve">UART protocol, 180 s warm-up, &lt;20 mA / 150 mA peak, and the ABC self-calibration disable command that the firmware must send at every boot.</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10</w:t>
            </w:r>
          </w:p>
        </w:tc>
        <w:tc>
          <w:tcPr>
            <w:tcW w:type="dxa" w:w="4559"/>
            <w:shd w:fill="EDF1F8" w:val="clear"/>
            <w:tcMar>
              <w:top w:type="dxa" w:w="60"/>
              <w:left w:type="dxa" w:w="90"/>
              <w:bottom w:type="dxa" w:w="60"/>
              <w:right w:type="dxa" w:w="90"/>
            </w:tcMar>
          </w:tcPr>
          <w:p>
            <w:pPr>
              <w:spacing w:after="20"/>
            </w:pPr>
            <w:hyperlink w:history="1" r:id="rIde809cck35konpawdc1ise">
              <w:r>
                <w:rPr>
                  <w:color w:val="1155CC"/>
                  <w:sz w:val="17"/>
                  <w:szCs w:val="17"/>
                  <w:u w:val="single"/>
                </w:rPr>
                <w:t xml:space="preserve">Winsen MQ-135 Air Quality Gas Sensor manual</w:t>
              </w:r>
            </w:hyperlink>
          </w:p>
          <w:p>
            <w:pPr>
              <w:spacing w:after="20"/>
            </w:pPr>
            <w:r>
              <w:rPr>
                <w:i/>
                <w:iCs/>
                <w:color w:val="777777"/>
                <w:sz w:val="14"/>
                <w:szCs w:val="14"/>
              </w:rPr>
              <w:t xml:space="preserve">Winsen · Datasheet</w:t>
            </w:r>
          </w:p>
          <w:p>
            <w:pPr>
              <w:spacing w:after="0"/>
            </w:pPr>
            <w:r>
              <w:rPr>
                <w:rFonts w:ascii="Consolas" w:cs="Consolas" w:eastAsia="Consolas" w:hAnsi="Consolas"/>
                <w:color w:val="999999"/>
                <w:sz w:val="13"/>
                <w:szCs w:val="13"/>
              </w:rPr>
              <w:t xml:space="preserve">https://www.winsen-sensor.com/d/files/manual/mq135.pdf</w:t>
            </w:r>
          </w:p>
        </w:tc>
        <w:tc>
          <w:tcPr>
            <w:tcW w:type="dxa" w:w="4656"/>
            <w:shd w:fill="EDF1F8" w:val="clear"/>
            <w:tcMar>
              <w:top w:type="dxa" w:w="60"/>
              <w:left w:type="dxa" w:w="90"/>
              <w:bottom w:type="dxa" w:w="60"/>
              <w:right w:type="dxa" w:w="90"/>
            </w:tcMar>
          </w:tcPr>
          <w:p>
            <w:pPr>
              <w:spacing w:after="0"/>
            </w:pPr>
            <w:r>
              <w:rPr>
                <w:sz w:val="17"/>
                <w:szCs w:val="17"/>
              </w:rPr>
              <w:t xml:space="preserve">Heater power, load-resistor circuit and the Rs/R0 sensitivity curves — and the evidence that its ppm curves are single-analyte extrapolations, not CO2 measurements.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11</w:t>
            </w:r>
          </w:p>
        </w:tc>
        <w:tc>
          <w:tcPr>
            <w:tcW w:type="dxa" w:w="4559"/>
            <w:shd w:fill="FFFFFF" w:val="clear"/>
            <w:tcMar>
              <w:top w:type="dxa" w:w="60"/>
              <w:left w:type="dxa" w:w="90"/>
              <w:bottom w:type="dxa" w:w="60"/>
              <w:right w:type="dxa" w:w="90"/>
            </w:tcMar>
          </w:tcPr>
          <w:p>
            <w:pPr>
              <w:spacing w:after="20"/>
            </w:pPr>
            <w:hyperlink w:history="1" r:id="rIdrpouiobgwpvyqrl3cfy77">
              <w:r>
                <w:rPr>
                  <w:color w:val="1155CC"/>
                  <w:sz w:val="17"/>
                  <w:szCs w:val="17"/>
                  <w:u w:val="single"/>
                </w:rPr>
                <w:t xml:space="preserve">Winsen MQ-2 Flammable Gas Sensor manual</w:t>
              </w:r>
            </w:hyperlink>
          </w:p>
          <w:p>
            <w:pPr>
              <w:spacing w:after="20"/>
            </w:pPr>
            <w:r>
              <w:rPr>
                <w:i/>
                <w:iCs/>
                <w:color w:val="777777"/>
                <w:sz w:val="14"/>
                <w:szCs w:val="14"/>
              </w:rPr>
              <w:t xml:space="preserve">Winsen · Datasheet</w:t>
            </w:r>
          </w:p>
          <w:p>
            <w:pPr>
              <w:spacing w:after="0"/>
            </w:pPr>
            <w:r>
              <w:rPr>
                <w:rFonts w:ascii="Consolas" w:cs="Consolas" w:eastAsia="Consolas" w:hAnsi="Consolas"/>
                <w:color w:val="999999"/>
                <w:sz w:val="13"/>
                <w:szCs w:val="13"/>
              </w:rPr>
              <w:t xml:space="preserve">https://www.winsen-sensor.com/d/files/newpdf/mq-2-(ver1_6)---manual.pdf</w:t>
            </w:r>
          </w:p>
        </w:tc>
        <w:tc>
          <w:tcPr>
            <w:tcW w:type="dxa" w:w="4656"/>
            <w:shd w:fill="FFFFFF" w:val="clear"/>
            <w:tcMar>
              <w:top w:type="dxa" w:w="60"/>
              <w:left w:type="dxa" w:w="90"/>
              <w:bottom w:type="dxa" w:w="60"/>
              <w:right w:type="dxa" w:w="90"/>
            </w:tcMar>
          </w:tcPr>
          <w:p>
            <w:pPr>
              <w:spacing w:after="0"/>
            </w:pPr>
            <w:r>
              <w:rPr>
                <w:sz w:val="17"/>
                <w:szCs w:val="17"/>
              </w:rPr>
              <w:t xml:space="preserve">Defines what the flammable-gas interlock is actually detecting, and the burn-in and temperature/humidity dependence that shape the safety threshold.</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12</w:t>
            </w:r>
          </w:p>
        </w:tc>
        <w:tc>
          <w:tcPr>
            <w:tcW w:type="dxa" w:w="4559"/>
            <w:shd w:fill="EDF1F8" w:val="clear"/>
            <w:tcMar>
              <w:top w:type="dxa" w:w="60"/>
              <w:left w:type="dxa" w:w="90"/>
              <w:bottom w:type="dxa" w:w="60"/>
              <w:right w:type="dxa" w:w="90"/>
            </w:tcMar>
          </w:tcPr>
          <w:p>
            <w:pPr>
              <w:spacing w:after="20"/>
            </w:pPr>
            <w:hyperlink w:history="1" r:id="rIdsv5f7u4hduhb7of7bqijb">
              <w:r>
                <w:rPr>
                  <w:color w:val="1155CC"/>
                  <w:sz w:val="17"/>
                  <w:szCs w:val="17"/>
                  <w:u w:val="single"/>
                </w:rPr>
                <w:t xml:space="preserve">AM2302 / DHT22 digital temperature and humidity sensor</w:t>
              </w:r>
            </w:hyperlink>
          </w:p>
          <w:p>
            <w:pPr>
              <w:spacing w:after="20"/>
            </w:pPr>
            <w:r>
              <w:rPr>
                <w:i/>
                <w:iCs/>
                <w:color w:val="777777"/>
                <w:sz w:val="14"/>
                <w:szCs w:val="14"/>
              </w:rPr>
              <w:t xml:space="preserve">Aosong · Datasheet</w:t>
            </w:r>
          </w:p>
          <w:p>
            <w:pPr>
              <w:spacing w:after="0"/>
            </w:pPr>
            <w:r>
              <w:rPr>
                <w:rFonts w:ascii="Consolas" w:cs="Consolas" w:eastAsia="Consolas" w:hAnsi="Consolas"/>
                <w:color w:val="999999"/>
                <w:sz w:val="13"/>
                <w:szCs w:val="13"/>
              </w:rPr>
              <w:t xml:space="preserve">https://www.sparkfun.com/datasheets/Sensors/Temperature/DHT22.pdf</w:t>
            </w:r>
          </w:p>
        </w:tc>
        <w:tc>
          <w:tcPr>
            <w:tcW w:type="dxa" w:w="4656"/>
            <w:shd w:fill="EDF1F8" w:val="clear"/>
            <w:tcMar>
              <w:top w:type="dxa" w:w="60"/>
              <w:left w:type="dxa" w:w="90"/>
              <w:bottom w:type="dxa" w:w="60"/>
              <w:right w:type="dxa" w:w="90"/>
            </w:tcMar>
          </w:tcPr>
          <w:p>
            <w:pPr>
              <w:spacing w:after="0"/>
            </w:pPr>
            <w:r>
              <w:rPr>
                <w:sz w:val="17"/>
                <w:szCs w:val="17"/>
              </w:rPr>
              <w:t xml:space="preserve">The 2-second minimum sampling interval and the ±0.5 °C / ±2–5 % RH accuracy that bound the humidity corrections.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13</w:t>
            </w:r>
          </w:p>
        </w:tc>
        <w:tc>
          <w:tcPr>
            <w:tcW w:type="dxa" w:w="4559"/>
            <w:shd w:fill="FFFFFF" w:val="clear"/>
            <w:tcMar>
              <w:top w:type="dxa" w:w="60"/>
              <w:left w:type="dxa" w:w="90"/>
              <w:bottom w:type="dxa" w:w="60"/>
              <w:right w:type="dxa" w:w="90"/>
            </w:tcMar>
          </w:tcPr>
          <w:p>
            <w:pPr>
              <w:spacing w:after="20"/>
            </w:pPr>
            <w:hyperlink w:history="1" r:id="rId_gkduw3cmbomfdoft2dg6">
              <w:r>
                <w:rPr>
                  <w:color w:val="1155CC"/>
                  <w:sz w:val="17"/>
                  <w:szCs w:val="17"/>
                  <w:u w:val="single"/>
                </w:rPr>
                <w:t xml:space="preserve">Vishay IRF520 / SiHF520 Power MOSFET</w:t>
              </w:r>
            </w:hyperlink>
          </w:p>
          <w:p>
            <w:pPr>
              <w:spacing w:after="20"/>
            </w:pPr>
            <w:r>
              <w:rPr>
                <w:i/>
                <w:iCs/>
                <w:color w:val="777777"/>
                <w:sz w:val="14"/>
                <w:szCs w:val="14"/>
              </w:rPr>
              <w:t xml:space="preserve">Vishay Siliconix · Datasheet</w:t>
            </w:r>
          </w:p>
          <w:p>
            <w:pPr>
              <w:spacing w:after="0"/>
            </w:pPr>
            <w:r>
              <w:rPr>
                <w:rFonts w:ascii="Consolas" w:cs="Consolas" w:eastAsia="Consolas" w:hAnsi="Consolas"/>
                <w:color w:val="999999"/>
                <w:sz w:val="13"/>
                <w:szCs w:val="13"/>
              </w:rPr>
              <w:t xml:space="preserve">https://www.vishay.com/docs/91017/irf520.pdf</w:t>
            </w:r>
          </w:p>
        </w:tc>
        <w:tc>
          <w:tcPr>
            <w:tcW w:type="dxa" w:w="4656"/>
            <w:shd w:fill="FFFFFF" w:val="clear"/>
            <w:tcMar>
              <w:top w:type="dxa" w:w="60"/>
              <w:left w:type="dxa" w:w="90"/>
              <w:bottom w:type="dxa" w:w="60"/>
              <w:right w:type="dxa" w:w="90"/>
            </w:tcMar>
          </w:tcPr>
          <w:p>
            <w:pPr>
              <w:spacing w:after="0"/>
            </w:pPr>
            <w:r>
              <w:rPr>
                <w:sz w:val="17"/>
                <w:szCs w:val="17"/>
              </w:rPr>
              <w:t xml:space="preserve">VGS(th) of 2.0–4.0 V and RDS(on) specified at VGS = 10 V — the datasheet evidence that a 3.3 V GPIO cannot drive this part and a gate driver is mandatory.</w:t>
            </w:r>
          </w:p>
        </w:tc>
      </w:tr>
    </w:tbl>
    <w:p>
      <w:pPr>
        <w:spacing w:after="120"/>
      </w:pPr>
    </w:p>
    <w:p>
      <w:pPr>
        <w:pStyle w:val="Heading1"/>
      </w:pPr>
      <w:r>
        <w:t xml:space="preserve">3. ESP32, firmware and the embedded platform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14</w:t>
            </w:r>
          </w:p>
        </w:tc>
        <w:tc>
          <w:tcPr>
            <w:tcW w:type="dxa" w:w="4559"/>
            <w:shd w:fill="FFFFFF" w:val="clear"/>
            <w:tcMar>
              <w:top w:type="dxa" w:w="60"/>
              <w:left w:type="dxa" w:w="90"/>
              <w:bottom w:type="dxa" w:w="60"/>
              <w:right w:type="dxa" w:w="90"/>
            </w:tcMar>
          </w:tcPr>
          <w:p>
            <w:pPr>
              <w:spacing w:after="20"/>
            </w:pPr>
            <w:hyperlink w:history="1" r:id="rIdqy7miksbs_tvtsx-id9bu">
              <w:r>
                <w:rPr>
                  <w:color w:val="1155CC"/>
                  <w:sz w:val="17"/>
                  <w:szCs w:val="17"/>
                  <w:u w:val="single"/>
                </w:rPr>
                <w:t xml:space="preserve">ESP-IDF Programming Guide (ESP32)</w:t>
              </w:r>
            </w:hyperlink>
          </w:p>
          <w:p>
            <w:pPr>
              <w:spacing w:after="20"/>
            </w:pPr>
            <w:r>
              <w:rPr>
                <w:i/>
                <w:iCs/>
                <w:color w:val="777777"/>
                <w:sz w:val="14"/>
                <w:szCs w:val="14"/>
              </w:rPr>
              <w:t xml:space="preserve">Espressif · Official documentation</w:t>
            </w:r>
          </w:p>
          <w:p>
            <w:pPr>
              <w:spacing w:after="0"/>
            </w:pPr>
            <w:r>
              <w:rPr>
                <w:rFonts w:ascii="Consolas" w:cs="Consolas" w:eastAsia="Consolas" w:hAnsi="Consolas"/>
                <w:color w:val="999999"/>
                <w:sz w:val="13"/>
                <w:szCs w:val="13"/>
              </w:rPr>
              <w:t xml:space="preserve">https://docs.espressif.com/projects/esp-idf/en/stable/esp32/index.html</w:t>
            </w:r>
          </w:p>
        </w:tc>
        <w:tc>
          <w:tcPr>
            <w:tcW w:type="dxa" w:w="4656"/>
            <w:shd w:fill="FFFFFF" w:val="clear"/>
            <w:tcMar>
              <w:top w:type="dxa" w:w="60"/>
              <w:left w:type="dxa" w:w="90"/>
              <w:bottom w:type="dxa" w:w="60"/>
              <w:right w:type="dxa" w:w="90"/>
            </w:tcMar>
          </w:tcPr>
          <w:p>
            <w:pPr>
              <w:spacing w:after="0"/>
            </w:pPr>
            <w:r>
              <w:rPr>
                <w:sz w:val="17"/>
                <w:szCs w:val="17"/>
              </w:rPr>
              <w:t xml:space="preserve">The build system, FreeRTOS integration, NVS, OTA, flash encryption and secure boot the firmware architecture is specified against.</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15</w:t>
            </w:r>
          </w:p>
        </w:tc>
        <w:tc>
          <w:tcPr>
            <w:tcW w:type="dxa" w:w="4559"/>
            <w:shd w:fill="EDF1F8" w:val="clear"/>
            <w:tcMar>
              <w:top w:type="dxa" w:w="60"/>
              <w:left w:type="dxa" w:w="90"/>
              <w:bottom w:type="dxa" w:w="60"/>
              <w:right w:type="dxa" w:w="90"/>
            </w:tcMar>
          </w:tcPr>
          <w:p>
            <w:pPr>
              <w:spacing w:after="20"/>
            </w:pPr>
            <w:hyperlink w:history="1" r:id="rId9nvul87p3yzquky0hsu1e">
              <w:r>
                <w:rPr>
                  <w:color w:val="1155CC"/>
                  <w:sz w:val="17"/>
                  <w:szCs w:val="17"/>
                  <w:u w:val="single"/>
                </w:rPr>
                <w:t xml:space="preserve">ESP-IDF LEDC (PWM) API reference</w:t>
              </w:r>
            </w:hyperlink>
          </w:p>
          <w:p>
            <w:pPr>
              <w:spacing w:after="20"/>
            </w:pPr>
            <w:r>
              <w:rPr>
                <w:i/>
                <w:iCs/>
                <w:color w:val="777777"/>
                <w:sz w:val="14"/>
                <w:szCs w:val="14"/>
              </w:rPr>
              <w:t xml:space="preserve">Espressif · Official documentation</w:t>
            </w:r>
          </w:p>
          <w:p>
            <w:pPr>
              <w:spacing w:after="0"/>
            </w:pPr>
            <w:r>
              <w:rPr>
                <w:rFonts w:ascii="Consolas" w:cs="Consolas" w:eastAsia="Consolas" w:hAnsi="Consolas"/>
                <w:color w:val="999999"/>
                <w:sz w:val="13"/>
                <w:szCs w:val="13"/>
              </w:rPr>
              <w:t xml:space="preserve">https://docs.espressif.com/projects/esp-idf/en/stable/esp32/api-reference/peripherals/ledc.html</w:t>
            </w:r>
          </w:p>
        </w:tc>
        <w:tc>
          <w:tcPr>
            <w:tcW w:type="dxa" w:w="4656"/>
            <w:shd w:fill="EDF1F8" w:val="clear"/>
            <w:tcMar>
              <w:top w:type="dxa" w:w="60"/>
              <w:left w:type="dxa" w:w="90"/>
              <w:bottom w:type="dxa" w:w="60"/>
              <w:right w:type="dxa" w:w="90"/>
            </w:tcMar>
          </w:tcPr>
          <w:p>
            <w:pPr>
              <w:spacing w:after="0"/>
            </w:pPr>
            <w:r>
              <w:rPr>
                <w:sz w:val="17"/>
                <w:szCs w:val="17"/>
              </w:rPr>
              <w:t xml:space="preserve">Confirms the frequency-versus-resolution trade-off that fixes the design at 11-bit resolution at 20 kHz.</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16</w:t>
            </w:r>
          </w:p>
        </w:tc>
        <w:tc>
          <w:tcPr>
            <w:tcW w:type="dxa" w:w="4559"/>
            <w:shd w:fill="FFFFFF" w:val="clear"/>
            <w:tcMar>
              <w:top w:type="dxa" w:w="60"/>
              <w:left w:type="dxa" w:w="90"/>
              <w:bottom w:type="dxa" w:w="60"/>
              <w:right w:type="dxa" w:w="90"/>
            </w:tcMar>
          </w:tcPr>
          <w:p>
            <w:pPr>
              <w:spacing w:after="20"/>
            </w:pPr>
            <w:hyperlink w:history="1" r:id="rIdgdq6qhx5ybtsobgxqfdnz">
              <w:r>
                <w:rPr>
                  <w:color w:val="1155CC"/>
                  <w:sz w:val="17"/>
                  <w:szCs w:val="17"/>
                  <w:u w:val="single"/>
                </w:rPr>
                <w:t xml:space="preserve">ESP-IDF ADC calibration driver</w:t>
              </w:r>
            </w:hyperlink>
          </w:p>
          <w:p>
            <w:pPr>
              <w:spacing w:after="20"/>
            </w:pPr>
            <w:r>
              <w:rPr>
                <w:i/>
                <w:iCs/>
                <w:color w:val="777777"/>
                <w:sz w:val="14"/>
                <w:szCs w:val="14"/>
              </w:rPr>
              <w:t xml:space="preserve">Espressif · Official documentation</w:t>
            </w:r>
          </w:p>
          <w:p>
            <w:pPr>
              <w:spacing w:after="0"/>
            </w:pPr>
            <w:r>
              <w:rPr>
                <w:rFonts w:ascii="Consolas" w:cs="Consolas" w:eastAsia="Consolas" w:hAnsi="Consolas"/>
                <w:color w:val="999999"/>
                <w:sz w:val="13"/>
                <w:szCs w:val="13"/>
              </w:rPr>
              <w:t xml:space="preserve">https://docs.espressif.com/projects/esp-idf/en/stable/esp32/api-reference/peripherals/adc_calibration.html</w:t>
            </w:r>
          </w:p>
        </w:tc>
        <w:tc>
          <w:tcPr>
            <w:tcW w:type="dxa" w:w="4656"/>
            <w:shd w:fill="FFFFFF" w:val="clear"/>
            <w:tcMar>
              <w:top w:type="dxa" w:w="60"/>
              <w:left w:type="dxa" w:w="90"/>
              <w:bottom w:type="dxa" w:w="60"/>
              <w:right w:type="dxa" w:w="90"/>
            </w:tcMar>
          </w:tcPr>
          <w:p>
            <w:pPr>
              <w:spacing w:after="0"/>
            </w:pPr>
            <w:r>
              <w:rPr>
                <w:sz w:val="17"/>
                <w:szCs w:val="17"/>
              </w:rPr>
              <w:t xml:space="preserve">Two-point and eFuse Vref characterisation, without which the DevKit's ±6 % ADC nonlinearity is indistinguishable from real gas drift.</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17</w:t>
            </w:r>
          </w:p>
        </w:tc>
        <w:tc>
          <w:tcPr>
            <w:tcW w:type="dxa" w:w="4559"/>
            <w:shd w:fill="EDF1F8" w:val="clear"/>
            <w:tcMar>
              <w:top w:type="dxa" w:w="60"/>
              <w:left w:type="dxa" w:w="90"/>
              <w:bottom w:type="dxa" w:w="60"/>
              <w:right w:type="dxa" w:w="90"/>
            </w:tcMar>
          </w:tcPr>
          <w:p>
            <w:pPr>
              <w:spacing w:after="20"/>
            </w:pPr>
            <w:hyperlink w:history="1" r:id="rIdajjf0_yqaujtcejfrrstc">
              <w:r>
                <w:rPr>
                  <w:color w:val="1155CC"/>
                  <w:sz w:val="17"/>
                  <w:szCs w:val="17"/>
                  <w:u w:val="single"/>
                </w:rPr>
                <w:t xml:space="preserve">Arduino ESP32 as an ESP-IDF component</w:t>
              </w:r>
            </w:hyperlink>
          </w:p>
          <w:p>
            <w:pPr>
              <w:spacing w:after="20"/>
            </w:pPr>
            <w:r>
              <w:rPr>
                <w:i/>
                <w:iCs/>
                <w:color w:val="777777"/>
                <w:sz w:val="14"/>
                <w:szCs w:val="14"/>
              </w:rPr>
              <w:t xml:space="preserve">Espressif · Official documentation</w:t>
            </w:r>
          </w:p>
          <w:p>
            <w:pPr>
              <w:spacing w:after="0"/>
            </w:pPr>
            <w:r>
              <w:rPr>
                <w:rFonts w:ascii="Consolas" w:cs="Consolas" w:eastAsia="Consolas" w:hAnsi="Consolas"/>
                <w:color w:val="999999"/>
                <w:sz w:val="13"/>
                <w:szCs w:val="13"/>
              </w:rPr>
              <w:t xml:space="preserve">https://docs.espressif.com/projects/arduino-esp32/en/latest/esp-idf_component.html</w:t>
            </w:r>
          </w:p>
        </w:tc>
        <w:tc>
          <w:tcPr>
            <w:tcW w:type="dxa" w:w="4656"/>
            <w:shd w:fill="EDF1F8" w:val="clear"/>
            <w:tcMar>
              <w:top w:type="dxa" w:w="60"/>
              <w:left w:type="dxa" w:w="90"/>
              <w:bottom w:type="dxa" w:w="60"/>
              <w:right w:type="dxa" w:w="90"/>
            </w:tcMar>
          </w:tcPr>
          <w:p>
            <w:pPr>
              <w:spacing w:after="0"/>
            </w:pPr>
            <w:r>
              <w:rPr>
                <w:sz w:val="17"/>
                <w:szCs w:val="17"/>
              </w:rPr>
              <w:t xml:space="preserve">The documented path for the chosen hybrid firmware stack: IDF build system with Arduino sensor libraries available as a component.</w:t>
            </w:r>
          </w:p>
        </w:tc>
      </w:tr>
    </w:tbl>
    <w:p>
      <w:pPr>
        <w:spacing w:after="120"/>
      </w:pPr>
    </w:p>
    <w:p>
      <w:pPr>
        <w:pStyle w:val="Heading1"/>
      </w:pPr>
      <w:r>
        <w:t xml:space="preserve">4. Transport, backend, database and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18</w:t>
            </w:r>
          </w:p>
        </w:tc>
        <w:tc>
          <w:tcPr>
            <w:tcW w:type="dxa" w:w="4559"/>
            <w:shd w:fill="FFFFFF" w:val="clear"/>
            <w:tcMar>
              <w:top w:type="dxa" w:w="60"/>
              <w:left w:type="dxa" w:w="90"/>
              <w:bottom w:type="dxa" w:w="60"/>
              <w:right w:type="dxa" w:w="90"/>
            </w:tcMar>
          </w:tcPr>
          <w:p>
            <w:pPr>
              <w:spacing w:after="20"/>
            </w:pPr>
            <w:hyperlink w:history="1" r:id="rIdl2qkb2l7nmoclmzirmqpq">
              <w:r>
                <w:rPr>
                  <w:color w:val="1155CC"/>
                  <w:sz w:val="17"/>
                  <w:szCs w:val="17"/>
                  <w:u w:val="single"/>
                </w:rPr>
                <w:t xml:space="preserve">MQTT Version 3.1.1 — OASIS Standard</w:t>
              </w:r>
            </w:hyperlink>
          </w:p>
          <w:p>
            <w:pPr>
              <w:spacing w:after="20"/>
            </w:pPr>
            <w:r>
              <w:rPr>
                <w:i/>
                <w:iCs/>
                <w:color w:val="777777"/>
                <w:sz w:val="14"/>
                <w:szCs w:val="14"/>
              </w:rPr>
              <w:t xml:space="preserve">OASIS · Protocol specification</w:t>
            </w:r>
          </w:p>
          <w:p>
            <w:pPr>
              <w:spacing w:after="0"/>
            </w:pPr>
            <w:r>
              <w:rPr>
                <w:rFonts w:ascii="Consolas" w:cs="Consolas" w:eastAsia="Consolas" w:hAnsi="Consolas"/>
                <w:color w:val="999999"/>
                <w:sz w:val="13"/>
                <w:szCs w:val="13"/>
              </w:rPr>
              <w:t xml:space="preserve">https://docs.oasis-open.org/mqtt/mqtt/v3.1.1/os/mqtt-v3.1.1-os.html</w:t>
            </w:r>
          </w:p>
        </w:tc>
        <w:tc>
          <w:tcPr>
            <w:tcW w:type="dxa" w:w="4656"/>
            <w:shd w:fill="FFFFFF" w:val="clear"/>
            <w:tcMar>
              <w:top w:type="dxa" w:w="60"/>
              <w:left w:type="dxa" w:w="90"/>
              <w:bottom w:type="dxa" w:w="60"/>
              <w:right w:type="dxa" w:w="90"/>
            </w:tcMar>
          </w:tcPr>
          <w:p>
            <w:pPr>
              <w:spacing w:after="0"/>
            </w:pPr>
            <w:r>
              <w:rPr>
                <w:sz w:val="17"/>
                <w:szCs w:val="17"/>
              </w:rPr>
              <w:t xml:space="preserve">Normative definition of QoS levels, retained messages, clean sessions and Last Will — every transport decision in the architecture cites this.</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19</w:t>
            </w:r>
          </w:p>
        </w:tc>
        <w:tc>
          <w:tcPr>
            <w:tcW w:type="dxa" w:w="4559"/>
            <w:shd w:fill="EDF1F8" w:val="clear"/>
            <w:tcMar>
              <w:top w:type="dxa" w:w="60"/>
              <w:left w:type="dxa" w:w="90"/>
              <w:bottom w:type="dxa" w:w="60"/>
              <w:right w:type="dxa" w:w="90"/>
            </w:tcMar>
          </w:tcPr>
          <w:p>
            <w:pPr>
              <w:spacing w:after="20"/>
            </w:pPr>
            <w:hyperlink w:history="1" r:id="rIdygarqvtwqubnxwyfw7sby">
              <w:r>
                <w:rPr>
                  <w:color w:val="1155CC"/>
                  <w:sz w:val="17"/>
                  <w:szCs w:val="17"/>
                  <w:u w:val="single"/>
                </w:rPr>
                <w:t xml:space="preserve">Eclipse Mosquitto documentation</w:t>
              </w:r>
            </w:hyperlink>
          </w:p>
          <w:p>
            <w:pPr>
              <w:spacing w:after="20"/>
            </w:pPr>
            <w:r>
              <w:rPr>
                <w:i/>
                <w:iCs/>
                <w:color w:val="777777"/>
                <w:sz w:val="14"/>
                <w:szCs w:val="14"/>
              </w:rPr>
              <w:t xml:space="preserve">Eclipse Foundation · Official documentation</w:t>
            </w:r>
          </w:p>
          <w:p>
            <w:pPr>
              <w:spacing w:after="0"/>
            </w:pPr>
            <w:r>
              <w:rPr>
                <w:rFonts w:ascii="Consolas" w:cs="Consolas" w:eastAsia="Consolas" w:hAnsi="Consolas"/>
                <w:color w:val="999999"/>
                <w:sz w:val="13"/>
                <w:szCs w:val="13"/>
              </w:rPr>
              <w:t xml:space="preserve">https://mosquitto.org/documentation/</w:t>
            </w:r>
          </w:p>
        </w:tc>
        <w:tc>
          <w:tcPr>
            <w:tcW w:type="dxa" w:w="4656"/>
            <w:shd w:fill="EDF1F8" w:val="clear"/>
            <w:tcMar>
              <w:top w:type="dxa" w:w="60"/>
              <w:left w:type="dxa" w:w="90"/>
              <w:bottom w:type="dxa" w:w="60"/>
              <w:right w:type="dxa" w:w="90"/>
            </w:tcMar>
          </w:tcPr>
          <w:p>
            <w:pPr>
              <w:spacing w:after="0"/>
            </w:pPr>
            <w:r>
              <w:rPr>
                <w:sz w:val="17"/>
                <w:szCs w:val="17"/>
              </w:rPr>
              <w:t xml:space="preserve">Broker configuration, per-client ACLs, TLS listeners and persistence — the chosen broker for the demonstration deployment.</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20</w:t>
            </w:r>
          </w:p>
        </w:tc>
        <w:tc>
          <w:tcPr>
            <w:tcW w:type="dxa" w:w="4559"/>
            <w:shd w:fill="FFFFFF" w:val="clear"/>
            <w:tcMar>
              <w:top w:type="dxa" w:w="60"/>
              <w:left w:type="dxa" w:w="90"/>
              <w:bottom w:type="dxa" w:w="60"/>
              <w:right w:type="dxa" w:w="90"/>
            </w:tcMar>
          </w:tcPr>
          <w:p>
            <w:pPr>
              <w:spacing w:after="20"/>
            </w:pPr>
            <w:hyperlink w:history="1" r:id="rIdhxrj6ksymydogjkaw0kas">
              <w:r>
                <w:rPr>
                  <w:color w:val="1155CC"/>
                  <w:sz w:val="17"/>
                  <w:szCs w:val="17"/>
                  <w:u w:val="single"/>
                </w:rPr>
                <w:t xml:space="preserve">ESP-MQTT client API</w:t>
              </w:r>
            </w:hyperlink>
          </w:p>
          <w:p>
            <w:pPr>
              <w:spacing w:after="20"/>
            </w:pPr>
            <w:r>
              <w:rPr>
                <w:i/>
                <w:iCs/>
                <w:color w:val="777777"/>
                <w:sz w:val="14"/>
                <w:szCs w:val="14"/>
              </w:rPr>
              <w:t xml:space="preserve">Espressif · Official documentation</w:t>
            </w:r>
          </w:p>
          <w:p>
            <w:pPr>
              <w:spacing w:after="0"/>
            </w:pPr>
            <w:r>
              <w:rPr>
                <w:rFonts w:ascii="Consolas" w:cs="Consolas" w:eastAsia="Consolas" w:hAnsi="Consolas"/>
                <w:color w:val="999999"/>
                <w:sz w:val="13"/>
                <w:szCs w:val="13"/>
              </w:rPr>
              <w:t xml:space="preserve">https://docs.espressif.com/projects/esp-idf/en/stable/esp32/api-reference/protocols/mqtt.html</w:t>
            </w:r>
          </w:p>
        </w:tc>
        <w:tc>
          <w:tcPr>
            <w:tcW w:type="dxa" w:w="4656"/>
            <w:shd w:fill="FFFFFF" w:val="clear"/>
            <w:tcMar>
              <w:top w:type="dxa" w:w="60"/>
              <w:left w:type="dxa" w:w="90"/>
              <w:bottom w:type="dxa" w:w="60"/>
              <w:right w:type="dxa" w:w="90"/>
            </w:tcMar>
          </w:tcPr>
          <w:p>
            <w:pPr>
              <w:spacing w:after="0"/>
            </w:pPr>
            <w:r>
              <w:rPr>
                <w:sz w:val="17"/>
                <w:szCs w:val="17"/>
              </w:rPr>
              <w:t xml:space="preserve">Edge-side MQTT with TLS, keep-alive and LWT configuration, including the RAM cost of a TLS session on the ESP32.</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21</w:t>
            </w:r>
          </w:p>
        </w:tc>
        <w:tc>
          <w:tcPr>
            <w:tcW w:type="dxa" w:w="4559"/>
            <w:shd w:fill="EDF1F8" w:val="clear"/>
            <w:tcMar>
              <w:top w:type="dxa" w:w="60"/>
              <w:left w:type="dxa" w:w="90"/>
              <w:bottom w:type="dxa" w:w="60"/>
              <w:right w:type="dxa" w:w="90"/>
            </w:tcMar>
          </w:tcPr>
          <w:p>
            <w:pPr>
              <w:spacing w:after="20"/>
            </w:pPr>
            <w:hyperlink w:history="1" r:id="rIdjxnanvb1-s4ljlaptqcvq">
              <w:r>
                <w:rPr>
                  <w:color w:val="1155CC"/>
                  <w:sz w:val="17"/>
                  <w:szCs w:val="17"/>
                  <w:u w:val="single"/>
                </w:rPr>
                <w:t xml:space="preserve">TimescaleDB documentation</w:t>
              </w:r>
            </w:hyperlink>
          </w:p>
          <w:p>
            <w:pPr>
              <w:spacing w:after="20"/>
            </w:pPr>
            <w:r>
              <w:rPr>
                <w:i/>
                <w:iCs/>
                <w:color w:val="777777"/>
                <w:sz w:val="14"/>
                <w:szCs w:val="14"/>
              </w:rPr>
              <w:t xml:space="preserve">Timescale · Official documentation</w:t>
            </w:r>
          </w:p>
          <w:p>
            <w:pPr>
              <w:spacing w:after="0"/>
            </w:pPr>
            <w:r>
              <w:rPr>
                <w:rFonts w:ascii="Consolas" w:cs="Consolas" w:eastAsia="Consolas" w:hAnsi="Consolas"/>
                <w:color w:val="999999"/>
                <w:sz w:val="13"/>
                <w:szCs w:val="13"/>
              </w:rPr>
              <w:t xml:space="preserve">https://docs.timescale.com/</w:t>
            </w:r>
          </w:p>
        </w:tc>
        <w:tc>
          <w:tcPr>
            <w:tcW w:type="dxa" w:w="4656"/>
            <w:shd w:fill="EDF1F8" w:val="clear"/>
            <w:tcMar>
              <w:top w:type="dxa" w:w="60"/>
              <w:left w:type="dxa" w:w="90"/>
              <w:bottom w:type="dxa" w:w="60"/>
              <w:right w:type="dxa" w:w="90"/>
            </w:tcMar>
          </w:tcPr>
          <w:p>
            <w:pPr>
              <w:spacing w:after="0"/>
            </w:pPr>
            <w:r>
              <w:rPr>
                <w:sz w:val="17"/>
                <w:szCs w:val="17"/>
              </w:rPr>
              <w:t xml:space="preserve">Hypertables, native compression and continuous aggregates — the basis of the retention policy and of joining telemetry to episode labels in SQL.</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22</w:t>
            </w:r>
          </w:p>
        </w:tc>
        <w:tc>
          <w:tcPr>
            <w:tcW w:type="dxa" w:w="4559"/>
            <w:shd w:fill="FFFFFF" w:val="clear"/>
            <w:tcMar>
              <w:top w:type="dxa" w:w="60"/>
              <w:left w:type="dxa" w:w="90"/>
              <w:bottom w:type="dxa" w:w="60"/>
              <w:right w:type="dxa" w:w="90"/>
            </w:tcMar>
          </w:tcPr>
          <w:p>
            <w:pPr>
              <w:spacing w:after="20"/>
            </w:pPr>
            <w:hyperlink w:history="1" r:id="rIdglfcvpvsmb_spmg-rwsqx">
              <w:r>
                <w:rPr>
                  <w:color w:val="1155CC"/>
                  <w:sz w:val="17"/>
                  <w:szCs w:val="17"/>
                  <w:u w:val="single"/>
                </w:rPr>
                <w:t xml:space="preserve">FastAPI documentation</w:t>
              </w:r>
            </w:hyperlink>
          </w:p>
          <w:p>
            <w:pPr>
              <w:spacing w:after="20"/>
            </w:pPr>
            <w:r>
              <w:rPr>
                <w:i/>
                <w:iCs/>
                <w:color w:val="777777"/>
                <w:sz w:val="14"/>
                <w:szCs w:val="14"/>
              </w:rPr>
              <w:t xml:space="preserve">Sebastián Ramírez et al. · Official documentation</w:t>
            </w:r>
          </w:p>
          <w:p>
            <w:pPr>
              <w:spacing w:after="0"/>
            </w:pPr>
            <w:r>
              <w:rPr>
                <w:rFonts w:ascii="Consolas" w:cs="Consolas" w:eastAsia="Consolas" w:hAnsi="Consolas"/>
                <w:color w:val="999999"/>
                <w:sz w:val="13"/>
                <w:szCs w:val="13"/>
              </w:rPr>
              <w:t xml:space="preserve">https://fastapi.tiangolo.com/</w:t>
            </w:r>
          </w:p>
        </w:tc>
        <w:tc>
          <w:tcPr>
            <w:tcW w:type="dxa" w:w="4656"/>
            <w:shd w:fill="FFFFFF" w:val="clear"/>
            <w:tcMar>
              <w:top w:type="dxa" w:w="60"/>
              <w:left w:type="dxa" w:w="90"/>
              <w:bottom w:type="dxa" w:w="60"/>
              <w:right w:type="dxa" w:w="90"/>
            </w:tcMar>
          </w:tcPr>
          <w:p>
            <w:pPr>
              <w:spacing w:after="0"/>
            </w:pPr>
            <w:r>
              <w:rPr>
                <w:sz w:val="17"/>
                <w:szCs w:val="17"/>
              </w:rPr>
              <w:t xml:space="preserve">Async service layer, Pydantic schema validation shared between MQTT ingest and REST, and native WebSocket for the live console.</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23</w:t>
            </w:r>
          </w:p>
        </w:tc>
        <w:tc>
          <w:tcPr>
            <w:tcW w:type="dxa" w:w="4559"/>
            <w:shd w:fill="EDF1F8" w:val="clear"/>
            <w:tcMar>
              <w:top w:type="dxa" w:w="60"/>
              <w:left w:type="dxa" w:w="90"/>
              <w:bottom w:type="dxa" w:w="60"/>
              <w:right w:type="dxa" w:w="90"/>
            </w:tcMar>
          </w:tcPr>
          <w:p>
            <w:pPr>
              <w:spacing w:after="20"/>
            </w:pPr>
            <w:hyperlink w:history="1" r:id="rIdmcf2ldxxhc_fjsfgepod5">
              <w:r>
                <w:rPr>
                  <w:color w:val="1155CC"/>
                  <w:sz w:val="17"/>
                  <w:szCs w:val="17"/>
                  <w:u w:val="single"/>
                </w:rPr>
                <w:t xml:space="preserve">Polars user guide</w:t>
              </w:r>
            </w:hyperlink>
          </w:p>
          <w:p>
            <w:pPr>
              <w:spacing w:after="20"/>
            </w:pPr>
            <w:r>
              <w:rPr>
                <w:i/>
                <w:iCs/>
                <w:color w:val="777777"/>
                <w:sz w:val="14"/>
                <w:szCs w:val="14"/>
              </w:rPr>
              <w:t xml:space="preserve">Polars · Official documentation</w:t>
            </w:r>
          </w:p>
          <w:p>
            <w:pPr>
              <w:spacing w:after="0"/>
            </w:pPr>
            <w:r>
              <w:rPr>
                <w:rFonts w:ascii="Consolas" w:cs="Consolas" w:eastAsia="Consolas" w:hAnsi="Consolas"/>
                <w:color w:val="999999"/>
                <w:sz w:val="13"/>
                <w:szCs w:val="13"/>
              </w:rPr>
              <w:t xml:space="preserve">https://docs.pola.rs/</w:t>
            </w:r>
          </w:p>
        </w:tc>
        <w:tc>
          <w:tcPr>
            <w:tcW w:type="dxa" w:w="4656"/>
            <w:shd w:fill="EDF1F8" w:val="clear"/>
            <w:tcMar>
              <w:top w:type="dxa" w:w="60"/>
              <w:left w:type="dxa" w:w="90"/>
              <w:bottom w:type="dxa" w:w="60"/>
              <w:right w:type="dxa" w:w="90"/>
            </w:tcMar>
          </w:tcPr>
          <w:p>
            <w:pPr>
              <w:spacing w:after="0"/>
            </w:pPr>
            <w:r>
              <w:rPr>
                <w:sz w:val="17"/>
                <w:szCs w:val="17"/>
              </w:rPr>
              <w:t xml:space="preserve">Arrow-backed lazy dataframes for the lag and rolling-window feature block that must complete inside the 10-second control interval.</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24</w:t>
            </w:r>
          </w:p>
        </w:tc>
        <w:tc>
          <w:tcPr>
            <w:tcW w:type="dxa" w:w="4559"/>
            <w:shd w:fill="FFFFFF" w:val="clear"/>
            <w:tcMar>
              <w:top w:type="dxa" w:w="60"/>
              <w:left w:type="dxa" w:w="90"/>
              <w:bottom w:type="dxa" w:w="60"/>
              <w:right w:type="dxa" w:w="90"/>
            </w:tcMar>
          </w:tcPr>
          <w:p>
            <w:pPr>
              <w:spacing w:after="20"/>
            </w:pPr>
            <w:hyperlink w:history="1" r:id="rIdzwab27t68joh8kzlegq5a">
              <w:r>
                <w:rPr>
                  <w:color w:val="1155CC"/>
                  <w:sz w:val="17"/>
                  <w:szCs w:val="17"/>
                  <w:u w:val="single"/>
                </w:rPr>
                <w:t xml:space="preserve">Grafana documentation</w:t>
              </w:r>
            </w:hyperlink>
          </w:p>
          <w:p>
            <w:pPr>
              <w:spacing w:after="20"/>
            </w:pPr>
            <w:r>
              <w:rPr>
                <w:i/>
                <w:iCs/>
                <w:color w:val="777777"/>
                <w:sz w:val="14"/>
                <w:szCs w:val="14"/>
              </w:rPr>
              <w:t xml:space="preserve">Grafana Labs · Official documentation</w:t>
            </w:r>
          </w:p>
          <w:p>
            <w:pPr>
              <w:spacing w:after="0"/>
            </w:pPr>
            <w:r>
              <w:rPr>
                <w:rFonts w:ascii="Consolas" w:cs="Consolas" w:eastAsia="Consolas" w:hAnsi="Consolas"/>
                <w:color w:val="999999"/>
                <w:sz w:val="13"/>
                <w:szCs w:val="13"/>
              </w:rPr>
              <w:t xml:space="preserve">https://grafana.com/docs/grafana/latest/</w:t>
            </w:r>
          </w:p>
        </w:tc>
        <w:tc>
          <w:tcPr>
            <w:tcW w:type="dxa" w:w="4656"/>
            <w:shd w:fill="FFFFFF" w:val="clear"/>
            <w:tcMar>
              <w:top w:type="dxa" w:w="60"/>
              <w:left w:type="dxa" w:w="90"/>
              <w:bottom w:type="dxa" w:w="60"/>
              <w:right w:type="dxa" w:w="90"/>
            </w:tcMar>
          </w:tcPr>
          <w:p>
            <w:pPr>
              <w:spacing w:after="0"/>
            </w:pPr>
            <w:r>
              <w:rPr>
                <w:sz w:val="17"/>
                <w:szCs w:val="17"/>
              </w:rPr>
              <w:t xml:space="preserve">The operations and health dashboard layer, plugged directly into the Postgres/Timescale data source.</w:t>
            </w:r>
          </w:p>
        </w:tc>
      </w:tr>
    </w:tbl>
    <w:p>
      <w:pPr>
        <w:spacing w:after="120"/>
      </w:pPr>
    </w:p>
    <w:p>
      <w:pPr>
        <w:pStyle w:val="Heading1"/>
      </w:pPr>
      <w:r>
        <w:t xml:space="preserve">5. Machine learning — methods and libraries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25</w:t>
            </w:r>
          </w:p>
        </w:tc>
        <w:tc>
          <w:tcPr>
            <w:tcW w:type="dxa" w:w="4559"/>
            <w:shd w:fill="FFFFFF" w:val="clear"/>
            <w:tcMar>
              <w:top w:type="dxa" w:w="60"/>
              <w:left w:type="dxa" w:w="90"/>
              <w:bottom w:type="dxa" w:w="60"/>
              <w:right w:type="dxa" w:w="90"/>
            </w:tcMar>
          </w:tcPr>
          <w:p>
            <w:pPr>
              <w:spacing w:after="20"/>
            </w:pPr>
            <w:hyperlink w:history="1" r:id="rIdwb7kklfneg68cp9jpp27h">
              <w:r>
                <w:rPr>
                  <w:color w:val="1155CC"/>
                  <w:sz w:val="17"/>
                  <w:szCs w:val="17"/>
                  <w:u w:val="single"/>
                </w:rPr>
                <w:t xml:space="preserve">XGBoost: A Scalable Tree Boosting System</w:t>
              </w:r>
            </w:hyperlink>
          </w:p>
          <w:p>
            <w:pPr>
              <w:spacing w:after="20"/>
            </w:pPr>
            <w:r>
              <w:rPr>
                <w:i/>
                <w:iCs/>
                <w:color w:val="777777"/>
                <w:sz w:val="14"/>
                <w:szCs w:val="14"/>
              </w:rPr>
              <w:t xml:space="preserve">Chen &amp; Guestrin, KDD 2016 · arXiv:1603.02754</w:t>
            </w:r>
          </w:p>
          <w:p>
            <w:pPr>
              <w:spacing w:after="0"/>
            </w:pPr>
            <w:r>
              <w:rPr>
                <w:rFonts w:ascii="Consolas" w:cs="Consolas" w:eastAsia="Consolas" w:hAnsi="Consolas"/>
                <w:color w:val="999999"/>
                <w:sz w:val="13"/>
                <w:szCs w:val="13"/>
              </w:rPr>
              <w:t xml:space="preserve">https://arxiv.org/abs/1603.02754</w:t>
            </w:r>
          </w:p>
        </w:tc>
        <w:tc>
          <w:tcPr>
            <w:tcW w:type="dxa" w:w="4656"/>
            <w:shd w:fill="FFFFFF" w:val="clear"/>
            <w:tcMar>
              <w:top w:type="dxa" w:w="60"/>
              <w:left w:type="dxa" w:w="90"/>
              <w:bottom w:type="dxa" w:w="60"/>
              <w:right w:type="dxa" w:w="90"/>
            </w:tcMar>
          </w:tcPr>
          <w:p>
            <w:pPr>
              <w:spacing w:after="0"/>
            </w:pPr>
            <w:r>
              <w:rPr>
                <w:sz w:val="17"/>
                <w:szCs w:val="17"/>
              </w:rPr>
              <w:t xml:space="preserve">The regularised boosting objective used by the fallback residual model; the original statement of the split-finding and regularisation scheme.</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26</w:t>
            </w:r>
          </w:p>
        </w:tc>
        <w:tc>
          <w:tcPr>
            <w:tcW w:type="dxa" w:w="4559"/>
            <w:shd w:fill="EDF1F8" w:val="clear"/>
            <w:tcMar>
              <w:top w:type="dxa" w:w="60"/>
              <w:left w:type="dxa" w:w="90"/>
              <w:bottom w:type="dxa" w:w="60"/>
              <w:right w:type="dxa" w:w="90"/>
            </w:tcMar>
          </w:tcPr>
          <w:p>
            <w:pPr>
              <w:spacing w:after="20"/>
            </w:pPr>
            <w:hyperlink w:history="1" r:id="rIderuwaq9us6elze4kjsgag">
              <w:r>
                <w:rPr>
                  <w:color w:val="1155CC"/>
                  <w:sz w:val="17"/>
                  <w:szCs w:val="17"/>
                  <w:u w:val="single"/>
                </w:rPr>
                <w:t xml:space="preserve">Monotonic Constraints — XGBoost documentation</w:t>
              </w:r>
            </w:hyperlink>
          </w:p>
          <w:p>
            <w:pPr>
              <w:spacing w:after="20"/>
            </w:pPr>
            <w:r>
              <w:rPr>
                <w:i/>
                <w:iCs/>
                <w:color w:val="777777"/>
                <w:sz w:val="14"/>
                <w:szCs w:val="14"/>
              </w:rPr>
              <w:t xml:space="preserve">XGBoost · Official documentation</w:t>
            </w:r>
          </w:p>
          <w:p>
            <w:pPr>
              <w:spacing w:after="0"/>
            </w:pPr>
            <w:r>
              <w:rPr>
                <w:rFonts w:ascii="Consolas" w:cs="Consolas" w:eastAsia="Consolas" w:hAnsi="Consolas"/>
                <w:color w:val="999999"/>
                <w:sz w:val="13"/>
                <w:szCs w:val="13"/>
              </w:rPr>
              <w:t xml:space="preserve">https://xgboost.readthedocs.io/en/stable/tutorials/monotonic.html</w:t>
            </w:r>
          </w:p>
        </w:tc>
        <w:tc>
          <w:tcPr>
            <w:tcW w:type="dxa" w:w="4656"/>
            <w:shd w:fill="EDF1F8" w:val="clear"/>
            <w:tcMar>
              <w:top w:type="dxa" w:w="60"/>
              <w:left w:type="dxa" w:w="90"/>
              <w:bottom w:type="dxa" w:w="60"/>
              <w:right w:type="dxa" w:w="90"/>
            </w:tcMar>
          </w:tcPr>
          <w:p>
            <w:pPr>
              <w:spacing w:after="0"/>
            </w:pPr>
            <w:r>
              <w:rPr>
                <w:sz w:val="17"/>
                <w:szCs w:val="17"/>
              </w:rPr>
              <w:t xml:space="preserve">The exact mechanism that makes 'more fan can never predict worse air' a hard structural guarantee rather than something the model has to learn.</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27</w:t>
            </w:r>
          </w:p>
        </w:tc>
        <w:tc>
          <w:tcPr>
            <w:tcW w:type="dxa" w:w="4559"/>
            <w:shd w:fill="FFFFFF" w:val="clear"/>
            <w:tcMar>
              <w:top w:type="dxa" w:w="60"/>
              <w:left w:type="dxa" w:w="90"/>
              <w:bottom w:type="dxa" w:w="60"/>
              <w:right w:type="dxa" w:w="90"/>
            </w:tcMar>
          </w:tcPr>
          <w:p>
            <w:pPr>
              <w:spacing w:after="20"/>
            </w:pPr>
            <w:hyperlink w:history="1" r:id="rId3gs-fpiwg-p4axn8yhlfd">
              <w:r>
                <w:rPr>
                  <w:color w:val="1155CC"/>
                  <w:sz w:val="17"/>
                  <w:szCs w:val="17"/>
                  <w:u w:val="single"/>
                </w:rPr>
                <w:t xml:space="preserve">PyTorch documentation</w:t>
              </w:r>
            </w:hyperlink>
          </w:p>
          <w:p>
            <w:pPr>
              <w:spacing w:after="20"/>
            </w:pPr>
            <w:r>
              <w:rPr>
                <w:i/>
                <w:iCs/>
                <w:color w:val="777777"/>
                <w:sz w:val="14"/>
                <w:szCs w:val="14"/>
              </w:rPr>
              <w:t xml:space="preserve">PyTorch Foundation · Official documentation</w:t>
            </w:r>
          </w:p>
          <w:p>
            <w:pPr>
              <w:spacing w:after="0"/>
            </w:pPr>
            <w:r>
              <w:rPr>
                <w:rFonts w:ascii="Consolas" w:cs="Consolas" w:eastAsia="Consolas" w:hAnsi="Consolas"/>
                <w:color w:val="999999"/>
                <w:sz w:val="13"/>
                <w:szCs w:val="13"/>
              </w:rPr>
              <w:t xml:space="preserve">https://pytorch.org/docs/stable/index.html</w:t>
            </w:r>
          </w:p>
        </w:tc>
        <w:tc>
          <w:tcPr>
            <w:tcW w:type="dxa" w:w="4656"/>
            <w:shd w:fill="FFFFFF" w:val="clear"/>
            <w:tcMar>
              <w:top w:type="dxa" w:w="60"/>
              <w:left w:type="dxa" w:w="90"/>
              <w:bottom w:type="dxa" w:w="60"/>
              <w:right w:type="dxa" w:w="90"/>
            </w:tcMar>
          </w:tcPr>
          <w:p>
            <w:pPr>
              <w:spacing w:after="0"/>
            </w:pPr>
            <w:r>
              <w:rPr>
                <w:sz w:val="17"/>
                <w:szCs w:val="17"/>
              </w:rPr>
              <w:t xml:space="preserve">Framework for the NARX residual network; torch.func.jacrev supplies the exact gradients the optimiser needs.</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28</w:t>
            </w:r>
          </w:p>
        </w:tc>
        <w:tc>
          <w:tcPr>
            <w:tcW w:type="dxa" w:w="4559"/>
            <w:shd w:fill="EDF1F8" w:val="clear"/>
            <w:tcMar>
              <w:top w:type="dxa" w:w="60"/>
              <w:left w:type="dxa" w:w="90"/>
              <w:bottom w:type="dxa" w:w="60"/>
              <w:right w:type="dxa" w:w="90"/>
            </w:tcMar>
          </w:tcPr>
          <w:p>
            <w:pPr>
              <w:spacing w:after="20"/>
            </w:pPr>
            <w:hyperlink w:history="1" r:id="rIdcondbzdhwgsipu4omulwq">
              <w:r>
                <w:rPr>
                  <w:color w:val="1155CC"/>
                  <w:sz w:val="17"/>
                  <w:szCs w:val="17"/>
                  <w:u w:val="single"/>
                </w:rPr>
                <w:t xml:space="preserve">Cross-validation: evaluating estimator performance (grouped splits)</w:t>
              </w:r>
            </w:hyperlink>
          </w:p>
          <w:p>
            <w:pPr>
              <w:spacing w:after="20"/>
            </w:pPr>
            <w:r>
              <w:rPr>
                <w:i/>
                <w:iCs/>
                <w:color w:val="777777"/>
                <w:sz w:val="14"/>
                <w:szCs w:val="14"/>
              </w:rPr>
              <w:t xml:space="preserve">scikit-learn · Official documentation</w:t>
            </w:r>
          </w:p>
          <w:p>
            <w:pPr>
              <w:spacing w:after="0"/>
            </w:pPr>
            <w:r>
              <w:rPr>
                <w:rFonts w:ascii="Consolas" w:cs="Consolas" w:eastAsia="Consolas" w:hAnsi="Consolas"/>
                <w:color w:val="999999"/>
                <w:sz w:val="13"/>
                <w:szCs w:val="13"/>
              </w:rPr>
              <w:t xml:space="preserve">https://scikit-learn.org/stable/modules/cross_validation.html</w:t>
            </w:r>
          </w:p>
        </w:tc>
        <w:tc>
          <w:tcPr>
            <w:tcW w:type="dxa" w:w="4656"/>
            <w:shd w:fill="EDF1F8" w:val="clear"/>
            <w:tcMar>
              <w:top w:type="dxa" w:w="60"/>
              <w:left w:type="dxa" w:w="90"/>
              <w:bottom w:type="dxa" w:w="60"/>
              <w:right w:type="dxa" w:w="90"/>
            </w:tcMar>
          </w:tcPr>
          <w:p>
            <w:pPr>
              <w:spacing w:after="0"/>
            </w:pPr>
            <w:r>
              <w:rPr>
                <w:sz w:val="17"/>
                <w:szCs w:val="17"/>
              </w:rPr>
              <w:t xml:space="preserve">GroupKFold and time-series splitting — the mechanism that enforces episode-level, leakage-free validation.</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29</w:t>
            </w:r>
          </w:p>
        </w:tc>
        <w:tc>
          <w:tcPr>
            <w:tcW w:type="dxa" w:w="4559"/>
            <w:shd w:fill="FFFFFF" w:val="clear"/>
            <w:tcMar>
              <w:top w:type="dxa" w:w="60"/>
              <w:left w:type="dxa" w:w="90"/>
              <w:bottom w:type="dxa" w:w="60"/>
              <w:right w:type="dxa" w:w="90"/>
            </w:tcMar>
          </w:tcPr>
          <w:p>
            <w:pPr>
              <w:spacing w:after="20"/>
            </w:pPr>
            <w:hyperlink w:history="1" r:id="rIdku69uf8j04xvfeowy8yfy">
              <w:r>
                <w:rPr>
                  <w:color w:val="1155CC"/>
                  <w:sz w:val="17"/>
                  <w:szCs w:val="17"/>
                  <w:u w:val="single"/>
                </w:rPr>
                <w:t xml:space="preserve">Physics Informed Neural Networks for Control-Oriented Thermal Modeling of Buildings</w:t>
              </w:r>
            </w:hyperlink>
          </w:p>
          <w:p>
            <w:pPr>
              <w:spacing w:after="20"/>
            </w:pPr>
            <w:r>
              <w:rPr>
                <w:i/>
                <w:iCs/>
                <w:color w:val="777777"/>
                <w:sz w:val="14"/>
                <w:szCs w:val="14"/>
              </w:rPr>
              <w:t xml:space="preserve">Gokhale, Claessens &amp; Develder · arXiv:2111.12066</w:t>
            </w:r>
          </w:p>
          <w:p>
            <w:pPr>
              <w:spacing w:after="0"/>
            </w:pPr>
            <w:r>
              <w:rPr>
                <w:rFonts w:ascii="Consolas" w:cs="Consolas" w:eastAsia="Consolas" w:hAnsi="Consolas"/>
                <w:color w:val="999999"/>
                <w:sz w:val="13"/>
                <w:szCs w:val="13"/>
              </w:rPr>
              <w:t xml:space="preserve">https://arxiv.org/abs/2111.12066</w:t>
            </w:r>
          </w:p>
        </w:tc>
        <w:tc>
          <w:tcPr>
            <w:tcW w:type="dxa" w:w="4656"/>
            <w:shd w:fill="FFFFFF" w:val="clear"/>
            <w:tcMar>
              <w:top w:type="dxa" w:w="60"/>
              <w:left w:type="dxa" w:w="90"/>
              <w:bottom w:type="dxa" w:w="60"/>
              <w:right w:type="dxa" w:w="90"/>
            </w:tcMar>
          </w:tcPr>
          <w:p>
            <w:pPr>
              <w:spacing w:after="0"/>
            </w:pPr>
            <w:r>
              <w:rPr>
                <w:sz w:val="17"/>
                <w:szCs w:val="17"/>
              </w:rPr>
              <w:t xml:space="preserve">The closest published precedent for the grey-box structure adopted here: known physics plus a learned correction, specifically shaped for use inside a controller.</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30</w:t>
            </w:r>
          </w:p>
        </w:tc>
        <w:tc>
          <w:tcPr>
            <w:tcW w:type="dxa" w:w="4559"/>
            <w:shd w:fill="EDF1F8" w:val="clear"/>
            <w:tcMar>
              <w:top w:type="dxa" w:w="60"/>
              <w:left w:type="dxa" w:w="90"/>
              <w:bottom w:type="dxa" w:w="60"/>
              <w:right w:type="dxa" w:w="90"/>
            </w:tcMar>
          </w:tcPr>
          <w:p>
            <w:pPr>
              <w:spacing w:after="20"/>
            </w:pPr>
            <w:hyperlink w:history="1" r:id="rId8trhlkvkv-6-t9_fikfkm">
              <w:r>
                <w:rPr>
                  <w:color w:val="1155CC"/>
                  <w:sz w:val="17"/>
                  <w:szCs w:val="17"/>
                  <w:u w:val="single"/>
                </w:rPr>
                <w:t xml:space="preserve">Grey-box modeling and application for building energy simulations — a critical review</w:t>
              </w:r>
            </w:hyperlink>
          </w:p>
          <w:p>
            <w:pPr>
              <w:spacing w:after="20"/>
            </w:pPr>
            <w:r>
              <w:rPr>
                <w:i/>
                <w:iCs/>
                <w:color w:val="777777"/>
                <w:sz w:val="14"/>
                <w:szCs w:val="14"/>
              </w:rPr>
              <w:t xml:space="preserve">Li et al., Renewable &amp; Sustainable Energy Reviews (2021)</w:t>
            </w:r>
          </w:p>
          <w:p>
            <w:pPr>
              <w:spacing w:after="0"/>
            </w:pPr>
            <w:r>
              <w:rPr>
                <w:rFonts w:ascii="Consolas" w:cs="Consolas" w:eastAsia="Consolas" w:hAnsi="Consolas"/>
                <w:color w:val="999999"/>
                <w:sz w:val="13"/>
                <w:szCs w:val="13"/>
              </w:rPr>
              <w:t xml:space="preserve">https://www.sciencedirect.com/science/article/abs/pii/S1364032121004639</w:t>
            </w:r>
          </w:p>
        </w:tc>
        <w:tc>
          <w:tcPr>
            <w:tcW w:type="dxa" w:w="4656"/>
            <w:shd w:fill="EDF1F8" w:val="clear"/>
            <w:tcMar>
              <w:top w:type="dxa" w:w="60"/>
              <w:left w:type="dxa" w:w="90"/>
              <w:bottom w:type="dxa" w:w="60"/>
              <w:right w:type="dxa" w:w="90"/>
            </w:tcMar>
          </w:tcPr>
          <w:p>
            <w:pPr>
              <w:spacing w:after="0"/>
            </w:pPr>
            <w:r>
              <w:rPr>
                <w:sz w:val="17"/>
                <w:szCs w:val="17"/>
              </w:rPr>
              <w:t xml:space="preserve">Survey of what grey-box models can and cannot do, and the identifiability pitfalls that motivate the project's tracer-first calibration order.</w:t>
            </w:r>
          </w:p>
        </w:tc>
      </w:tr>
    </w:tbl>
    <w:p>
      <w:pPr>
        <w:spacing w:after="120"/>
      </w:pPr>
    </w:p>
    <w:p>
      <w:pPr>
        <w:pStyle w:val="Heading1"/>
      </w:pPr>
      <w:r>
        <w:t xml:space="preserve">6. Optimisation and model predictive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31</w:t>
            </w:r>
          </w:p>
        </w:tc>
        <w:tc>
          <w:tcPr>
            <w:tcW w:type="dxa" w:w="4559"/>
            <w:shd w:fill="FFFFFF" w:val="clear"/>
            <w:tcMar>
              <w:top w:type="dxa" w:w="60"/>
              <w:left w:type="dxa" w:w="90"/>
              <w:bottom w:type="dxa" w:w="60"/>
              <w:right w:type="dxa" w:w="90"/>
            </w:tcMar>
          </w:tcPr>
          <w:p>
            <w:pPr>
              <w:spacing w:after="20"/>
            </w:pPr>
            <w:hyperlink w:history="1" r:id="rIdlle73mmnap2rt6pljhq7a">
              <w:r>
                <w:rPr>
                  <w:color w:val="1155CC"/>
                  <w:sz w:val="17"/>
                  <w:szCs w:val="17"/>
                  <w:u w:val="single"/>
                </w:rPr>
                <w:t xml:space="preserve">SciPy 1.0: fundamental algorithms for scientific computing in Python</w:t>
              </w:r>
            </w:hyperlink>
          </w:p>
          <w:p>
            <w:pPr>
              <w:spacing w:after="20"/>
            </w:pPr>
            <w:r>
              <w:rPr>
                <w:i/>
                <w:iCs/>
                <w:color w:val="777777"/>
                <w:sz w:val="14"/>
                <w:szCs w:val="14"/>
              </w:rPr>
              <w:t xml:space="preserve">Virtanen et al., Nature Methods 17, 261–272 (2020)</w:t>
            </w:r>
          </w:p>
          <w:p>
            <w:pPr>
              <w:spacing w:after="0"/>
            </w:pPr>
            <w:r>
              <w:rPr>
                <w:rFonts w:ascii="Consolas" w:cs="Consolas" w:eastAsia="Consolas" w:hAnsi="Consolas"/>
                <w:color w:val="999999"/>
                <w:sz w:val="13"/>
                <w:szCs w:val="13"/>
              </w:rPr>
              <w:t xml:space="preserve">https://www.nature.com/articles/s41592-019-0686-2</w:t>
            </w:r>
          </w:p>
        </w:tc>
        <w:tc>
          <w:tcPr>
            <w:tcW w:type="dxa" w:w="4656"/>
            <w:shd w:fill="FFFFFF" w:val="clear"/>
            <w:tcMar>
              <w:top w:type="dxa" w:w="60"/>
              <w:left w:type="dxa" w:w="90"/>
              <w:bottom w:type="dxa" w:w="60"/>
              <w:right w:type="dxa" w:w="90"/>
            </w:tcMar>
          </w:tcPr>
          <w:p>
            <w:pPr>
              <w:spacing w:after="0"/>
            </w:pPr>
            <w:r>
              <w:rPr>
                <w:sz w:val="17"/>
                <w:szCs w:val="17"/>
              </w:rPr>
              <w:t xml:space="preserve">Citable reference for the SLSQP constrained optimiser used in phase 1 of the model predictive controller.</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32</w:t>
            </w:r>
          </w:p>
        </w:tc>
        <w:tc>
          <w:tcPr>
            <w:tcW w:type="dxa" w:w="4559"/>
            <w:shd w:fill="EDF1F8" w:val="clear"/>
            <w:tcMar>
              <w:top w:type="dxa" w:w="60"/>
              <w:left w:type="dxa" w:w="90"/>
              <w:bottom w:type="dxa" w:w="60"/>
              <w:right w:type="dxa" w:w="90"/>
            </w:tcMar>
          </w:tcPr>
          <w:p>
            <w:pPr>
              <w:spacing w:after="20"/>
            </w:pPr>
            <w:hyperlink w:history="1" r:id="rIdrziujlaioucycdy_qa8ct">
              <w:r>
                <w:rPr>
                  <w:color w:val="1155CC"/>
                  <w:sz w:val="17"/>
                  <w:szCs w:val="17"/>
                  <w:u w:val="single"/>
                </w:rPr>
                <w:t xml:space="preserve">scipy.optimize reference</w:t>
              </w:r>
            </w:hyperlink>
          </w:p>
          <w:p>
            <w:pPr>
              <w:spacing w:after="20"/>
            </w:pPr>
            <w:r>
              <w:rPr>
                <w:i/>
                <w:iCs/>
                <w:color w:val="777777"/>
                <w:sz w:val="14"/>
                <w:szCs w:val="14"/>
              </w:rPr>
              <w:t xml:space="preserve">SciPy · Official documentation</w:t>
            </w:r>
          </w:p>
          <w:p>
            <w:pPr>
              <w:spacing w:after="0"/>
            </w:pPr>
            <w:r>
              <w:rPr>
                <w:rFonts w:ascii="Consolas" w:cs="Consolas" w:eastAsia="Consolas" w:hAnsi="Consolas"/>
                <w:color w:val="999999"/>
                <w:sz w:val="13"/>
                <w:szCs w:val="13"/>
              </w:rPr>
              <w:t xml:space="preserve">https://docs.scipy.org/doc/scipy/reference/optimize.html</w:t>
            </w:r>
          </w:p>
        </w:tc>
        <w:tc>
          <w:tcPr>
            <w:tcW w:type="dxa" w:w="4656"/>
            <w:shd w:fill="EDF1F8" w:val="clear"/>
            <w:tcMar>
              <w:top w:type="dxa" w:w="60"/>
              <w:left w:type="dxa" w:w="90"/>
              <w:bottom w:type="dxa" w:w="60"/>
              <w:right w:type="dxa" w:w="90"/>
            </w:tcMar>
          </w:tcPr>
          <w:p>
            <w:pPr>
              <w:spacing w:after="0"/>
            </w:pPr>
            <w:r>
              <w:rPr>
                <w:sz w:val="17"/>
                <w:szCs w:val="17"/>
              </w:rPr>
              <w:t xml:space="preserve">API and convergence behaviour for SLSQP and trust-constr, including the finite-difference gradient cost that motivates the phase-2 migration.</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33</w:t>
            </w:r>
          </w:p>
        </w:tc>
        <w:tc>
          <w:tcPr>
            <w:tcW w:type="dxa" w:w="4559"/>
            <w:shd w:fill="FFFFFF" w:val="clear"/>
            <w:tcMar>
              <w:top w:type="dxa" w:w="60"/>
              <w:left w:type="dxa" w:w="90"/>
              <w:bottom w:type="dxa" w:w="60"/>
              <w:right w:type="dxa" w:w="90"/>
            </w:tcMar>
          </w:tcPr>
          <w:p>
            <w:pPr>
              <w:spacing w:after="20"/>
            </w:pPr>
            <w:hyperlink w:history="1" r:id="rId_jxlqqm9cyndzkvzx8hyn">
              <w:r>
                <w:rPr>
                  <w:color w:val="1155CC"/>
                  <w:sz w:val="17"/>
                  <w:szCs w:val="17"/>
                  <w:u w:val="single"/>
                </w:rPr>
                <w:t xml:space="preserve">CasADi documentation</w:t>
              </w:r>
            </w:hyperlink>
          </w:p>
          <w:p>
            <w:pPr>
              <w:spacing w:after="20"/>
            </w:pPr>
            <w:r>
              <w:rPr>
                <w:i/>
                <w:iCs/>
                <w:color w:val="777777"/>
                <w:sz w:val="14"/>
                <w:szCs w:val="14"/>
              </w:rPr>
              <w:t xml:space="preserve">Andersson, Gillis, Horn, Rawlings &amp; Diehl · Official documentation</w:t>
            </w:r>
          </w:p>
          <w:p>
            <w:pPr>
              <w:spacing w:after="0"/>
            </w:pPr>
            <w:r>
              <w:rPr>
                <w:rFonts w:ascii="Consolas" w:cs="Consolas" w:eastAsia="Consolas" w:hAnsi="Consolas"/>
                <w:color w:val="999999"/>
                <w:sz w:val="13"/>
                <w:szCs w:val="13"/>
              </w:rPr>
              <w:t xml:space="preserve">https://web.casadi.org/docs/</w:t>
            </w:r>
          </w:p>
        </w:tc>
        <w:tc>
          <w:tcPr>
            <w:tcW w:type="dxa" w:w="4656"/>
            <w:shd w:fill="FFFFFF" w:val="clear"/>
            <w:tcMar>
              <w:top w:type="dxa" w:w="60"/>
              <w:left w:type="dxa" w:w="90"/>
              <w:bottom w:type="dxa" w:w="60"/>
              <w:right w:type="dxa" w:w="90"/>
            </w:tcMar>
          </w:tcPr>
          <w:p>
            <w:pPr>
              <w:spacing w:after="0"/>
            </w:pPr>
            <w:r>
              <w:rPr>
                <w:sz w:val="17"/>
                <w:szCs w:val="17"/>
              </w:rPr>
              <w:t xml:space="preserve">Symbolic framework for transcribing the NARX network into an NLP with exact analytic gradients — the phase-2 solver path.</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34</w:t>
            </w:r>
          </w:p>
        </w:tc>
        <w:tc>
          <w:tcPr>
            <w:tcW w:type="dxa" w:w="4559"/>
            <w:shd w:fill="EDF1F8" w:val="clear"/>
            <w:tcMar>
              <w:top w:type="dxa" w:w="60"/>
              <w:left w:type="dxa" w:w="90"/>
              <w:bottom w:type="dxa" w:w="60"/>
              <w:right w:type="dxa" w:w="90"/>
            </w:tcMar>
          </w:tcPr>
          <w:p>
            <w:pPr>
              <w:spacing w:after="20"/>
            </w:pPr>
            <w:hyperlink w:history="1" r:id="rIdgt8yp3qprysilgdwzv5np">
              <w:r>
                <w:rPr>
                  <w:color w:val="1155CC"/>
                  <w:sz w:val="17"/>
                  <w:szCs w:val="17"/>
                  <w:u w:val="single"/>
                </w:rPr>
                <w:t xml:space="preserve">do-mpc: Towards FAIR nonlinear and robust model predictive control</w:t>
              </w:r>
            </w:hyperlink>
          </w:p>
          <w:p>
            <w:pPr>
              <w:spacing w:after="20"/>
            </w:pPr>
            <w:r>
              <w:rPr>
                <w:i/>
                <w:iCs/>
                <w:color w:val="777777"/>
                <w:sz w:val="14"/>
                <w:szCs w:val="14"/>
              </w:rPr>
              <w:t xml:space="preserve">Fiedler et al., Control Engineering Practice (2023)</w:t>
            </w:r>
          </w:p>
          <w:p>
            <w:pPr>
              <w:spacing w:after="0"/>
            </w:pPr>
            <w:r>
              <w:rPr>
                <w:rFonts w:ascii="Consolas" w:cs="Consolas" w:eastAsia="Consolas" w:hAnsi="Consolas"/>
                <w:color w:val="999999"/>
                <w:sz w:val="13"/>
                <w:szCs w:val="13"/>
              </w:rPr>
              <w:t xml:space="preserve">https://www.sciencedirect.com/science/article/pii/S0967066123002459</w:t>
            </w:r>
          </w:p>
        </w:tc>
        <w:tc>
          <w:tcPr>
            <w:tcW w:type="dxa" w:w="4656"/>
            <w:shd w:fill="EDF1F8" w:val="clear"/>
            <w:tcMar>
              <w:top w:type="dxa" w:w="60"/>
              <w:left w:type="dxa" w:w="90"/>
              <w:bottom w:type="dxa" w:w="60"/>
              <w:right w:type="dxa" w:w="90"/>
            </w:tcMar>
          </w:tcPr>
          <w:p>
            <w:pPr>
              <w:spacing w:after="0"/>
            </w:pPr>
            <w:r>
              <w:rPr>
                <w:sz w:val="17"/>
                <w:szCs w:val="17"/>
              </w:rPr>
              <w:t xml:space="preserve">The recommended MPC scaffolding layer: horizon bookkeeping, soft constraints and move-blocking, so the team writes a model rather than a framework.</w:t>
            </w:r>
          </w:p>
        </w:tc>
      </w:tr>
    </w:tbl>
    <w:p>
      <w:pPr>
        <w:spacing w:after="120"/>
      </w:pPr>
    </w:p>
    <w:p>
      <w:pPr>
        <w:pStyle w:val="Heading1"/>
      </w:pPr>
      <w:r>
        <w:t xml:space="preserve">7. Ventilation control, energy optimisation and air-quality forecasting research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35</w:t>
            </w:r>
          </w:p>
        </w:tc>
        <w:tc>
          <w:tcPr>
            <w:tcW w:type="dxa" w:w="4559"/>
            <w:shd w:fill="FFFFFF" w:val="clear"/>
            <w:tcMar>
              <w:top w:type="dxa" w:w="60"/>
              <w:left w:type="dxa" w:w="90"/>
              <w:bottom w:type="dxa" w:w="60"/>
              <w:right w:type="dxa" w:w="90"/>
            </w:tcMar>
          </w:tcPr>
          <w:p>
            <w:pPr>
              <w:spacing w:after="20"/>
            </w:pPr>
            <w:hyperlink w:history="1" r:id="rIdkufusf93gflotshq7o0kf">
              <w:r>
                <w:rPr>
                  <w:color w:val="1155CC"/>
                  <w:sz w:val="17"/>
                  <w:szCs w:val="17"/>
                  <w:u w:val="single"/>
                </w:rPr>
                <w:t xml:space="preserve">Model predictive control of HVAC systems: a state-of-the-art review</w:t>
              </w:r>
            </w:hyperlink>
          </w:p>
          <w:p>
            <w:pPr>
              <w:spacing w:after="20"/>
            </w:pPr>
            <w:r>
              <w:rPr>
                <w:i/>
                <w:iCs/>
                <w:color w:val="777777"/>
                <w:sz w:val="14"/>
                <w:szCs w:val="14"/>
              </w:rPr>
              <w:t xml:space="preserve">Taheri, Hosseini &amp; Razban, Journal of Building Engineering (2022)</w:t>
            </w:r>
          </w:p>
          <w:p>
            <w:pPr>
              <w:spacing w:after="0"/>
            </w:pPr>
            <w:r>
              <w:rPr>
                <w:rFonts w:ascii="Consolas" w:cs="Consolas" w:eastAsia="Consolas" w:hAnsi="Consolas"/>
                <w:color w:val="999999"/>
                <w:sz w:val="13"/>
                <w:szCs w:val="13"/>
              </w:rPr>
              <w:t xml:space="preserve">https://www.sciencedirect.com/science/article/abs/pii/S2352710222010750</w:t>
            </w:r>
          </w:p>
        </w:tc>
        <w:tc>
          <w:tcPr>
            <w:tcW w:type="dxa" w:w="4656"/>
            <w:shd w:fill="FFFFFF" w:val="clear"/>
            <w:tcMar>
              <w:top w:type="dxa" w:w="60"/>
              <w:left w:type="dxa" w:w="90"/>
              <w:bottom w:type="dxa" w:w="60"/>
              <w:right w:type="dxa" w:w="90"/>
            </w:tcMar>
          </w:tcPr>
          <w:p>
            <w:pPr>
              <w:spacing w:after="0"/>
            </w:pPr>
            <w:r>
              <w:rPr>
                <w:sz w:val="17"/>
                <w:szCs w:val="17"/>
              </w:rPr>
              <w:t xml:space="preserve">Establishes what MPC has already delivered in building services and where the reported savings actually come from — the baseline this project is measured against.</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36</w:t>
            </w:r>
          </w:p>
        </w:tc>
        <w:tc>
          <w:tcPr>
            <w:tcW w:type="dxa" w:w="4559"/>
            <w:shd w:fill="EDF1F8" w:val="clear"/>
            <w:tcMar>
              <w:top w:type="dxa" w:w="60"/>
              <w:left w:type="dxa" w:w="90"/>
              <w:bottom w:type="dxa" w:w="60"/>
              <w:right w:type="dxa" w:w="90"/>
            </w:tcMar>
          </w:tcPr>
          <w:p>
            <w:pPr>
              <w:spacing w:after="20"/>
            </w:pPr>
            <w:hyperlink w:history="1" r:id="rId3mv8jpzwyl8pand9es-so">
              <w:r>
                <w:rPr>
                  <w:color w:val="1155CC"/>
                  <w:sz w:val="17"/>
                  <w:szCs w:val="17"/>
                  <w:u w:val="single"/>
                </w:rPr>
                <w:t xml:space="preserve">Tube-based robust MPC of multi-zone demand-controlled ventilation for energy saving and IAQ</w:t>
              </w:r>
            </w:hyperlink>
          </w:p>
          <w:p>
            <w:pPr>
              <w:spacing w:after="20"/>
            </w:pPr>
            <w:r>
              <w:rPr>
                <w:i/>
                <w:iCs/>
                <w:color w:val="777777"/>
                <w:sz w:val="14"/>
                <w:szCs w:val="14"/>
              </w:rPr>
              <w:t xml:space="preserve">Applied Energy (2022)</w:t>
            </w:r>
          </w:p>
          <w:p>
            <w:pPr>
              <w:spacing w:after="0"/>
            </w:pPr>
            <w:r>
              <w:rPr>
                <w:rFonts w:ascii="Consolas" w:cs="Consolas" w:eastAsia="Consolas" w:hAnsi="Consolas"/>
                <w:color w:val="999999"/>
                <w:sz w:val="13"/>
                <w:szCs w:val="13"/>
              </w:rPr>
              <w:t xml:space="preserve">https://www.sciencedirect.com/science/article/abs/pii/S0306261921015567</w:t>
            </w:r>
          </w:p>
        </w:tc>
        <w:tc>
          <w:tcPr>
            <w:tcW w:type="dxa" w:w="4656"/>
            <w:shd w:fill="EDF1F8" w:val="clear"/>
            <w:tcMar>
              <w:top w:type="dxa" w:w="60"/>
              <w:left w:type="dxa" w:w="90"/>
              <w:bottom w:type="dxa" w:w="60"/>
              <w:right w:type="dxa" w:w="90"/>
            </w:tcMar>
          </w:tcPr>
          <w:p>
            <w:pPr>
              <w:spacing w:after="0"/>
            </w:pPr>
            <w:r>
              <w:rPr>
                <w:sz w:val="17"/>
                <w:szCs w:val="17"/>
              </w:rPr>
              <w:t xml:space="preserve">The most directly comparable prior art: constrained optimal ventilation with an explicit air-quality constraint, at building scale and with CO2 as the controlled variable.</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37</w:t>
            </w:r>
          </w:p>
        </w:tc>
        <w:tc>
          <w:tcPr>
            <w:tcW w:type="dxa" w:w="4559"/>
            <w:shd w:fill="FFFFFF" w:val="clear"/>
            <w:tcMar>
              <w:top w:type="dxa" w:w="60"/>
              <w:left w:type="dxa" w:w="90"/>
              <w:bottom w:type="dxa" w:w="60"/>
              <w:right w:type="dxa" w:w="90"/>
            </w:tcMar>
          </w:tcPr>
          <w:p>
            <w:pPr>
              <w:spacing w:after="20"/>
            </w:pPr>
            <w:hyperlink w:history="1" r:id="rId9uhiyx-dk3ydcmqppxzj9">
              <w:r>
                <w:rPr>
                  <w:color w:val="1155CC"/>
                  <w:sz w:val="17"/>
                  <w:szCs w:val="17"/>
                  <w:u w:val="single"/>
                </w:rPr>
                <w:t xml:space="preserve">Learning-based CO2 concentration prediction: application to IAQ control using demand-controlled ventilation</w:t>
              </w:r>
            </w:hyperlink>
          </w:p>
          <w:p>
            <w:pPr>
              <w:spacing w:after="20"/>
            </w:pPr>
            <w:r>
              <w:rPr>
                <w:i/>
                <w:iCs/>
                <w:color w:val="777777"/>
                <w:sz w:val="14"/>
                <w:szCs w:val="14"/>
              </w:rPr>
              <w:t xml:space="preserve">Building and Environment (2021)</w:t>
            </w:r>
          </w:p>
          <w:p>
            <w:pPr>
              <w:spacing w:after="0"/>
            </w:pPr>
            <w:r>
              <w:rPr>
                <w:rFonts w:ascii="Consolas" w:cs="Consolas" w:eastAsia="Consolas" w:hAnsi="Consolas"/>
                <w:color w:val="999999"/>
                <w:sz w:val="13"/>
                <w:szCs w:val="13"/>
              </w:rPr>
              <w:t xml:space="preserve">https://www.sciencedirect.com/science/article/abs/pii/S0360132321005655</w:t>
            </w:r>
          </w:p>
        </w:tc>
        <w:tc>
          <w:tcPr>
            <w:tcW w:type="dxa" w:w="4656"/>
            <w:shd w:fill="FFFFFF" w:val="clear"/>
            <w:tcMar>
              <w:top w:type="dxa" w:w="60"/>
              <w:left w:type="dxa" w:w="90"/>
              <w:bottom w:type="dxa" w:w="60"/>
              <w:right w:type="dxa" w:w="90"/>
            </w:tcMar>
          </w:tcPr>
          <w:p>
            <w:pPr>
              <w:spacing w:after="0"/>
            </w:pPr>
            <w:r>
              <w:rPr>
                <w:sz w:val="17"/>
                <w:szCs w:val="17"/>
              </w:rPr>
              <w:t xml:space="preserve">Precedent for a learned forecaster driving a ventilation controller; also illustrates the CO2-only scope this project deliberately extends to particulate matter.</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38</w:t>
            </w:r>
          </w:p>
        </w:tc>
        <w:tc>
          <w:tcPr>
            <w:tcW w:type="dxa" w:w="4559"/>
            <w:shd w:fill="EDF1F8" w:val="clear"/>
            <w:tcMar>
              <w:top w:type="dxa" w:w="60"/>
              <w:left w:type="dxa" w:w="90"/>
              <w:bottom w:type="dxa" w:w="60"/>
              <w:right w:type="dxa" w:w="90"/>
            </w:tcMar>
          </w:tcPr>
          <w:p>
            <w:pPr>
              <w:spacing w:after="20"/>
            </w:pPr>
            <w:hyperlink w:history="1" r:id="rIdxycb-0ew1le_llzke0qgd">
              <w:r>
                <w:rPr>
                  <w:color w:val="1155CC"/>
                  <w:sz w:val="17"/>
                  <w:szCs w:val="17"/>
                  <w:u w:val="single"/>
                </w:rPr>
                <w:t xml:space="preserve">Guidance on Demand-Controlled Kitchen Ventilation</w:t>
              </w:r>
            </w:hyperlink>
          </w:p>
          <w:p>
            <w:pPr>
              <w:spacing w:after="20"/>
            </w:pPr>
            <w:r>
              <w:rPr>
                <w:i/>
                <w:iCs/>
                <w:color w:val="777777"/>
                <w:sz w:val="14"/>
                <w:szCs w:val="14"/>
              </w:rPr>
              <w:t xml:space="preserve">US DOE Better Buildings Solution Center · Industry guidance</w:t>
            </w:r>
          </w:p>
          <w:p>
            <w:pPr>
              <w:spacing w:after="0"/>
            </w:pPr>
            <w:r>
              <w:rPr>
                <w:rFonts w:ascii="Consolas" w:cs="Consolas" w:eastAsia="Consolas" w:hAnsi="Consolas"/>
                <w:color w:val="999999"/>
                <w:sz w:val="13"/>
                <w:szCs w:val="13"/>
              </w:rPr>
              <w:t xml:space="preserve">https://betterbuildingssolutioncenter.energy.gov/sites/default/files/attachments/Guidance-on-Demand-Controlled-Kitchen-Ventilation.pdf</w:t>
            </w:r>
          </w:p>
        </w:tc>
        <w:tc>
          <w:tcPr>
            <w:tcW w:type="dxa" w:w="4656"/>
            <w:shd w:fill="EDF1F8" w:val="clear"/>
            <w:tcMar>
              <w:top w:type="dxa" w:w="60"/>
              <w:left w:type="dxa" w:w="90"/>
              <w:bottom w:type="dxa" w:w="60"/>
              <w:right w:type="dxa" w:w="90"/>
            </w:tcMar>
          </w:tcPr>
          <w:p>
            <w:pPr>
              <w:spacing w:after="0"/>
            </w:pPr>
            <w:r>
              <w:rPr>
                <w:sz w:val="17"/>
                <w:szCs w:val="17"/>
              </w:rPr>
              <w:t xml:space="preserve">Documents the commercial state of the art in the closest real application, and the savings range against which a low-cost node must be judged.</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39</w:t>
            </w:r>
          </w:p>
        </w:tc>
        <w:tc>
          <w:tcPr>
            <w:tcW w:type="dxa" w:w="4559"/>
            <w:shd w:fill="FFFFFF" w:val="clear"/>
            <w:tcMar>
              <w:top w:type="dxa" w:w="60"/>
              <w:left w:type="dxa" w:w="90"/>
              <w:bottom w:type="dxa" w:w="60"/>
              <w:right w:type="dxa" w:w="90"/>
            </w:tcMar>
          </w:tcPr>
          <w:p>
            <w:pPr>
              <w:spacing w:after="20"/>
            </w:pPr>
            <w:hyperlink w:history="1" r:id="rIdipuif7g7cj9ywpw1fju3x">
              <w:r>
                <w:rPr>
                  <w:color w:val="1155CC"/>
                  <w:sz w:val="17"/>
                  <w:szCs w:val="17"/>
                  <w:u w:val="single"/>
                </w:rPr>
                <w:t xml:space="preserve">Reinforcement learning for HVAC control in intelligent buildings: a technical and conceptual review</w:t>
              </w:r>
            </w:hyperlink>
          </w:p>
          <w:p>
            <w:pPr>
              <w:spacing w:after="20"/>
            </w:pPr>
            <w:r>
              <w:rPr>
                <w:i/>
                <w:iCs/>
                <w:color w:val="777777"/>
                <w:sz w:val="14"/>
                <w:szCs w:val="14"/>
              </w:rPr>
              <w:t xml:space="preserve">Journal of Building Engineering (2024)</w:t>
            </w:r>
          </w:p>
          <w:p>
            <w:pPr>
              <w:spacing w:after="0"/>
            </w:pPr>
            <w:r>
              <w:rPr>
                <w:rFonts w:ascii="Consolas" w:cs="Consolas" w:eastAsia="Consolas" w:hAnsi="Consolas"/>
                <w:color w:val="999999"/>
                <w:sz w:val="13"/>
                <w:szCs w:val="13"/>
              </w:rPr>
              <w:t xml:space="preserve">https://www.sciencedirect.com/science/article/pii/S235271022401653X</w:t>
            </w:r>
          </w:p>
        </w:tc>
        <w:tc>
          <w:tcPr>
            <w:tcW w:type="dxa" w:w="4656"/>
            <w:shd w:fill="FFFFFF" w:val="clear"/>
            <w:tcMar>
              <w:top w:type="dxa" w:w="60"/>
              <w:left w:type="dxa" w:w="90"/>
              <w:bottom w:type="dxa" w:w="60"/>
              <w:right w:type="dxa" w:w="90"/>
            </w:tcMar>
          </w:tcPr>
          <w:p>
            <w:pPr>
              <w:spacing w:after="0"/>
            </w:pPr>
            <w:r>
              <w:rPr>
                <w:sz w:val="17"/>
                <w:szCs w:val="17"/>
              </w:rPr>
              <w:t xml:space="preserve">The main alternative control paradigm; documents the data appetite and lack of constraint guarantees that led this project to choose MPC instead.</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40</w:t>
            </w:r>
          </w:p>
        </w:tc>
        <w:tc>
          <w:tcPr>
            <w:tcW w:type="dxa" w:w="4559"/>
            <w:shd w:fill="EDF1F8" w:val="clear"/>
            <w:tcMar>
              <w:top w:type="dxa" w:w="60"/>
              <w:left w:type="dxa" w:w="90"/>
              <w:bottom w:type="dxa" w:w="60"/>
              <w:right w:type="dxa" w:w="90"/>
            </w:tcMar>
          </w:tcPr>
          <w:p>
            <w:pPr>
              <w:spacing w:after="20"/>
            </w:pPr>
            <w:hyperlink w:history="1" r:id="rIdmhd6dkbvr7hquqilsu14x">
              <w:r>
                <w:rPr>
                  <w:color w:val="1155CC"/>
                  <w:sz w:val="17"/>
                  <w:szCs w:val="17"/>
                  <w:u w:val="single"/>
                </w:rPr>
                <w:t xml:space="preserve">Enhancing PM2.5 prediction using NARX-based combined CNN and LSTM hybrid model</w:t>
              </w:r>
            </w:hyperlink>
          </w:p>
          <w:p>
            <w:pPr>
              <w:spacing w:after="20"/>
            </w:pPr>
            <w:r>
              <w:rPr>
                <w:i/>
                <w:iCs/>
                <w:color w:val="777777"/>
                <w:sz w:val="14"/>
                <w:szCs w:val="14"/>
              </w:rPr>
              <w:t xml:space="preserve">Sensors / PMC (2022)</w:t>
            </w:r>
          </w:p>
          <w:p>
            <w:pPr>
              <w:spacing w:after="0"/>
            </w:pPr>
            <w:r>
              <w:rPr>
                <w:rFonts w:ascii="Consolas" w:cs="Consolas" w:eastAsia="Consolas" w:hAnsi="Consolas"/>
                <w:color w:val="999999"/>
                <w:sz w:val="13"/>
                <w:szCs w:val="13"/>
              </w:rPr>
              <w:t xml:space="preserve">https://pmc.ncbi.nlm.nih.gov/articles/PMC9228573/</w:t>
            </w:r>
          </w:p>
        </w:tc>
        <w:tc>
          <w:tcPr>
            <w:tcW w:type="dxa" w:w="4656"/>
            <w:shd w:fill="EDF1F8" w:val="clear"/>
            <w:tcMar>
              <w:top w:type="dxa" w:w="60"/>
              <w:left w:type="dxa" w:w="90"/>
              <w:bottom w:type="dxa" w:w="60"/>
              <w:right w:type="dxa" w:w="90"/>
            </w:tcMar>
          </w:tcPr>
          <w:p>
            <w:pPr>
              <w:spacing w:after="0"/>
            </w:pPr>
            <w:r>
              <w:rPr>
                <w:sz w:val="17"/>
                <w:szCs w:val="17"/>
              </w:rPr>
              <w:t xml:space="preserve">Representative of the NARX-for-air-quality literature: strong forecasting accuracy, but evaluated as a forecaster and never placed inside a controller.</w:t>
            </w:r>
          </w:p>
        </w:tc>
      </w:tr>
    </w:tbl>
    <w:p>
      <w:pPr>
        <w:spacing w:after="120"/>
      </w:pPr>
    </w:p>
    <w:p>
      <w:pPr>
        <w:pStyle w:val="Heading1"/>
      </w:pPr>
      <w:r>
        <w:t xml:space="preserve">8. Sensor calibration, drift and automatic fault detection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41</w:t>
            </w:r>
          </w:p>
        </w:tc>
        <w:tc>
          <w:tcPr>
            <w:tcW w:type="dxa" w:w="4559"/>
            <w:shd w:fill="FFFFFF" w:val="clear"/>
            <w:tcMar>
              <w:top w:type="dxa" w:w="60"/>
              <w:left w:type="dxa" w:w="90"/>
              <w:bottom w:type="dxa" w:w="60"/>
              <w:right w:type="dxa" w:w="90"/>
            </w:tcMar>
          </w:tcPr>
          <w:p>
            <w:pPr>
              <w:spacing w:after="20"/>
            </w:pPr>
            <w:hyperlink w:history="1" r:id="rIdyztfs3o5ambxpezdd1fx0">
              <w:r>
                <w:rPr>
                  <w:color w:val="1155CC"/>
                  <w:sz w:val="17"/>
                  <w:szCs w:val="17"/>
                  <w:u w:val="single"/>
                </w:rPr>
                <w:t xml:space="preserve">Towards a hygroscopic growth calibration for low-cost PM2.5 sensors</w:t>
              </w:r>
            </w:hyperlink>
          </w:p>
          <w:p>
            <w:pPr>
              <w:spacing w:after="20"/>
            </w:pPr>
            <w:r>
              <w:rPr>
                <w:i/>
                <w:iCs/>
                <w:color w:val="777777"/>
                <w:sz w:val="14"/>
                <w:szCs w:val="14"/>
              </w:rPr>
              <w:t xml:space="preserve">Atmospheric Measurement Techniques 17, 1051 (2024)</w:t>
            </w:r>
          </w:p>
          <w:p>
            <w:pPr>
              <w:spacing w:after="0"/>
            </w:pPr>
            <w:r>
              <w:rPr>
                <w:rFonts w:ascii="Consolas" w:cs="Consolas" w:eastAsia="Consolas" w:hAnsi="Consolas"/>
                <w:color w:val="999999"/>
                <w:sz w:val="13"/>
                <w:szCs w:val="13"/>
              </w:rPr>
              <w:t xml:space="preserve">https://amt.copernicus.org/articles/17/1051/2024/</w:t>
            </w:r>
          </w:p>
        </w:tc>
        <w:tc>
          <w:tcPr>
            <w:tcW w:type="dxa" w:w="4656"/>
            <w:shd w:fill="FFFFFF" w:val="clear"/>
            <w:tcMar>
              <w:top w:type="dxa" w:w="60"/>
              <w:left w:type="dxa" w:w="90"/>
              <w:bottom w:type="dxa" w:w="60"/>
              <w:right w:type="dxa" w:w="90"/>
            </w:tcMar>
          </w:tcPr>
          <w:p>
            <w:pPr>
              <w:spacing w:after="0"/>
            </w:pPr>
            <w:r>
              <w:rPr>
                <w:sz w:val="17"/>
                <w:szCs w:val="17"/>
              </w:rPr>
              <w:t xml:space="preserve">The source of the kappa-Köhler style humidity correction applied to PM readings, and of the RH ceiling above which the reading is invalidated.</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42</w:t>
            </w:r>
          </w:p>
        </w:tc>
        <w:tc>
          <w:tcPr>
            <w:tcW w:type="dxa" w:w="4559"/>
            <w:shd w:fill="EDF1F8" w:val="clear"/>
            <w:tcMar>
              <w:top w:type="dxa" w:w="60"/>
              <w:left w:type="dxa" w:w="90"/>
              <w:bottom w:type="dxa" w:w="60"/>
              <w:right w:type="dxa" w:w="90"/>
            </w:tcMar>
          </w:tcPr>
          <w:p>
            <w:pPr>
              <w:spacing w:after="20"/>
            </w:pPr>
            <w:hyperlink w:history="1" r:id="rIdvofuwabkewhduo0wc_a8h">
              <w:r>
                <w:rPr>
                  <w:color w:val="1155CC"/>
                  <w:sz w:val="17"/>
                  <w:szCs w:val="17"/>
                  <w:u w:val="single"/>
                </w:rPr>
                <w:t xml:space="preserve">Particle number size distribution evaluation of Plantower PMS5003 low-cost PM sensors — a field experiment</w:t>
              </w:r>
            </w:hyperlink>
          </w:p>
          <w:p>
            <w:pPr>
              <w:spacing w:after="20"/>
            </w:pPr>
            <w:r>
              <w:rPr>
                <w:i/>
                <w:iCs/>
                <w:color w:val="777777"/>
                <w:sz w:val="14"/>
                <w:szCs w:val="14"/>
              </w:rPr>
              <w:t xml:space="preserve">Environmental Science: Atmospheres (2024)</w:t>
            </w:r>
          </w:p>
          <w:p>
            <w:pPr>
              <w:spacing w:after="0"/>
            </w:pPr>
            <w:r>
              <w:rPr>
                <w:rFonts w:ascii="Consolas" w:cs="Consolas" w:eastAsia="Consolas" w:hAnsi="Consolas"/>
                <w:color w:val="999999"/>
                <w:sz w:val="13"/>
                <w:szCs w:val="13"/>
              </w:rPr>
              <w:t xml:space="preserve">https://pubs.rsc.org/ea/article/4/10/1183/848301/Particle-number-size-distribution-evaluation-of</w:t>
            </w:r>
          </w:p>
        </w:tc>
        <w:tc>
          <w:tcPr>
            <w:tcW w:type="dxa" w:w="4656"/>
            <w:shd w:fill="EDF1F8" w:val="clear"/>
            <w:tcMar>
              <w:top w:type="dxa" w:w="60"/>
              <w:left w:type="dxa" w:w="90"/>
              <w:bottom w:type="dxa" w:w="60"/>
              <w:right w:type="dxa" w:w="90"/>
            </w:tcMar>
          </w:tcPr>
          <w:p>
            <w:pPr>
              <w:spacing w:after="0"/>
            </w:pPr>
            <w:r>
              <w:rPr>
                <w:sz w:val="17"/>
                <w:szCs w:val="17"/>
              </w:rPr>
              <w:t xml:space="preserve">Evidence that the bin counts are less processed and often more informative than the derived mass values — the reason both are logged.</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43</w:t>
            </w:r>
          </w:p>
        </w:tc>
        <w:tc>
          <w:tcPr>
            <w:tcW w:type="dxa" w:w="4559"/>
            <w:shd w:fill="FFFFFF" w:val="clear"/>
            <w:tcMar>
              <w:top w:type="dxa" w:w="60"/>
              <w:left w:type="dxa" w:w="90"/>
              <w:bottom w:type="dxa" w:w="60"/>
              <w:right w:type="dxa" w:w="90"/>
            </w:tcMar>
          </w:tcPr>
          <w:p>
            <w:pPr>
              <w:spacing w:after="20"/>
            </w:pPr>
            <w:hyperlink w:history="1" r:id="rIdlckukg-awyujupcvzibhr">
              <w:r>
                <w:rPr>
                  <w:color w:val="1155CC"/>
                  <w:sz w:val="17"/>
                  <w:szCs w:val="17"/>
                  <w:u w:val="single"/>
                </w:rPr>
                <w:t xml:space="preserve">Correction model for metal oxide sensor drift caused by ambient temperature and humidity</w:t>
              </w:r>
            </w:hyperlink>
          </w:p>
          <w:p>
            <w:pPr>
              <w:spacing w:after="20"/>
            </w:pPr>
            <w:r>
              <w:rPr>
                <w:i/>
                <w:iCs/>
                <w:color w:val="777777"/>
                <w:sz w:val="14"/>
                <w:szCs w:val="14"/>
              </w:rPr>
              <w:t xml:space="preserve">Sensors 22(9), 3301 (2022)</w:t>
            </w:r>
          </w:p>
          <w:p>
            <w:pPr>
              <w:spacing w:after="0"/>
            </w:pPr>
            <w:r>
              <w:rPr>
                <w:rFonts w:ascii="Consolas" w:cs="Consolas" w:eastAsia="Consolas" w:hAnsi="Consolas"/>
                <w:color w:val="999999"/>
                <w:sz w:val="13"/>
                <w:szCs w:val="13"/>
              </w:rPr>
              <w:t xml:space="preserve">https://doi.org/10.3390/s22093301</w:t>
            </w:r>
          </w:p>
        </w:tc>
        <w:tc>
          <w:tcPr>
            <w:tcW w:type="dxa" w:w="4656"/>
            <w:shd w:fill="FFFFFF" w:val="clear"/>
            <w:tcMar>
              <w:top w:type="dxa" w:w="60"/>
              <w:left w:type="dxa" w:w="90"/>
              <w:bottom w:type="dxa" w:w="60"/>
              <w:right w:type="dxa" w:w="90"/>
            </w:tcMar>
          </w:tcPr>
          <w:p>
            <w:pPr>
              <w:spacing w:after="0"/>
            </w:pPr>
            <w:r>
              <w:rPr>
                <w:sz w:val="17"/>
                <w:szCs w:val="17"/>
              </w:rPr>
              <w:t xml:space="preserve">The correction surface applied to the MQ ratio, without which the model learns that humid afternoons are polluted.</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44</w:t>
            </w:r>
          </w:p>
        </w:tc>
        <w:tc>
          <w:tcPr>
            <w:tcW w:type="dxa" w:w="4559"/>
            <w:shd w:fill="EDF1F8" w:val="clear"/>
            <w:tcMar>
              <w:top w:type="dxa" w:w="60"/>
              <w:left w:type="dxa" w:w="90"/>
              <w:bottom w:type="dxa" w:w="60"/>
              <w:right w:type="dxa" w:w="90"/>
            </w:tcMar>
          </w:tcPr>
          <w:p>
            <w:pPr>
              <w:spacing w:after="20"/>
            </w:pPr>
            <w:hyperlink w:history="1" r:id="rIdnkwro0qudtyy12gszhmgl">
              <w:r>
                <w:rPr>
                  <w:color w:val="1155CC"/>
                  <w:sz w:val="17"/>
                  <w:szCs w:val="17"/>
                  <w:u w:val="single"/>
                </w:rPr>
                <w:t xml:space="preserve">A comprehensive review of algorithms for drift compensation in MOS gas sensor arrays</w:t>
              </w:r>
            </w:hyperlink>
          </w:p>
          <w:p>
            <w:pPr>
              <w:spacing w:after="20"/>
            </w:pPr>
            <w:r>
              <w:rPr>
                <w:i/>
                <w:iCs/>
                <w:color w:val="777777"/>
                <w:sz w:val="14"/>
                <w:szCs w:val="14"/>
              </w:rPr>
              <w:t xml:space="preserve">Chemosensors (2026)</w:t>
            </w:r>
          </w:p>
          <w:p>
            <w:pPr>
              <w:spacing w:after="0"/>
            </w:pPr>
            <w:r>
              <w:rPr>
                <w:rFonts w:ascii="Consolas" w:cs="Consolas" w:eastAsia="Consolas" w:hAnsi="Consolas"/>
                <w:color w:val="999999"/>
                <w:sz w:val="13"/>
                <w:szCs w:val="13"/>
              </w:rPr>
              <w:t xml:space="preserve">https://doi.org/10.3390/chemosensors14060143</w:t>
            </w:r>
          </w:p>
        </w:tc>
        <w:tc>
          <w:tcPr>
            <w:tcW w:type="dxa" w:w="4656"/>
            <w:shd w:fill="EDF1F8" w:val="clear"/>
            <w:tcMar>
              <w:top w:type="dxa" w:w="60"/>
              <w:left w:type="dxa" w:w="90"/>
              <w:bottom w:type="dxa" w:w="60"/>
              <w:right w:type="dxa" w:w="90"/>
            </w:tcMar>
          </w:tcPr>
          <w:p>
            <w:pPr>
              <w:spacing w:after="0"/>
            </w:pPr>
            <w:r>
              <w:rPr>
                <w:sz w:val="17"/>
                <w:szCs w:val="17"/>
              </w:rPr>
              <w:t xml:space="preserve">Survey of the drift problem and its remedies; justifies the ratio-only, R0-tracking, baseline-differencing strategy adopted here.</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45</w:t>
            </w:r>
          </w:p>
        </w:tc>
        <w:tc>
          <w:tcPr>
            <w:tcW w:type="dxa" w:w="4559"/>
            <w:shd w:fill="FFFFFF" w:val="clear"/>
            <w:tcMar>
              <w:top w:type="dxa" w:w="60"/>
              <w:left w:type="dxa" w:w="90"/>
              <w:bottom w:type="dxa" w:w="60"/>
              <w:right w:type="dxa" w:w="90"/>
            </w:tcMar>
          </w:tcPr>
          <w:p>
            <w:pPr>
              <w:spacing w:after="20"/>
            </w:pPr>
            <w:hyperlink w:history="1" r:id="rIdzuf3plhvz2ekwqmpfpljp">
              <w:r>
                <w:rPr>
                  <w:color w:val="1155CC"/>
                  <w:sz w:val="17"/>
                  <w:szCs w:val="17"/>
                  <w:u w:val="single"/>
                </w:rPr>
                <w:t xml:space="preserve">Anomaly detection and repairing for improving air quality monitoring</w:t>
              </w:r>
            </w:hyperlink>
          </w:p>
          <w:p>
            <w:pPr>
              <w:spacing w:after="20"/>
            </w:pPr>
            <w:r>
              <w:rPr>
                <w:i/>
                <w:iCs/>
                <w:color w:val="777777"/>
                <w:sz w:val="14"/>
                <w:szCs w:val="14"/>
              </w:rPr>
              <w:t xml:space="preserve">Sensors 23(2), 640 (2023)</w:t>
            </w:r>
          </w:p>
          <w:p>
            <w:pPr>
              <w:spacing w:after="0"/>
            </w:pPr>
            <w:r>
              <w:rPr>
                <w:rFonts w:ascii="Consolas" w:cs="Consolas" w:eastAsia="Consolas" w:hAnsi="Consolas"/>
                <w:color w:val="999999"/>
                <w:sz w:val="13"/>
                <w:szCs w:val="13"/>
              </w:rPr>
              <w:t xml:space="preserve">https://www.mdpi.com/1424-8220/23/2/640</w:t>
            </w:r>
          </w:p>
        </w:tc>
        <w:tc>
          <w:tcPr>
            <w:tcW w:type="dxa" w:w="4656"/>
            <w:shd w:fill="FFFFFF" w:val="clear"/>
            <w:tcMar>
              <w:top w:type="dxa" w:w="60"/>
              <w:left w:type="dxa" w:w="90"/>
              <w:bottom w:type="dxa" w:w="60"/>
              <w:right w:type="dxa" w:w="90"/>
            </w:tcMar>
          </w:tcPr>
          <w:p>
            <w:pPr>
              <w:spacing w:after="0"/>
            </w:pPr>
            <w:r>
              <w:rPr>
                <w:sz w:val="17"/>
                <w:szCs w:val="17"/>
              </w:rPr>
              <w:t xml:space="preserve">Prior art for the automatic sensor-health and validity layer — detecting a failing sensor before its output becomes training data.</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46</w:t>
            </w:r>
          </w:p>
        </w:tc>
        <w:tc>
          <w:tcPr>
            <w:tcW w:type="dxa" w:w="4559"/>
            <w:shd w:fill="EDF1F8" w:val="clear"/>
            <w:tcMar>
              <w:top w:type="dxa" w:w="60"/>
              <w:left w:type="dxa" w:w="90"/>
              <w:bottom w:type="dxa" w:w="60"/>
              <w:right w:type="dxa" w:w="90"/>
            </w:tcMar>
          </w:tcPr>
          <w:p>
            <w:pPr>
              <w:spacing w:after="20"/>
            </w:pPr>
            <w:hyperlink w:history="1" r:id="rIdoshrnsz5pf8yqc6iq8eqp">
              <w:r>
                <w:rPr>
                  <w:color w:val="1155CC"/>
                  <w:sz w:val="17"/>
                  <w:szCs w:val="17"/>
                  <w:u w:val="single"/>
                </w:rPr>
                <w:t xml:space="preserve">Particle deposition rates in residential houses</w:t>
              </w:r>
            </w:hyperlink>
          </w:p>
          <w:p>
            <w:pPr>
              <w:spacing w:after="20"/>
            </w:pPr>
            <w:r>
              <w:rPr>
                <w:i/>
                <w:iCs/>
                <w:color w:val="777777"/>
                <w:sz w:val="14"/>
                <w:szCs w:val="14"/>
              </w:rPr>
              <w:t xml:space="preserve">Atmospheric Environment (2005)</w:t>
            </w:r>
          </w:p>
          <w:p>
            <w:pPr>
              <w:spacing w:after="0"/>
            </w:pPr>
            <w:r>
              <w:rPr>
                <w:rFonts w:ascii="Consolas" w:cs="Consolas" w:eastAsia="Consolas" w:hAnsi="Consolas"/>
                <w:color w:val="999999"/>
                <w:sz w:val="13"/>
                <w:szCs w:val="13"/>
              </w:rPr>
              <w:t xml:space="preserve">https://www.sciencedirect.com/science/article/abs/pii/S1352231005002815</w:t>
            </w:r>
          </w:p>
        </w:tc>
        <w:tc>
          <w:tcPr>
            <w:tcW w:type="dxa" w:w="4656"/>
            <w:shd w:fill="EDF1F8" w:val="clear"/>
            <w:tcMar>
              <w:top w:type="dxa" w:w="60"/>
              <w:left w:type="dxa" w:w="90"/>
              <w:bottom w:type="dxa" w:w="60"/>
              <w:right w:type="dxa" w:w="90"/>
            </w:tcMar>
          </w:tcPr>
          <w:p>
            <w:pPr>
              <w:spacing w:after="0"/>
            </w:pPr>
            <w:r>
              <w:rPr>
                <w:sz w:val="17"/>
                <w:szCs w:val="17"/>
              </w:rPr>
              <w:t xml:space="preserve">Published deposition rates and their dependence on surface-to-volume ratio — the sanity check for the k_dep values measured in the 250 mm chamber.</w:t>
            </w:r>
          </w:p>
        </w:tc>
      </w:tr>
    </w:tbl>
    <w:p>
      <w:pPr>
        <w:spacing w:after="120"/>
      </w:pPr>
    </w:p>
    <w:p>
      <w:pPr>
        <w:pStyle w:val="Heading1"/>
      </w:pPr>
      <w:r>
        <w:t xml:space="preserve">9. Reference implementations and open-source repositories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4559"/>
        <w:gridCol w:w="4656"/>
      </w:tblGrid>
      <w:tr>
        <w:trPr>
          <w:tblHeader/>
        </w:trPr>
        <w:tc>
          <w:tcPr>
            <w:tcW w:type="dxa" w:w="485"/>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559"/>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4656"/>
            <w:shd w:fill="1F3864" w:val="clear"/>
            <w:tcMar>
              <w:top w:type="dxa" w:w="60"/>
              <w:left w:type="dxa" w:w="90"/>
              <w:bottom w:type="dxa" w:w="60"/>
              <w:right w:type="dxa" w:w="90"/>
            </w:tcMar>
          </w:tcPr>
          <w:p>
            <w:pPr>
              <w:spacing w:after="0"/>
            </w:pPr>
            <w:r>
              <w:rPr>
                <w:b/>
                <w:bCs/>
                <w:color w:val="FFFFFF"/>
                <w:sz w:val="17"/>
                <w:szCs w:val="17"/>
              </w:rPr>
              <w:t xml:space="preserve">Why it matters to VENTIS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47</w:t>
            </w:r>
          </w:p>
        </w:tc>
        <w:tc>
          <w:tcPr>
            <w:tcW w:type="dxa" w:w="4559"/>
            <w:shd w:fill="FFFFFF" w:val="clear"/>
            <w:tcMar>
              <w:top w:type="dxa" w:w="60"/>
              <w:left w:type="dxa" w:w="90"/>
              <w:bottom w:type="dxa" w:w="60"/>
              <w:right w:type="dxa" w:w="90"/>
            </w:tcMar>
          </w:tcPr>
          <w:p>
            <w:pPr>
              <w:spacing w:after="20"/>
            </w:pPr>
            <w:hyperlink w:history="1" r:id="rIdyesznvga_6psgqk9pbf7x">
              <w:r>
                <w:rPr>
                  <w:color w:val="1155CC"/>
                  <w:sz w:val="17"/>
                  <w:szCs w:val="17"/>
                  <w:u w:val="single"/>
                </w:rPr>
                <w:t xml:space="preserve">do-mpc — model predictive control Python toolbox</w:t>
              </w:r>
            </w:hyperlink>
          </w:p>
          <w:p>
            <w:pPr>
              <w:spacing w:after="20"/>
            </w:pPr>
            <w:r>
              <w:rPr>
                <w:i/>
                <w:iCs/>
                <w:color w:val="777777"/>
                <w:sz w:val="14"/>
                <w:szCs w:val="14"/>
              </w:rPr>
              <w:t xml:space="preserve">GitHub · Open source</w:t>
            </w:r>
          </w:p>
          <w:p>
            <w:pPr>
              <w:spacing w:after="0"/>
            </w:pPr>
            <w:r>
              <w:rPr>
                <w:rFonts w:ascii="Consolas" w:cs="Consolas" w:eastAsia="Consolas" w:hAnsi="Consolas"/>
                <w:color w:val="999999"/>
                <w:sz w:val="13"/>
                <w:szCs w:val="13"/>
              </w:rPr>
              <w:t xml:space="preserve">https://github.com/do-mpc/do-mpc</w:t>
            </w:r>
          </w:p>
        </w:tc>
        <w:tc>
          <w:tcPr>
            <w:tcW w:type="dxa" w:w="4656"/>
            <w:shd w:fill="FFFFFF" w:val="clear"/>
            <w:tcMar>
              <w:top w:type="dxa" w:w="60"/>
              <w:left w:type="dxa" w:w="90"/>
              <w:bottom w:type="dxa" w:w="60"/>
              <w:right w:type="dxa" w:w="90"/>
            </w:tcMar>
          </w:tcPr>
          <w:p>
            <w:pPr>
              <w:spacing w:after="0"/>
            </w:pPr>
            <w:r>
              <w:rPr>
                <w:sz w:val="17"/>
                <w:szCs w:val="17"/>
              </w:rPr>
              <w:t xml:space="preserve">Reference implementation for the phase-2 controller, including worked NMPC examples with soft constraints.</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48</w:t>
            </w:r>
          </w:p>
        </w:tc>
        <w:tc>
          <w:tcPr>
            <w:tcW w:type="dxa" w:w="4559"/>
            <w:shd w:fill="EDF1F8" w:val="clear"/>
            <w:tcMar>
              <w:top w:type="dxa" w:w="60"/>
              <w:left w:type="dxa" w:w="90"/>
              <w:bottom w:type="dxa" w:w="60"/>
              <w:right w:type="dxa" w:w="90"/>
            </w:tcMar>
          </w:tcPr>
          <w:p>
            <w:pPr>
              <w:spacing w:after="20"/>
            </w:pPr>
            <w:hyperlink w:history="1" r:id="rId0jcaoo3phe72dtdf2k1lr">
              <w:r>
                <w:rPr>
                  <w:color w:val="1155CC"/>
                  <w:sz w:val="17"/>
                  <w:szCs w:val="17"/>
                  <w:u w:val="single"/>
                </w:rPr>
                <w:t xml:space="preserve">online-ml/river — online machine learning in Python</w:t>
              </w:r>
            </w:hyperlink>
          </w:p>
          <w:p>
            <w:pPr>
              <w:spacing w:after="20"/>
            </w:pPr>
            <w:r>
              <w:rPr>
                <w:i/>
                <w:iCs/>
                <w:color w:val="777777"/>
                <w:sz w:val="14"/>
                <w:szCs w:val="14"/>
              </w:rPr>
              <w:t xml:space="preserve">GitHub · Open source</w:t>
            </w:r>
          </w:p>
          <w:p>
            <w:pPr>
              <w:spacing w:after="0"/>
            </w:pPr>
            <w:r>
              <w:rPr>
                <w:rFonts w:ascii="Consolas" w:cs="Consolas" w:eastAsia="Consolas" w:hAnsi="Consolas"/>
                <w:color w:val="999999"/>
                <w:sz w:val="13"/>
                <w:szCs w:val="13"/>
              </w:rPr>
              <w:t xml:space="preserve">https://github.com/online-ml/river</w:t>
            </w:r>
          </w:p>
        </w:tc>
        <w:tc>
          <w:tcPr>
            <w:tcW w:type="dxa" w:w="4656"/>
            <w:shd w:fill="EDF1F8" w:val="clear"/>
            <w:tcMar>
              <w:top w:type="dxa" w:w="60"/>
              <w:left w:type="dxa" w:w="90"/>
              <w:bottom w:type="dxa" w:w="60"/>
              <w:right w:type="dxa" w:w="90"/>
            </w:tcMar>
          </w:tcPr>
          <w:p>
            <w:pPr>
              <w:spacing w:after="0"/>
            </w:pPr>
            <w:r>
              <w:rPr>
                <w:sz w:val="17"/>
                <w:szCs w:val="17"/>
              </w:rPr>
              <w:t xml:space="preserve">Production-quality Page-Hinkley and ADWIN drift detectors, used directly for the drift-detection layer.</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49</w:t>
            </w:r>
          </w:p>
        </w:tc>
        <w:tc>
          <w:tcPr>
            <w:tcW w:type="dxa" w:w="4559"/>
            <w:shd w:fill="FFFFFF" w:val="clear"/>
            <w:tcMar>
              <w:top w:type="dxa" w:w="60"/>
              <w:left w:type="dxa" w:w="90"/>
              <w:bottom w:type="dxa" w:w="60"/>
              <w:right w:type="dxa" w:w="90"/>
            </w:tcMar>
          </w:tcPr>
          <w:p>
            <w:pPr>
              <w:spacing w:after="20"/>
            </w:pPr>
            <w:hyperlink w:history="1" r:id="rIdgcwob8vgndnmd8zk5invf">
              <w:r>
                <w:rPr>
                  <w:color w:val="1155CC"/>
                  <w:sz w:val="17"/>
                  <w:szCs w:val="17"/>
                  <w:u w:val="single"/>
                </w:rPr>
                <w:t xml:space="preserve">ESPHome</w:t>
              </w:r>
            </w:hyperlink>
          </w:p>
          <w:p>
            <w:pPr>
              <w:spacing w:after="20"/>
            </w:pPr>
            <w:r>
              <w:rPr>
                <w:i/>
                <w:iCs/>
                <w:color w:val="777777"/>
                <w:sz w:val="14"/>
                <w:szCs w:val="14"/>
              </w:rPr>
              <w:t xml:space="preserve">Open source · Firmware framework</w:t>
            </w:r>
          </w:p>
          <w:p>
            <w:pPr>
              <w:spacing w:after="0"/>
            </w:pPr>
            <w:r>
              <w:rPr>
                <w:rFonts w:ascii="Consolas" w:cs="Consolas" w:eastAsia="Consolas" w:hAnsi="Consolas"/>
                <w:color w:val="999999"/>
                <w:sz w:val="13"/>
                <w:szCs w:val="13"/>
              </w:rPr>
              <w:t xml:space="preserve">https://esphome.io/</w:t>
            </w:r>
          </w:p>
        </w:tc>
        <w:tc>
          <w:tcPr>
            <w:tcW w:type="dxa" w:w="4656"/>
            <w:shd w:fill="FFFFFF" w:val="clear"/>
            <w:tcMar>
              <w:top w:type="dxa" w:w="60"/>
              <w:left w:type="dxa" w:w="90"/>
              <w:bottom w:type="dxa" w:w="60"/>
              <w:right w:type="dxa" w:w="90"/>
            </w:tcMar>
          </w:tcPr>
          <w:p>
            <w:pPr>
              <w:spacing w:after="0"/>
            </w:pPr>
            <w:r>
              <w:rPr>
                <w:sz w:val="17"/>
                <w:szCs w:val="17"/>
              </w:rPr>
              <w:t xml:space="preserve">Battle-tested reference drivers for PMSX003, MH-Z19 and DHT sensors; useful as a correctness cross-check for the custom firmware's framing and checksums.</w:t>
            </w:r>
          </w:p>
        </w:tc>
      </w:tr>
      <w:tr>
        <w:tc>
          <w:tcPr>
            <w:tcW w:type="dxa" w:w="485"/>
            <w:shd w:fill="EDF1F8" w:val="clear"/>
            <w:tcMar>
              <w:top w:type="dxa" w:w="60"/>
              <w:left w:type="dxa" w:w="90"/>
              <w:bottom w:type="dxa" w:w="60"/>
              <w:right w:type="dxa" w:w="90"/>
            </w:tcMar>
          </w:tcPr>
          <w:p>
            <w:pPr>
              <w:spacing w:after="0"/>
            </w:pPr>
            <w:r>
              <w:rPr>
                <w:b/>
                <w:bCs/>
                <w:color w:val="1F3864"/>
                <w:sz w:val="17"/>
                <w:szCs w:val="17"/>
              </w:rPr>
              <w:t xml:space="preserve">50</w:t>
            </w:r>
          </w:p>
        </w:tc>
        <w:tc>
          <w:tcPr>
            <w:tcW w:type="dxa" w:w="4559"/>
            <w:shd w:fill="EDF1F8" w:val="clear"/>
            <w:tcMar>
              <w:top w:type="dxa" w:w="60"/>
              <w:left w:type="dxa" w:w="90"/>
              <w:bottom w:type="dxa" w:w="60"/>
              <w:right w:type="dxa" w:w="90"/>
            </w:tcMar>
          </w:tcPr>
          <w:p>
            <w:pPr>
              <w:spacing w:after="20"/>
            </w:pPr>
            <w:hyperlink w:history="1" r:id="rIdv8mwp1sm372fowlvm0erc">
              <w:r>
                <w:rPr>
                  <w:color w:val="1155CC"/>
                  <w:sz w:val="17"/>
                  <w:szCs w:val="17"/>
                  <w:u w:val="single"/>
                </w:rPr>
                <w:t xml:space="preserve">Aquality32: a low-cost, open-source air quality monitoring device leveraging the ESP32</w:t>
              </w:r>
            </w:hyperlink>
          </w:p>
          <w:p>
            <w:pPr>
              <w:spacing w:after="20"/>
            </w:pPr>
            <w:r>
              <w:rPr>
                <w:i/>
                <w:iCs/>
                <w:color w:val="777777"/>
                <w:sz w:val="14"/>
                <w:szCs w:val="14"/>
              </w:rPr>
              <w:t xml:space="preserve">HardwareX (2024) · Open hardware</w:t>
            </w:r>
          </w:p>
          <w:p>
            <w:pPr>
              <w:spacing w:after="0"/>
            </w:pPr>
            <w:r>
              <w:rPr>
                <w:rFonts w:ascii="Consolas" w:cs="Consolas" w:eastAsia="Consolas" w:hAnsi="Consolas"/>
                <w:color w:val="999999"/>
                <w:sz w:val="13"/>
                <w:szCs w:val="13"/>
              </w:rPr>
              <w:t xml:space="preserve">https://www.hardware-x.com/article/S2468-0672(24)00101-9/fulltext</w:t>
            </w:r>
          </w:p>
        </w:tc>
        <w:tc>
          <w:tcPr>
            <w:tcW w:type="dxa" w:w="4656"/>
            <w:shd w:fill="EDF1F8" w:val="clear"/>
            <w:tcMar>
              <w:top w:type="dxa" w:w="60"/>
              <w:left w:type="dxa" w:w="90"/>
              <w:bottom w:type="dxa" w:w="60"/>
              <w:right w:type="dxa" w:w="90"/>
            </w:tcMar>
          </w:tcPr>
          <w:p>
            <w:pPr>
              <w:spacing w:after="0"/>
            </w:pPr>
            <w:r>
              <w:rPr>
                <w:sz w:val="17"/>
                <w:szCs w:val="17"/>
              </w:rPr>
              <w:t xml:space="preserve">The closest published open-hardware ESP32 air-quality node — a direct comparison point for what a monitoring-only device achieves.</w:t>
            </w:r>
          </w:p>
        </w:tc>
      </w:tr>
      <w:tr>
        <w:tc>
          <w:tcPr>
            <w:tcW w:type="dxa" w:w="485"/>
            <w:shd w:fill="FFFFFF" w:val="clear"/>
            <w:tcMar>
              <w:top w:type="dxa" w:w="60"/>
              <w:left w:type="dxa" w:w="90"/>
              <w:bottom w:type="dxa" w:w="60"/>
              <w:right w:type="dxa" w:w="90"/>
            </w:tcMar>
          </w:tcPr>
          <w:p>
            <w:pPr>
              <w:spacing w:after="0"/>
            </w:pPr>
            <w:r>
              <w:rPr>
                <w:b/>
                <w:bCs/>
                <w:color w:val="1F3864"/>
                <w:sz w:val="17"/>
                <w:szCs w:val="17"/>
              </w:rPr>
              <w:t xml:space="preserve">51</w:t>
            </w:r>
          </w:p>
        </w:tc>
        <w:tc>
          <w:tcPr>
            <w:tcW w:type="dxa" w:w="4559"/>
            <w:shd w:fill="FFFFFF" w:val="clear"/>
            <w:tcMar>
              <w:top w:type="dxa" w:w="60"/>
              <w:left w:type="dxa" w:w="90"/>
              <w:bottom w:type="dxa" w:w="60"/>
              <w:right w:type="dxa" w:w="90"/>
            </w:tcMar>
          </w:tcPr>
          <w:p>
            <w:pPr>
              <w:spacing w:after="20"/>
            </w:pPr>
            <w:hyperlink w:history="1" r:id="rIdjdapzrb7fv8kt_zhklql3">
              <w:r>
                <w:rPr>
                  <w:color w:val="1155CC"/>
                  <w:sz w:val="17"/>
                  <w:szCs w:val="17"/>
                  <w:u w:val="single"/>
                </w:rPr>
                <w:t xml:space="preserve">WifWaf/MH-Z19 — Arduino library for the MH-Z19 CO2 sensor</w:t>
              </w:r>
            </w:hyperlink>
          </w:p>
          <w:p>
            <w:pPr>
              <w:spacing w:after="20"/>
            </w:pPr>
            <w:r>
              <w:rPr>
                <w:i/>
                <w:iCs/>
                <w:color w:val="777777"/>
                <w:sz w:val="14"/>
                <w:szCs w:val="14"/>
              </w:rPr>
              <w:t xml:space="preserve">GitHub · Open source</w:t>
            </w:r>
          </w:p>
          <w:p>
            <w:pPr>
              <w:spacing w:after="0"/>
            </w:pPr>
            <w:r>
              <w:rPr>
                <w:rFonts w:ascii="Consolas" w:cs="Consolas" w:eastAsia="Consolas" w:hAnsi="Consolas"/>
                <w:color w:val="999999"/>
                <w:sz w:val="13"/>
                <w:szCs w:val="13"/>
              </w:rPr>
              <w:t xml:space="preserve">https://github.com/WifWaf/MH-Z19</w:t>
            </w:r>
          </w:p>
        </w:tc>
        <w:tc>
          <w:tcPr>
            <w:tcW w:type="dxa" w:w="4656"/>
            <w:shd w:fill="FFFFFF" w:val="clear"/>
            <w:tcMar>
              <w:top w:type="dxa" w:w="60"/>
              <w:left w:type="dxa" w:w="90"/>
              <w:bottom w:type="dxa" w:w="60"/>
              <w:right w:type="dxa" w:w="90"/>
            </w:tcMar>
          </w:tcPr>
          <w:p>
            <w:pPr>
              <w:spacing w:after="0"/>
            </w:pPr>
            <w:r>
              <w:rPr>
                <w:sz w:val="17"/>
                <w:szCs w:val="17"/>
              </w:rPr>
              <w:t xml:space="preserve">Complete implementation of the UART command set including ABC disable, range setting and checksum handling.</w:t>
            </w:r>
          </w:p>
        </w:tc>
      </w:tr>
    </w:tbl>
    <w:p>
      <w:pPr>
        <w:spacing w:after="120"/>
      </w:pPr>
    </w:p>
    <w:p>
      <w:r>
        <w:br w:type="page"/>
      </w:r>
    </w:p>
    <w:p>
      <w:pPr>
        <w:pStyle w:val="Heading1"/>
      </w:pPr>
      <w:r>
        <w:t xml:space="preserve">10. What this body of research has already achieved</w:t>
      </w:r>
    </w:p>
    <w:p>
      <w:pPr>
        <w:spacing w:after="140"/>
      </w:pPr>
      <w:r>
        <w:t xml:space="preserve">An honest account of the state of the art, domain by domain. Everything below is solved well enough that this project should use it rather than reinvent 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4268"/>
        <w:gridCol w:w="3492"/>
      </w:tblGrid>
      <w:tr>
        <w:trPr>
          <w:tblHeader/>
        </w:trPr>
        <w:tc>
          <w:tcPr>
            <w:tcW w:type="dxa" w:w="1940"/>
            <w:shd w:fill="1F3864" w:val="clear"/>
            <w:tcMar>
              <w:top w:type="dxa" w:w="60"/>
              <w:left w:type="dxa" w:w="90"/>
              <w:bottom w:type="dxa" w:w="60"/>
              <w:right w:type="dxa" w:w="90"/>
            </w:tcMar>
          </w:tcPr>
          <w:p>
            <w:pPr>
              <w:spacing w:after="0"/>
            </w:pPr>
            <w:r>
              <w:rPr>
                <w:b/>
                <w:bCs/>
                <w:color w:val="FFFFFF"/>
                <w:sz w:val="17"/>
                <w:szCs w:val="17"/>
              </w:rPr>
              <w:t xml:space="preserve">Domain</w:t>
            </w:r>
          </w:p>
        </w:tc>
        <w:tc>
          <w:tcPr>
            <w:tcW w:type="dxa" w:w="4268"/>
            <w:shd w:fill="1F3864" w:val="clear"/>
            <w:tcMar>
              <w:top w:type="dxa" w:w="60"/>
              <w:left w:type="dxa" w:w="90"/>
              <w:bottom w:type="dxa" w:w="60"/>
              <w:right w:type="dxa" w:w="90"/>
            </w:tcMar>
          </w:tcPr>
          <w:p>
            <w:pPr>
              <w:spacing w:after="0"/>
            </w:pPr>
            <w:r>
              <w:rPr>
                <w:b/>
                <w:bCs/>
                <w:color w:val="FFFFFF"/>
                <w:sz w:val="17"/>
                <w:szCs w:val="17"/>
              </w:rPr>
              <w:t xml:space="preserve">What is already settled</w:t>
            </w:r>
          </w:p>
        </w:tc>
        <w:tc>
          <w:tcPr>
            <w:tcW w:type="dxa" w:w="3492"/>
            <w:shd w:fill="1F3864" w:val="clear"/>
            <w:tcMar>
              <w:top w:type="dxa" w:w="60"/>
              <w:left w:type="dxa" w:w="90"/>
              <w:bottom w:type="dxa" w:w="60"/>
              <w:right w:type="dxa" w:w="90"/>
            </w:tcMar>
          </w:tcPr>
          <w:p>
            <w:pPr>
              <w:spacing w:after="0"/>
            </w:pPr>
            <w:r>
              <w:rPr>
                <w:b/>
                <w:bCs/>
                <w:color w:val="FFFFFF"/>
                <w:sz w:val="17"/>
                <w:szCs w:val="17"/>
              </w:rPr>
              <w:t xml:space="preserve">Where it stops</w:t>
            </w:r>
          </w:p>
        </w:tc>
      </w:tr>
      <w:tr>
        <w:tc>
          <w:tcPr>
            <w:tcW w:type="dxa" w:w="1940"/>
            <w:shd w:fill="FFFFFF" w:val="clear"/>
            <w:tcMar>
              <w:top w:type="dxa" w:w="60"/>
              <w:left w:type="dxa" w:w="90"/>
              <w:bottom w:type="dxa" w:w="60"/>
              <w:right w:type="dxa" w:w="90"/>
            </w:tcMar>
          </w:tcPr>
          <w:p>
            <w:pPr>
              <w:spacing w:after="0"/>
            </w:pPr>
            <w:r>
              <w:rPr>
                <w:sz w:val="17"/>
                <w:szCs w:val="17"/>
              </w:rPr>
              <w:t xml:space="preserve">Low-cost particulate sensing</w:t>
            </w:r>
          </w:p>
        </w:tc>
        <w:tc>
          <w:tcPr>
            <w:tcW w:type="dxa" w:w="4268"/>
            <w:shd w:fill="FFFFFF" w:val="clear"/>
            <w:tcMar>
              <w:top w:type="dxa" w:w="60"/>
              <w:left w:type="dxa" w:w="90"/>
              <w:bottom w:type="dxa" w:w="60"/>
              <w:right w:type="dxa" w:w="90"/>
            </w:tcMar>
          </w:tcPr>
          <w:p>
            <w:pPr>
              <w:spacing w:after="0"/>
            </w:pPr>
            <w:r>
              <w:rPr>
                <w:sz w:val="17"/>
                <w:szCs w:val="17"/>
              </w:rPr>
              <w:t xml:space="preserve">Optical PM sensors such as the PMS5003 have been characterised extensively against reference instruments. Humidity-growth corrections, size-bin behaviour and field calibration procedures are published and reproducible (refs 41, 42).</w:t>
            </w:r>
          </w:p>
        </w:tc>
        <w:tc>
          <w:tcPr>
            <w:tcW w:type="dxa" w:w="3492"/>
            <w:shd w:fill="FFFFFF" w:val="clear"/>
            <w:tcMar>
              <w:top w:type="dxa" w:w="60"/>
              <w:left w:type="dxa" w:w="90"/>
              <w:bottom w:type="dxa" w:w="60"/>
              <w:right w:type="dxa" w:w="90"/>
            </w:tcMar>
          </w:tcPr>
          <w:p>
            <w:pPr>
              <w:spacing w:after="0"/>
            </w:pPr>
            <w:r>
              <w:rPr>
                <w:sz w:val="17"/>
                <w:szCs w:val="17"/>
              </w:rPr>
              <w:t xml:space="preserve">Corrections are applied offline, after the fact, in analysis notebooks. Almost nothing runs the correction live, inside a device that then acts on the result.</w:t>
            </w:r>
          </w:p>
        </w:tc>
      </w:tr>
      <w:tr>
        <w:tc>
          <w:tcPr>
            <w:tcW w:type="dxa" w:w="1940"/>
            <w:shd w:fill="EDF1F8" w:val="clear"/>
            <w:tcMar>
              <w:top w:type="dxa" w:w="60"/>
              <w:left w:type="dxa" w:w="90"/>
              <w:bottom w:type="dxa" w:w="60"/>
              <w:right w:type="dxa" w:w="90"/>
            </w:tcMar>
          </w:tcPr>
          <w:p>
            <w:pPr>
              <w:spacing w:after="0"/>
            </w:pPr>
            <w:r>
              <w:rPr>
                <w:sz w:val="17"/>
                <w:szCs w:val="17"/>
              </w:rPr>
              <w:t xml:space="preserve">Metal-oxide gas sensing</w:t>
            </w:r>
          </w:p>
        </w:tc>
        <w:tc>
          <w:tcPr>
            <w:tcW w:type="dxa" w:w="4268"/>
            <w:shd w:fill="EDF1F8" w:val="clear"/>
            <w:tcMar>
              <w:top w:type="dxa" w:w="60"/>
              <w:left w:type="dxa" w:w="90"/>
              <w:bottom w:type="dxa" w:w="60"/>
              <w:right w:type="dxa" w:w="90"/>
            </w:tcMar>
          </w:tcPr>
          <w:p>
            <w:pPr>
              <w:spacing w:after="0"/>
            </w:pPr>
            <w:r>
              <w:rPr>
                <w:sz w:val="17"/>
                <w:szCs w:val="17"/>
              </w:rPr>
              <w:t xml:space="preserve">Drift mechanisms are understood, temperature and humidity correction surfaces exist, and a mature literature of drift-compensation algorithms is available (refs 43, 44).</w:t>
            </w:r>
          </w:p>
        </w:tc>
        <w:tc>
          <w:tcPr>
            <w:tcW w:type="dxa" w:w="3492"/>
            <w:shd w:fill="EDF1F8" w:val="clear"/>
            <w:tcMar>
              <w:top w:type="dxa" w:w="60"/>
              <w:left w:type="dxa" w:w="90"/>
              <w:bottom w:type="dxa" w:w="60"/>
              <w:right w:type="dxa" w:w="90"/>
            </w:tcMar>
          </w:tcPr>
          <w:p>
            <w:pPr>
              <w:spacing w:after="0"/>
            </w:pPr>
            <w:r>
              <w:rPr>
                <w:sz w:val="17"/>
                <w:szCs w:val="17"/>
              </w:rPr>
              <w:t xml:space="preserve">These methods are demonstrated on laboratory sensor arrays with reference gases. Cheap single MQ modules in the field are still routinely used as if their ppm curves were real.</w:t>
            </w:r>
          </w:p>
        </w:tc>
      </w:tr>
      <w:tr>
        <w:tc>
          <w:tcPr>
            <w:tcW w:type="dxa" w:w="1940"/>
            <w:shd w:fill="FFFFFF" w:val="clear"/>
            <w:tcMar>
              <w:top w:type="dxa" w:w="60"/>
              <w:left w:type="dxa" w:w="90"/>
              <w:bottom w:type="dxa" w:w="60"/>
              <w:right w:type="dxa" w:w="90"/>
            </w:tcMar>
          </w:tcPr>
          <w:p>
            <w:pPr>
              <w:spacing w:after="0"/>
            </w:pPr>
            <w:r>
              <w:rPr>
                <w:sz w:val="17"/>
                <w:szCs w:val="17"/>
              </w:rPr>
              <w:t xml:space="preserve">IoT air-quality monitoring</w:t>
            </w:r>
          </w:p>
        </w:tc>
        <w:tc>
          <w:tcPr>
            <w:tcW w:type="dxa" w:w="4268"/>
            <w:shd w:fill="FFFFFF" w:val="clear"/>
            <w:tcMar>
              <w:top w:type="dxa" w:w="60"/>
              <w:left w:type="dxa" w:w="90"/>
              <w:bottom w:type="dxa" w:w="60"/>
              <w:right w:type="dxa" w:w="90"/>
            </w:tcMar>
          </w:tcPr>
          <w:p>
            <w:pPr>
              <w:spacing w:after="0"/>
            </w:pPr>
            <w:r>
              <w:rPr>
                <w:sz w:val="17"/>
                <w:szCs w:val="17"/>
              </w:rPr>
              <w:t xml:space="preserve">Hundreds of ESP32-class monitors have been published, several as complete open hardware (refs 49, 50). Sensing, MQTT transport, dashboards and cloud storage are a solved, almost commoditised problem.</w:t>
            </w:r>
          </w:p>
        </w:tc>
        <w:tc>
          <w:tcPr>
            <w:tcW w:type="dxa" w:w="3492"/>
            <w:shd w:fill="FFFFFF" w:val="clear"/>
            <w:tcMar>
              <w:top w:type="dxa" w:w="60"/>
              <w:left w:type="dxa" w:w="90"/>
              <w:bottom w:type="dxa" w:w="60"/>
              <w:right w:type="dxa" w:w="90"/>
            </w:tcMar>
          </w:tcPr>
          <w:p>
            <w:pPr>
              <w:spacing w:after="0"/>
            </w:pPr>
            <w:r>
              <w:rPr>
                <w:sz w:val="17"/>
                <w:szCs w:val="17"/>
              </w:rPr>
              <w:t xml:space="preserve">They monitor. They measure, display, and alert. Almost none of them close a loop onto an actuator, and none of them optimise the energy of doing so.</w:t>
            </w:r>
          </w:p>
        </w:tc>
      </w:tr>
      <w:tr>
        <w:tc>
          <w:tcPr>
            <w:tcW w:type="dxa" w:w="1940"/>
            <w:shd w:fill="EDF1F8" w:val="clear"/>
            <w:tcMar>
              <w:top w:type="dxa" w:w="60"/>
              <w:left w:type="dxa" w:w="90"/>
              <w:bottom w:type="dxa" w:w="60"/>
              <w:right w:type="dxa" w:w="90"/>
            </w:tcMar>
          </w:tcPr>
          <w:p>
            <w:pPr>
              <w:spacing w:after="0"/>
            </w:pPr>
            <w:r>
              <w:rPr>
                <w:sz w:val="17"/>
                <w:szCs w:val="17"/>
              </w:rPr>
              <w:t xml:space="preserve">Air-quality forecasting</w:t>
            </w:r>
          </w:p>
        </w:tc>
        <w:tc>
          <w:tcPr>
            <w:tcW w:type="dxa" w:w="4268"/>
            <w:shd w:fill="EDF1F8" w:val="clear"/>
            <w:tcMar>
              <w:top w:type="dxa" w:w="60"/>
              <w:left w:type="dxa" w:w="90"/>
              <w:bottom w:type="dxa" w:w="60"/>
              <w:right w:type="dxa" w:w="90"/>
            </w:tcMar>
          </w:tcPr>
          <w:p>
            <w:pPr>
              <w:spacing w:after="0"/>
            </w:pPr>
            <w:r>
              <w:rPr>
                <w:sz w:val="17"/>
                <w:szCs w:val="17"/>
              </w:rPr>
              <w:t xml:space="preserve">NARX, LSTM, CNN hybrids and gradient boosting all forecast pollutant concentrations competently at hourly-to-daily horizons using meteorological exogenous inputs (ref 40).</w:t>
            </w:r>
          </w:p>
        </w:tc>
        <w:tc>
          <w:tcPr>
            <w:tcW w:type="dxa" w:w="3492"/>
            <w:shd w:fill="EDF1F8" w:val="clear"/>
            <w:tcMar>
              <w:top w:type="dxa" w:w="60"/>
              <w:left w:type="dxa" w:w="90"/>
              <w:bottom w:type="dxa" w:w="60"/>
              <w:right w:type="dxa" w:w="90"/>
            </w:tcMar>
          </w:tcPr>
          <w:p>
            <w:pPr>
              <w:spacing w:after="0"/>
            </w:pPr>
            <w:r>
              <w:rPr>
                <w:sz w:val="17"/>
                <w:szCs w:val="17"/>
              </w:rPr>
              <w:t xml:space="preserve">The models are evaluated purely as forecasters, on RMSE. Not one of the surveyed works then places the model inside an optimiser and checks whether it still behaves when queried outside its training envelope.</w:t>
            </w:r>
          </w:p>
        </w:tc>
      </w:tr>
      <w:tr>
        <w:tc>
          <w:tcPr>
            <w:tcW w:type="dxa" w:w="1940"/>
            <w:shd w:fill="FFFFFF" w:val="clear"/>
            <w:tcMar>
              <w:top w:type="dxa" w:w="60"/>
              <w:left w:type="dxa" w:w="90"/>
              <w:bottom w:type="dxa" w:w="60"/>
              <w:right w:type="dxa" w:w="90"/>
            </w:tcMar>
          </w:tcPr>
          <w:p>
            <w:pPr>
              <w:spacing w:after="0"/>
            </w:pPr>
            <w:r>
              <w:rPr>
                <w:sz w:val="17"/>
                <w:szCs w:val="17"/>
              </w:rPr>
              <w:t xml:space="preserve">Ventilation control</w:t>
            </w:r>
          </w:p>
        </w:tc>
        <w:tc>
          <w:tcPr>
            <w:tcW w:type="dxa" w:w="4268"/>
            <w:shd w:fill="FFFFFF" w:val="clear"/>
            <w:tcMar>
              <w:top w:type="dxa" w:w="60"/>
              <w:left w:type="dxa" w:w="90"/>
              <w:bottom w:type="dxa" w:w="60"/>
              <w:right w:type="dxa" w:w="90"/>
            </w:tcMar>
          </w:tcPr>
          <w:p>
            <w:pPr>
              <w:spacing w:after="0"/>
            </w:pPr>
            <w:r>
              <w:rPr>
                <w:sz w:val="17"/>
                <w:szCs w:val="17"/>
              </w:rPr>
              <w:t xml:space="preserve">MPC for HVAC is a mature field with a large review literature, and CO2-based demand-controlled ventilation is commercially deployed with documented savings (refs 35, 36, 37, 38).</w:t>
            </w:r>
          </w:p>
        </w:tc>
        <w:tc>
          <w:tcPr>
            <w:tcW w:type="dxa" w:w="3492"/>
            <w:shd w:fill="FFFFFF" w:val="clear"/>
            <w:tcMar>
              <w:top w:type="dxa" w:w="60"/>
              <w:left w:type="dxa" w:w="90"/>
              <w:bottom w:type="dxa" w:w="60"/>
              <w:right w:type="dxa" w:w="90"/>
            </w:tcMar>
          </w:tcPr>
          <w:p>
            <w:pPr>
              <w:spacing w:after="0"/>
            </w:pPr>
            <w:r>
              <w:rPr>
                <w:sz w:val="17"/>
                <w:szCs w:val="17"/>
              </w:rPr>
              <w:t xml:space="preserve">It lives at building scale, on building management systems, with CO2 as the controlled variable and a capital cost that puts it beyond the reach of a workshop or a small kitchen.</w:t>
            </w:r>
          </w:p>
        </w:tc>
      </w:tr>
      <w:tr>
        <w:tc>
          <w:tcPr>
            <w:tcW w:type="dxa" w:w="1940"/>
            <w:shd w:fill="EDF1F8" w:val="clear"/>
            <w:tcMar>
              <w:top w:type="dxa" w:w="60"/>
              <w:left w:type="dxa" w:w="90"/>
              <w:bottom w:type="dxa" w:w="60"/>
              <w:right w:type="dxa" w:w="90"/>
            </w:tcMar>
          </w:tcPr>
          <w:p>
            <w:pPr>
              <w:spacing w:after="0"/>
            </w:pPr>
            <w:r>
              <w:rPr>
                <w:sz w:val="17"/>
                <w:szCs w:val="17"/>
              </w:rPr>
              <w:t xml:space="preserve">Optimisation tooling</w:t>
            </w:r>
          </w:p>
        </w:tc>
        <w:tc>
          <w:tcPr>
            <w:tcW w:type="dxa" w:w="4268"/>
            <w:shd w:fill="EDF1F8" w:val="clear"/>
            <w:tcMar>
              <w:top w:type="dxa" w:w="60"/>
              <w:left w:type="dxa" w:w="90"/>
              <w:bottom w:type="dxa" w:w="60"/>
              <w:right w:type="dxa" w:w="90"/>
            </w:tcMar>
          </w:tcPr>
          <w:p>
            <w:pPr>
              <w:spacing w:after="0"/>
            </w:pPr>
            <w:r>
              <w:rPr>
                <w:sz w:val="17"/>
                <w:szCs w:val="17"/>
              </w:rPr>
              <w:t xml:space="preserve">CasADi, IPOPT, do-mpc and SciPy make constrained nonlinear MPC routine engineering rather than research (refs 31–34).</w:t>
            </w:r>
          </w:p>
        </w:tc>
        <w:tc>
          <w:tcPr>
            <w:tcW w:type="dxa" w:w="3492"/>
            <w:shd w:fill="EDF1F8" w:val="clear"/>
            <w:tcMar>
              <w:top w:type="dxa" w:w="60"/>
              <w:left w:type="dxa" w:w="90"/>
              <w:bottom w:type="dxa" w:w="60"/>
              <w:right w:type="dxa" w:w="90"/>
            </w:tcMar>
          </w:tcPr>
          <w:p>
            <w:pPr>
              <w:spacing w:after="0"/>
            </w:pPr>
            <w:r>
              <w:rPr>
                <w:sz w:val="17"/>
                <w:szCs w:val="17"/>
              </w:rPr>
              <w:t xml:space="preserve">The tooling is ready. What is missing is a plant model that is safe to hand to it.</w:t>
            </w:r>
          </w:p>
        </w:tc>
      </w:tr>
      <w:tr>
        <w:tc>
          <w:tcPr>
            <w:tcW w:type="dxa" w:w="1940"/>
            <w:shd w:fill="FFFFFF" w:val="clear"/>
            <w:tcMar>
              <w:top w:type="dxa" w:w="60"/>
              <w:left w:type="dxa" w:w="90"/>
              <w:bottom w:type="dxa" w:w="60"/>
              <w:right w:type="dxa" w:w="90"/>
            </w:tcMar>
          </w:tcPr>
          <w:p>
            <w:pPr>
              <w:spacing w:after="0"/>
            </w:pPr>
            <w:r>
              <w:rPr>
                <w:sz w:val="17"/>
                <w:szCs w:val="17"/>
              </w:rPr>
              <w:t xml:space="preserve">Reinforcement learning for HVAC</w:t>
            </w:r>
          </w:p>
        </w:tc>
        <w:tc>
          <w:tcPr>
            <w:tcW w:type="dxa" w:w="4268"/>
            <w:shd w:fill="FFFFFF" w:val="clear"/>
            <w:tcMar>
              <w:top w:type="dxa" w:w="60"/>
              <w:left w:type="dxa" w:w="90"/>
              <w:bottom w:type="dxa" w:w="60"/>
              <w:right w:type="dxa" w:w="90"/>
            </w:tcMar>
          </w:tcPr>
          <w:p>
            <w:pPr>
              <w:spacing w:after="0"/>
            </w:pPr>
            <w:r>
              <w:rPr>
                <w:sz w:val="17"/>
                <w:szCs w:val="17"/>
              </w:rPr>
              <w:t xml:space="preserve">A substantial body of work shows deep RL can co-optimise energy, comfort and air quality (ref 39).</w:t>
            </w:r>
          </w:p>
        </w:tc>
        <w:tc>
          <w:tcPr>
            <w:tcW w:type="dxa" w:w="3492"/>
            <w:shd w:fill="FFFFFF" w:val="clear"/>
            <w:tcMar>
              <w:top w:type="dxa" w:w="60"/>
              <w:left w:type="dxa" w:w="90"/>
              <w:bottom w:type="dxa" w:w="60"/>
              <w:right w:type="dxa" w:w="90"/>
            </w:tcMar>
          </w:tcPr>
          <w:p>
            <w:pPr>
              <w:spacing w:after="0"/>
            </w:pPr>
            <w:r>
              <w:rPr>
                <w:sz w:val="17"/>
                <w:szCs w:val="17"/>
              </w:rPr>
              <w:t xml:space="preserve">It needs orders of magnitude more interaction data than a single node will ever see, and it offers no guarantee that a hard safety deadline will be respected.</w:t>
            </w:r>
          </w:p>
        </w:tc>
      </w:tr>
    </w:tbl>
    <w:p>
      <w:pPr>
        <w:pStyle w:val="Heading1"/>
      </w:pPr>
      <w:r>
        <w:t xml:space="preserve">11. What this project adds</w:t>
      </w:r>
    </w:p>
    <w:p>
      <w:pPr>
        <w:spacing w:after="140"/>
      </w:pPr>
      <w:r>
        <w:t xml:space="preserve">Seven contributions, ordered from the most concrete to the most methodological.</w:t>
      </w:r>
    </w:p>
    <w:p>
      <w:pPr>
        <w:pStyle w:val="ListParagraph"/>
        <w:numPr>
          <w:ilvl w:val="0"/>
          <w:numId w:val="1"/>
        </w:numPr>
        <w:spacing w:after="80"/>
      </w:pPr>
      <w:r>
        <w:t xml:space="preserve">A closed loop at device scale, not building scale. The same ESP32 node that senses also actuates, and an economic optimiser sits over it. This moves demand-controlled ventilation from a building-management-system price point to one that a single workshop, kitchen or storeroom can afford — which is the whole reason it is worth doing.</w:t>
      </w:r>
    </w:p>
    <w:p>
      <w:pPr>
        <w:pStyle w:val="ListParagraph"/>
        <w:numPr>
          <w:ilvl w:val="0"/>
          <w:numId w:val="1"/>
        </w:numPr>
        <w:spacing w:after="80"/>
      </w:pPr>
      <w:r>
        <w:t xml:space="preserve">A deadline-constrained problem statement. The literature almost always poses ventilation as a regulation problem: hold CO2 below a threshold. This project poses it as a scheduling problem: reach the safe index by time T, spending as little energy as possible. That reformulation is what creates something to optimise, because it admits the choice between running hard and briefly or gently and long.</w:t>
      </w:r>
    </w:p>
    <w:p>
      <w:pPr>
        <w:pStyle w:val="ListParagraph"/>
        <w:numPr>
          <w:ilvl w:val="0"/>
          <w:numId w:val="1"/>
        </w:numPr>
        <w:spacing w:after="80"/>
      </w:pPr>
      <w:r>
        <w:t xml:space="preserve">Particulate matter as the controlled variable. Demand-controlled ventilation uses CO2 because CO2 sensors are reliable, linear and do not deposit on walls. But CO2 is not what harms a cook, a welder or a carpenter. Controlling on PM is genuinely harder — deposition, hygroscopic growth and source-dependent optics all intervene — and this project takes that on deliberately.</w:t>
      </w:r>
    </w:p>
    <w:p>
      <w:pPr>
        <w:pStyle w:val="ListParagraph"/>
        <w:numPr>
          <w:ilvl w:val="0"/>
          <w:numId w:val="1"/>
        </w:numPr>
        <w:spacing w:after="80"/>
      </w:pPr>
      <w:r>
        <w:t xml:space="preserve">A surrogate model engineered for use inside an optimiser, not merely for accuracy. The grey-box structure, the monotonicity constraints on every duty-derived feature, and the mandatory pre-promotion monotonicity audit together address a failure mode that the forecasting literature does not test for: a model with excellent held-out error that an optimiser can nonetheless exploit into commanding nonsense.</w:t>
      </w:r>
    </w:p>
    <w:p>
      <w:pPr>
        <w:pStyle w:val="ListParagraph"/>
        <w:numPr>
          <w:ilvl w:val="0"/>
          <w:numId w:val="1"/>
        </w:numPr>
        <w:spacing w:after="80"/>
      </w:pPr>
      <w:r>
        <w:t xml:space="preserve">A safety architecture that survives the network. Authority stays at the edge; commands carry their own expiry; loss of the host degrades to an autonomous rule ladder rather than to a held setpoint. Published IAQ control work rarely specifies what happens when the controller goes away, and 'hold the last command' is unsafe in both directions.</w:t>
      </w:r>
    </w:p>
    <w:p>
      <w:pPr>
        <w:pStyle w:val="ListParagraph"/>
        <w:numPr>
          <w:ilvl w:val="0"/>
          <w:numId w:val="1"/>
        </w:numPr>
        <w:spacing w:after="80"/>
      </w:pPr>
      <w:r>
        <w:t xml:space="preserve">An inverted response for flammable atmospheres. Detecting flammable gas commands the fan to zero, not to full. Drawing an explosive mixture across a brushed, arcing, non-ATEX motor is an ignition path, and the intuitive control law in every hobby air-quality project gets this exactly backwards.</w:t>
      </w:r>
    </w:p>
    <w:p>
      <w:pPr>
        <w:pStyle w:val="ListParagraph"/>
        <w:numPr>
          <w:ilvl w:val="0"/>
          <w:numId w:val="1"/>
        </w:numPr>
        <w:spacing w:after="80"/>
      </w:pPr>
      <w:r>
        <w:t xml:space="preserve">A published, reproducible identification dataset and protocol. The three-step tracer-first calibration chain, the chamber design, the episode structure and the QC rules are all specified in advance and released with the data. Most low-cost air-quality control work publishes a result; very little publishes the plant identification that would let anyone reproduce it.</w:t>
      </w:r>
    </w:p>
    <w:p>
      <w:pPr>
        <w:pStyle w:val="Heading1"/>
      </w:pPr>
      <w:r>
        <w:t xml:space="preserve">12. How the domains are combined</w:t>
      </w:r>
    </w:p>
    <w:p>
      <w:pPr>
        <w:spacing w:after="140"/>
      </w:pPr>
      <w:r>
        <w:t xml:space="preserve">This project is not one contribution in one field; it is a chain of eight fields, and its real difficulty is at the joints between them. Each hand-off below is a place where a naive integration silently fails, and each has an explicit countermeasure in the architecture.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43"/>
        <w:gridCol w:w="4074"/>
        <w:gridCol w:w="3783"/>
      </w:tblGrid>
      <w:tr>
        <w:trPr>
          <w:tblHeader/>
        </w:trPr>
        <w:tc>
          <w:tcPr>
            <w:tcW w:type="dxa" w:w="1843"/>
            <w:shd w:fill="1F3864" w:val="clear"/>
            <w:tcMar>
              <w:top w:type="dxa" w:w="60"/>
              <w:left w:type="dxa" w:w="90"/>
              <w:bottom w:type="dxa" w:w="60"/>
              <w:right w:type="dxa" w:w="90"/>
            </w:tcMar>
          </w:tcPr>
          <w:p>
            <w:pPr>
              <w:spacing w:after="0"/>
            </w:pPr>
            <w:r>
              <w:rPr>
                <w:b/>
                <w:bCs/>
                <w:color w:val="FFFFFF"/>
                <w:sz w:val="17"/>
                <w:szCs w:val="17"/>
              </w:rPr>
              <w:t xml:space="preserve">Hand-off</w:t>
            </w:r>
          </w:p>
        </w:tc>
        <w:tc>
          <w:tcPr>
            <w:tcW w:type="dxa" w:w="4074"/>
            <w:shd w:fill="1F3864" w:val="clear"/>
            <w:tcMar>
              <w:top w:type="dxa" w:w="60"/>
              <w:left w:type="dxa" w:w="90"/>
              <w:bottom w:type="dxa" w:w="60"/>
              <w:right w:type="dxa" w:w="90"/>
            </w:tcMar>
          </w:tcPr>
          <w:p>
            <w:pPr>
              <w:spacing w:after="0"/>
            </w:pPr>
            <w:r>
              <w:rPr>
                <w:b/>
                <w:bCs/>
                <w:color w:val="FFFFFF"/>
                <w:sz w:val="17"/>
                <w:szCs w:val="17"/>
              </w:rPr>
              <w:t xml:space="preserve">What goes wrong if you just bolt the two together</w:t>
            </w:r>
          </w:p>
        </w:tc>
        <w:tc>
          <w:tcPr>
            <w:tcW w:type="dxa" w:w="3783"/>
            <w:shd w:fill="1F3864" w:val="clear"/>
            <w:tcMar>
              <w:top w:type="dxa" w:w="60"/>
              <w:left w:type="dxa" w:w="90"/>
              <w:bottom w:type="dxa" w:w="60"/>
              <w:right w:type="dxa" w:w="90"/>
            </w:tcMar>
          </w:tcPr>
          <w:p>
            <w:pPr>
              <w:spacing w:after="0"/>
            </w:pPr>
            <w:r>
              <w:rPr>
                <w:b/>
                <w:bCs/>
                <w:color w:val="FFFFFF"/>
                <w:sz w:val="17"/>
                <w:szCs w:val="17"/>
              </w:rPr>
              <w:t xml:space="preserve">How this project joins them</w:t>
            </w:r>
          </w:p>
        </w:tc>
      </w:tr>
      <w:tr>
        <w:tc>
          <w:tcPr>
            <w:tcW w:type="dxa" w:w="1843"/>
            <w:shd w:fill="FFFFFF" w:val="clear"/>
            <w:tcMar>
              <w:top w:type="dxa" w:w="60"/>
              <w:left w:type="dxa" w:w="90"/>
              <w:bottom w:type="dxa" w:w="60"/>
              <w:right w:type="dxa" w:w="90"/>
            </w:tcMar>
          </w:tcPr>
          <w:p>
            <w:pPr>
              <w:spacing w:after="0"/>
            </w:pPr>
            <w:r>
              <w:rPr>
                <w:sz w:val="17"/>
                <w:szCs w:val="17"/>
              </w:rPr>
              <w:t xml:space="preserve">Metrology → Machine learning</w:t>
            </w:r>
          </w:p>
        </w:tc>
        <w:tc>
          <w:tcPr>
            <w:tcW w:type="dxa" w:w="4074"/>
            <w:shd w:fill="FFFFFF" w:val="clear"/>
            <w:tcMar>
              <w:top w:type="dxa" w:w="60"/>
              <w:left w:type="dxa" w:w="90"/>
              <w:bottom w:type="dxa" w:w="60"/>
              <w:right w:type="dxa" w:w="90"/>
            </w:tcMar>
          </w:tcPr>
          <w:p>
            <w:pPr>
              <w:spacing w:after="0"/>
            </w:pPr>
            <w:r>
              <w:rPr>
                <w:sz w:val="17"/>
                <w:szCs w:val="17"/>
              </w:rPr>
              <w:t xml:space="preserve">Uncalibrated sensor drift enters the training data and becomes model bias. The model learns that humid afternoons are polluted, and the controller wastes energy at 4 p.m. every day.</w:t>
            </w:r>
          </w:p>
        </w:tc>
        <w:tc>
          <w:tcPr>
            <w:tcW w:type="dxa" w:w="3783"/>
            <w:shd w:fill="FFFFFF" w:val="clear"/>
            <w:tcMar>
              <w:top w:type="dxa" w:w="60"/>
              <w:left w:type="dxa" w:w="90"/>
              <w:bottom w:type="dxa" w:w="60"/>
              <w:right w:type="dxa" w:w="90"/>
            </w:tcMar>
          </w:tcPr>
          <w:p>
            <w:pPr>
              <w:spacing w:after="0"/>
            </w:pPr>
            <w:r>
              <w:rPr>
                <w:sz w:val="17"/>
                <w:szCs w:val="17"/>
              </w:rPr>
              <w:t xml:space="preserve">Ratio-only gas channels, live R0 re-learning in certified clean windows, datasheet T/RH correction surfaces, and baseline-differenced features that are drift-invariant by construction.</w:t>
            </w:r>
          </w:p>
        </w:tc>
      </w:tr>
      <w:tr>
        <w:tc>
          <w:tcPr>
            <w:tcW w:type="dxa" w:w="1843"/>
            <w:shd w:fill="EDF1F8" w:val="clear"/>
            <w:tcMar>
              <w:top w:type="dxa" w:w="60"/>
              <w:left w:type="dxa" w:w="90"/>
              <w:bottom w:type="dxa" w:w="60"/>
              <w:right w:type="dxa" w:w="90"/>
            </w:tcMar>
          </w:tcPr>
          <w:p>
            <w:pPr>
              <w:spacing w:after="0"/>
            </w:pPr>
            <w:r>
              <w:rPr>
                <w:sz w:val="17"/>
                <w:szCs w:val="17"/>
              </w:rPr>
              <w:t xml:space="preserve">Machine learning → Optimisation</w:t>
            </w:r>
          </w:p>
        </w:tc>
        <w:tc>
          <w:tcPr>
            <w:tcW w:type="dxa" w:w="4074"/>
            <w:shd w:fill="EDF1F8" w:val="clear"/>
            <w:tcMar>
              <w:top w:type="dxa" w:w="60"/>
              <w:left w:type="dxa" w:w="90"/>
              <w:bottom w:type="dxa" w:w="60"/>
              <w:right w:type="dxa" w:w="90"/>
            </w:tcMar>
          </w:tcPr>
          <w:p>
            <w:pPr>
              <w:spacing w:after="0"/>
            </w:pPr>
            <w:r>
              <w:rPr>
                <w:sz w:val="17"/>
                <w:szCs w:val="17"/>
              </w:rPr>
              <w:t xml:space="preserve">An accurate model is not automatically a usable one. Optimisers query models outside their training envelope by design, and exploit flat or wrong-signed regions.</w:t>
            </w:r>
          </w:p>
        </w:tc>
        <w:tc>
          <w:tcPr>
            <w:tcW w:type="dxa" w:w="3783"/>
            <w:shd w:fill="EDF1F8" w:val="clear"/>
            <w:tcMar>
              <w:top w:type="dxa" w:w="60"/>
              <w:left w:type="dxa" w:w="90"/>
              <w:bottom w:type="dxa" w:w="60"/>
              <w:right w:type="dxa" w:w="90"/>
            </w:tcMar>
          </w:tcPr>
          <w:p>
            <w:pPr>
              <w:spacing w:after="0"/>
            </w:pPr>
            <w:r>
              <w:rPr>
                <w:sz w:val="17"/>
                <w:szCs w:val="17"/>
              </w:rPr>
              <w:t xml:space="preserve">Physics carries the structure and guarantees the sign everywhere; the learned part only corrects a residual; monotone constraints make the sign a hard promise; a monotonicity audit blocks promotion of any model that fails.</w:t>
            </w:r>
          </w:p>
        </w:tc>
      </w:tr>
      <w:tr>
        <w:tc>
          <w:tcPr>
            <w:tcW w:type="dxa" w:w="1843"/>
            <w:shd w:fill="FFFFFF" w:val="clear"/>
            <w:tcMar>
              <w:top w:type="dxa" w:w="60"/>
              <w:left w:type="dxa" w:w="90"/>
              <w:bottom w:type="dxa" w:w="60"/>
              <w:right w:type="dxa" w:w="90"/>
            </w:tcMar>
          </w:tcPr>
          <w:p>
            <w:pPr>
              <w:spacing w:after="0"/>
            </w:pPr>
            <w:r>
              <w:rPr>
                <w:sz w:val="17"/>
                <w:szCs w:val="17"/>
              </w:rPr>
              <w:t xml:space="preserve">Optimisation → Embedded control</w:t>
            </w:r>
          </w:p>
        </w:tc>
        <w:tc>
          <w:tcPr>
            <w:tcW w:type="dxa" w:w="4074"/>
            <w:shd w:fill="FFFFFF" w:val="clear"/>
            <w:tcMar>
              <w:top w:type="dxa" w:w="60"/>
              <w:left w:type="dxa" w:w="90"/>
              <w:bottom w:type="dxa" w:w="60"/>
              <w:right w:type="dxa" w:w="90"/>
            </w:tcMar>
          </w:tcPr>
          <w:p>
            <w:pPr>
              <w:spacing w:after="0"/>
            </w:pPr>
            <w:r>
              <w:rPr>
                <w:sz w:val="17"/>
                <w:szCs w:val="17"/>
              </w:rPr>
              <w:t xml:space="preserve">A cloud optimiser becomes a safety dependency. Latency, packet loss and a closed laptop lid all become hazards.</w:t>
            </w:r>
          </w:p>
        </w:tc>
        <w:tc>
          <w:tcPr>
            <w:tcW w:type="dxa" w:w="3783"/>
            <w:shd w:fill="FFFFFF" w:val="clear"/>
            <w:tcMar>
              <w:top w:type="dxa" w:w="60"/>
              <w:left w:type="dxa" w:w="90"/>
              <w:bottom w:type="dxa" w:w="60"/>
              <w:right w:type="dxa" w:w="90"/>
            </w:tcMar>
          </w:tcPr>
          <w:p>
            <w:pPr>
              <w:spacing w:after="0"/>
            </w:pPr>
            <w:r>
              <w:rPr>
                <w:sz w:val="17"/>
                <w:szCs w:val="17"/>
              </w:rPr>
              <w:t xml:space="preserve">A two-rate cascade: a 100 ms safety loop on the ESP32 with final authority, and a 10 s advisory economic loop on the host. Network quality becomes a performance variable, never a safety variable.</w:t>
            </w:r>
          </w:p>
        </w:tc>
      </w:tr>
      <w:tr>
        <w:tc>
          <w:tcPr>
            <w:tcW w:type="dxa" w:w="1843"/>
            <w:shd w:fill="EDF1F8" w:val="clear"/>
            <w:tcMar>
              <w:top w:type="dxa" w:w="60"/>
              <w:left w:type="dxa" w:w="90"/>
              <w:bottom w:type="dxa" w:w="60"/>
              <w:right w:type="dxa" w:w="90"/>
            </w:tcMar>
          </w:tcPr>
          <w:p>
            <w:pPr>
              <w:spacing w:after="0"/>
            </w:pPr>
            <w:r>
              <w:rPr>
                <w:sz w:val="17"/>
                <w:szCs w:val="17"/>
              </w:rPr>
              <w:t xml:space="preserve">Embedded control → Metrology</w:t>
            </w:r>
          </w:p>
        </w:tc>
        <w:tc>
          <w:tcPr>
            <w:tcW w:type="dxa" w:w="4074"/>
            <w:shd w:fill="EDF1F8" w:val="clear"/>
            <w:tcMar>
              <w:top w:type="dxa" w:w="60"/>
              <w:left w:type="dxa" w:w="90"/>
              <w:bottom w:type="dxa" w:w="60"/>
              <w:right w:type="dxa" w:w="90"/>
            </w:tcMar>
          </w:tcPr>
          <w:p>
            <w:pPr>
              <w:spacing w:after="0"/>
            </w:pPr>
            <w:r>
              <w:rPr>
                <w:sz w:val="17"/>
                <w:szCs w:val="17"/>
              </w:rPr>
              <w:t xml:space="preserve">The actuator corrupts the measurement. A 0.9 A motor inrush across a shared ground shifts the ADC and teaches the model that running the fan raises pollution.</w:t>
            </w:r>
          </w:p>
        </w:tc>
        <w:tc>
          <w:tcPr>
            <w:tcW w:type="dxa" w:w="3783"/>
            <w:shd w:fill="EDF1F8" w:val="clear"/>
            <w:tcMar>
              <w:top w:type="dxa" w:w="60"/>
              <w:left w:type="dxa" w:w="90"/>
              <w:bottom w:type="dxa" w:w="60"/>
              <w:right w:type="dxa" w:w="90"/>
            </w:tcMar>
          </w:tcPr>
          <w:p>
            <w:pPr>
              <w:spacing w:after="0"/>
            </w:pPr>
            <w:r>
              <w:rPr>
                <w:sz w:val="17"/>
                <w:szCs w:val="17"/>
              </w:rPr>
              <w:t xml:space="preserve">Star grounding at the supply terminal, bulk decoupling, all analog on ADC1 because ADC2 is unusable with Wi-Fi active, and ADC sampling phase-locked to the PWM off-period.</w:t>
            </w:r>
          </w:p>
        </w:tc>
      </w:tr>
      <w:tr>
        <w:tc>
          <w:tcPr>
            <w:tcW w:type="dxa" w:w="1843"/>
            <w:shd w:fill="FFFFFF" w:val="clear"/>
            <w:tcMar>
              <w:top w:type="dxa" w:w="60"/>
              <w:left w:type="dxa" w:w="90"/>
              <w:bottom w:type="dxa" w:w="60"/>
              <w:right w:type="dxa" w:w="90"/>
            </w:tcMar>
          </w:tcPr>
          <w:p>
            <w:pPr>
              <w:spacing w:after="0"/>
            </w:pPr>
            <w:r>
              <w:rPr>
                <w:sz w:val="17"/>
                <w:szCs w:val="17"/>
              </w:rPr>
              <w:t xml:space="preserve">Physics → Experiment design</w:t>
            </w:r>
          </w:p>
        </w:tc>
        <w:tc>
          <w:tcPr>
            <w:tcW w:type="dxa" w:w="4074"/>
            <w:shd w:fill="FFFFFF" w:val="clear"/>
            <w:tcMar>
              <w:top w:type="dxa" w:w="60"/>
              <w:left w:type="dxa" w:w="90"/>
              <w:bottom w:type="dxa" w:w="60"/>
              <w:right w:type="dxa" w:w="90"/>
            </w:tcMar>
          </w:tcPr>
          <w:p>
            <w:pPr>
              <w:spacing w:after="0"/>
            </w:pPr>
            <w:r>
              <w:rPr>
                <w:sz w:val="17"/>
                <w:szCs w:val="17"/>
              </w:rPr>
              <w:t xml:space="preserve">Three unknowns — leak, deposition and fan airflow — are tangled together and none can be recovered from an arbitrary experiment.</w:t>
            </w:r>
          </w:p>
        </w:tc>
        <w:tc>
          <w:tcPr>
            <w:tcW w:type="dxa" w:w="3783"/>
            <w:shd w:fill="FFFFFF" w:val="clear"/>
            <w:tcMar>
              <w:top w:type="dxa" w:w="60"/>
              <w:left w:type="dxa" w:w="90"/>
              <w:bottom w:type="dxa" w:w="60"/>
              <w:right w:type="dxa" w:w="90"/>
            </w:tcMar>
          </w:tcPr>
          <w:p>
            <w:pPr>
              <w:spacing w:after="0"/>
            </w:pPr>
            <w:r>
              <w:rPr>
                <w:sz w:val="17"/>
                <w:szCs w:val="17"/>
              </w:rPr>
              <w:t xml:space="preserve">A strict identification order that isolates one unknown at a time, exploiting the fact that CO2 does not deposit on walls while particles do.</w:t>
            </w:r>
          </w:p>
        </w:tc>
      </w:tr>
      <w:tr>
        <w:tc>
          <w:tcPr>
            <w:tcW w:type="dxa" w:w="1843"/>
            <w:shd w:fill="EDF1F8" w:val="clear"/>
            <w:tcMar>
              <w:top w:type="dxa" w:w="60"/>
              <w:left w:type="dxa" w:w="90"/>
              <w:bottom w:type="dxa" w:w="60"/>
              <w:right w:type="dxa" w:w="90"/>
            </w:tcMar>
          </w:tcPr>
          <w:p>
            <w:pPr>
              <w:spacing w:after="0"/>
            </w:pPr>
            <w:r>
              <w:rPr>
                <w:sz w:val="17"/>
                <w:szCs w:val="17"/>
              </w:rPr>
              <w:t xml:space="preserve">Everything → The energy claim</w:t>
            </w:r>
          </w:p>
        </w:tc>
        <w:tc>
          <w:tcPr>
            <w:tcW w:type="dxa" w:w="4074"/>
            <w:shd w:fill="EDF1F8" w:val="clear"/>
            <w:tcMar>
              <w:top w:type="dxa" w:w="60"/>
              <w:left w:type="dxa" w:w="90"/>
              <w:bottom w:type="dxa" w:w="60"/>
              <w:right w:type="dxa" w:w="90"/>
            </w:tcMar>
          </w:tcPr>
          <w:p>
            <w:pPr>
              <w:spacing w:after="0"/>
            </w:pPr>
            <w:r>
              <w:rPr>
                <w:sz w:val="17"/>
                <w:szCs w:val="17"/>
              </w:rPr>
              <w:t xml:space="preserve">Savings get reported on a proxy or on a simulation, and the headline number becomes unverifiable.</w:t>
            </w:r>
          </w:p>
        </w:tc>
        <w:tc>
          <w:tcPr>
            <w:tcW w:type="dxa" w:w="3783"/>
            <w:shd w:fill="EDF1F8" w:val="clear"/>
            <w:tcMar>
              <w:top w:type="dxa" w:w="60"/>
              <w:left w:type="dxa" w:w="90"/>
              <w:bottom w:type="dxa" w:w="60"/>
              <w:right w:type="dxa" w:w="90"/>
            </w:tcMar>
          </w:tcPr>
          <w:p>
            <w:pPr>
              <w:spacing w:after="0"/>
            </w:pPr>
            <w:r>
              <w:rPr>
                <w:sz w:val="17"/>
                <w:szCs w:val="17"/>
              </w:rPr>
              <w:t xml:space="preserve">Direct measurement of bus voltage and motor current on every sample. The optimiser minimises a smooth proxy; the claim is made in measured watt-hours.</w:t>
            </w:r>
          </w:p>
        </w:tc>
      </w:tr>
      <w:tr>
        <w:tc>
          <w:tcPr>
            <w:tcW w:type="dxa" w:w="1843"/>
            <w:shd w:fill="FFFFFF" w:val="clear"/>
            <w:tcMar>
              <w:top w:type="dxa" w:w="60"/>
              <w:left w:type="dxa" w:w="90"/>
              <w:bottom w:type="dxa" w:w="60"/>
              <w:right w:type="dxa" w:w="90"/>
            </w:tcMar>
          </w:tcPr>
          <w:p>
            <w:pPr>
              <w:spacing w:after="0"/>
            </w:pPr>
            <w:r>
              <w:rPr>
                <w:sz w:val="17"/>
                <w:szCs w:val="17"/>
              </w:rPr>
              <w:t xml:space="preserve">Data collection → Model validity</w:t>
            </w:r>
          </w:p>
        </w:tc>
        <w:tc>
          <w:tcPr>
            <w:tcW w:type="dxa" w:w="4074"/>
            <w:shd w:fill="FFFFFF" w:val="clear"/>
            <w:tcMar>
              <w:top w:type="dxa" w:w="60"/>
              <w:left w:type="dxa" w:w="90"/>
              <w:bottom w:type="dxa" w:w="60"/>
              <w:right w:type="dxa" w:w="90"/>
            </w:tcMar>
          </w:tcPr>
          <w:p>
            <w:pPr>
              <w:spacing w:after="0"/>
            </w:pPr>
            <w:r>
              <w:rPr>
                <w:sz w:val="17"/>
                <w:szCs w:val="17"/>
              </w:rPr>
              <w:t xml:space="preserve">Once the loop closes, the input becomes a deterministic function of the output. Excitation vanishes and the identified model drifts toward the controller rather than the plant.</w:t>
            </w:r>
          </w:p>
        </w:tc>
        <w:tc>
          <w:tcPr>
            <w:tcW w:type="dxa" w:w="3783"/>
            <w:shd w:fill="FFFFFF" w:val="clear"/>
            <w:tcMar>
              <w:top w:type="dxa" w:w="60"/>
              <w:left w:type="dxa" w:w="90"/>
              <w:bottom w:type="dxa" w:w="60"/>
              <w:right w:type="dxa" w:w="90"/>
            </w:tcMar>
          </w:tcPr>
          <w:p>
            <w:pPr>
              <w:spacing w:after="0"/>
            </w:pPr>
            <w:r>
              <w:rPr>
                <w:sz w:val="17"/>
                <w:szCs w:val="17"/>
              </w:rPr>
              <w:t xml:space="preserve">A scheduled weekly pseudo-random excitation campaign plus a five percent exploration dither on every control interval, both flagged so they can be used as natural experiments and excluded from performance accounting.</w:t>
            </w:r>
          </w:p>
        </w:tc>
      </w:tr>
    </w:tbl>
    <w:p>
      <w:pPr>
        <w:pStyle w:val="Heading1"/>
      </w:pPr>
      <w:r>
        <w:t xml:space="preserve">13. Gaps in current research that this project addresses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82"/>
        <w:gridCol w:w="4268"/>
        <w:gridCol w:w="4850"/>
      </w:tblGrid>
      <w:tr>
        <w:trPr>
          <w:tblHeader/>
        </w:trPr>
        <w:tc>
          <w:tcPr>
            <w:tcW w:type="dxa" w:w="582"/>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4268"/>
            <w:shd w:fill="1F3864" w:val="clear"/>
            <w:tcMar>
              <w:top w:type="dxa" w:w="60"/>
              <w:left w:type="dxa" w:w="90"/>
              <w:bottom w:type="dxa" w:w="60"/>
              <w:right w:type="dxa" w:w="90"/>
            </w:tcMar>
          </w:tcPr>
          <w:p>
            <w:pPr>
              <w:spacing w:after="0"/>
            </w:pPr>
            <w:r>
              <w:rPr>
                <w:b/>
                <w:bCs/>
                <w:color w:val="FFFFFF"/>
                <w:sz w:val="17"/>
                <w:szCs w:val="17"/>
              </w:rPr>
              <w:t xml:space="preserve">Gap in the existing literature</w:t>
            </w:r>
          </w:p>
        </w:tc>
        <w:tc>
          <w:tcPr>
            <w:tcW w:type="dxa" w:w="4850"/>
            <w:shd w:fill="1F3864" w:val="clear"/>
            <w:tcMar>
              <w:top w:type="dxa" w:w="60"/>
              <w:left w:type="dxa" w:w="90"/>
              <w:bottom w:type="dxa" w:w="60"/>
              <w:right w:type="dxa" w:w="90"/>
            </w:tcMar>
          </w:tcPr>
          <w:p>
            <w:pPr>
              <w:spacing w:after="0"/>
            </w:pPr>
            <w:r>
              <w:rPr>
                <w:b/>
                <w:bCs/>
                <w:color w:val="FFFFFF"/>
                <w:sz w:val="17"/>
                <w:szCs w:val="17"/>
              </w:rPr>
              <w:t xml:space="preserve">What this project does about it</w:t>
            </w:r>
          </w:p>
        </w:tc>
      </w:tr>
      <w:tr>
        <w:tc>
          <w:tcPr>
            <w:tcW w:type="dxa" w:w="582"/>
            <w:shd w:fill="FFFFFF" w:val="clear"/>
            <w:tcMar>
              <w:top w:type="dxa" w:w="60"/>
              <w:left w:type="dxa" w:w="90"/>
              <w:bottom w:type="dxa" w:w="60"/>
              <w:right w:type="dxa" w:w="90"/>
            </w:tcMar>
          </w:tcPr>
          <w:p>
            <w:pPr>
              <w:spacing w:after="0"/>
            </w:pPr>
            <w:r>
              <w:rPr>
                <w:sz w:val="17"/>
                <w:szCs w:val="17"/>
              </w:rPr>
              <w:t xml:space="preserve">1</w:t>
            </w:r>
          </w:p>
        </w:tc>
        <w:tc>
          <w:tcPr>
            <w:tcW w:type="dxa" w:w="4268"/>
            <w:shd w:fill="FFFFFF" w:val="clear"/>
            <w:tcMar>
              <w:top w:type="dxa" w:w="60"/>
              <w:left w:type="dxa" w:w="90"/>
              <w:bottom w:type="dxa" w:w="60"/>
              <w:right w:type="dxa" w:w="90"/>
            </w:tcMar>
          </w:tcPr>
          <w:p>
            <w:pPr>
              <w:spacing w:after="0"/>
            </w:pPr>
            <w:r>
              <w:rPr>
                <w:sz w:val="17"/>
                <w:szCs w:val="17"/>
              </w:rPr>
              <w:t xml:space="preserve">Monitoring without actuation. The overwhelming majority of low-cost air-quality work measures and reports; the loop is left open and the human is the controller.</w:t>
            </w:r>
          </w:p>
        </w:tc>
        <w:tc>
          <w:tcPr>
            <w:tcW w:type="dxa" w:w="4850"/>
            <w:shd w:fill="FFFFFF" w:val="clear"/>
            <w:tcMar>
              <w:top w:type="dxa" w:w="60"/>
              <w:left w:type="dxa" w:w="90"/>
              <w:bottom w:type="dxa" w:w="60"/>
              <w:right w:type="dxa" w:w="90"/>
            </w:tcMar>
          </w:tcPr>
          <w:p>
            <w:pPr>
              <w:spacing w:after="0"/>
            </w:pPr>
            <w:r>
              <w:rPr>
                <w:sz w:val="17"/>
                <w:szCs w:val="17"/>
              </w:rPr>
              <w:t xml:space="preserve">Closes the loop on the same device, with a measurable energy objective rather than an alert.</w:t>
            </w:r>
          </w:p>
        </w:tc>
      </w:tr>
      <w:tr>
        <w:tc>
          <w:tcPr>
            <w:tcW w:type="dxa" w:w="582"/>
            <w:shd w:fill="EDF1F8" w:val="clear"/>
            <w:tcMar>
              <w:top w:type="dxa" w:w="60"/>
              <w:left w:type="dxa" w:w="90"/>
              <w:bottom w:type="dxa" w:w="60"/>
              <w:right w:type="dxa" w:w="90"/>
            </w:tcMar>
          </w:tcPr>
          <w:p>
            <w:pPr>
              <w:spacing w:after="0"/>
            </w:pPr>
            <w:r>
              <w:rPr>
                <w:sz w:val="17"/>
                <w:szCs w:val="17"/>
              </w:rPr>
              <w:t xml:space="preserve">2</w:t>
            </w:r>
          </w:p>
        </w:tc>
        <w:tc>
          <w:tcPr>
            <w:tcW w:type="dxa" w:w="4268"/>
            <w:shd w:fill="EDF1F8" w:val="clear"/>
            <w:tcMar>
              <w:top w:type="dxa" w:w="60"/>
              <w:left w:type="dxa" w:w="90"/>
              <w:bottom w:type="dxa" w:w="60"/>
              <w:right w:type="dxa" w:w="90"/>
            </w:tcMar>
          </w:tcPr>
          <w:p>
            <w:pPr>
              <w:spacing w:after="0"/>
            </w:pPr>
            <w:r>
              <w:rPr>
                <w:sz w:val="17"/>
                <w:szCs w:val="17"/>
              </w:rPr>
              <w:t xml:space="preserve">CO2 as a proxy for everything. Demand-controlled ventilation is almost universally CO2-driven because CO2 is the easy signal, not because it is the harmful one.</w:t>
            </w:r>
          </w:p>
        </w:tc>
        <w:tc>
          <w:tcPr>
            <w:tcW w:type="dxa" w:w="4850"/>
            <w:shd w:fill="EDF1F8" w:val="clear"/>
            <w:tcMar>
              <w:top w:type="dxa" w:w="60"/>
              <w:left w:type="dxa" w:w="90"/>
              <w:bottom w:type="dxa" w:w="60"/>
              <w:right w:type="dxa" w:w="90"/>
            </w:tcMar>
          </w:tcPr>
          <w:p>
            <w:pPr>
              <w:spacing w:after="0"/>
            </w:pPr>
            <w:r>
              <w:rPr>
                <w:sz w:val="17"/>
                <w:szCs w:val="17"/>
              </w:rPr>
              <w:t xml:space="preserve">Makes particulate matter the primary controlled variable and treats CO2 as a tracer for identifying airflow — which is what it is genuinely good at.</w:t>
            </w:r>
          </w:p>
        </w:tc>
      </w:tr>
      <w:tr>
        <w:tc>
          <w:tcPr>
            <w:tcW w:type="dxa" w:w="582"/>
            <w:shd w:fill="FFFFFF" w:val="clear"/>
            <w:tcMar>
              <w:top w:type="dxa" w:w="60"/>
              <w:left w:type="dxa" w:w="90"/>
              <w:bottom w:type="dxa" w:w="60"/>
              <w:right w:type="dxa" w:w="90"/>
            </w:tcMar>
          </w:tcPr>
          <w:p>
            <w:pPr>
              <w:spacing w:after="0"/>
            </w:pPr>
            <w:r>
              <w:rPr>
                <w:sz w:val="17"/>
                <w:szCs w:val="17"/>
              </w:rPr>
              <w:t xml:space="preserve">3</w:t>
            </w:r>
          </w:p>
        </w:tc>
        <w:tc>
          <w:tcPr>
            <w:tcW w:type="dxa" w:w="4268"/>
            <w:shd w:fill="FFFFFF" w:val="clear"/>
            <w:tcMar>
              <w:top w:type="dxa" w:w="60"/>
              <w:left w:type="dxa" w:w="90"/>
              <w:bottom w:type="dxa" w:w="60"/>
              <w:right w:type="dxa" w:w="90"/>
            </w:tcMar>
          </w:tcPr>
          <w:p>
            <w:pPr>
              <w:spacing w:after="0"/>
            </w:pPr>
            <w:r>
              <w:rPr>
                <w:sz w:val="17"/>
                <w:szCs w:val="17"/>
              </w:rPr>
              <w:t xml:space="preserve">Forecast models are never stress-tested as surrogates. Papers report RMSE; none report what happens when an optimiser probes the model at inputs it has never seen.</w:t>
            </w:r>
          </w:p>
        </w:tc>
        <w:tc>
          <w:tcPr>
            <w:tcW w:type="dxa" w:w="4850"/>
            <w:shd w:fill="FFFFFF" w:val="clear"/>
            <w:tcMar>
              <w:top w:type="dxa" w:w="60"/>
              <w:left w:type="dxa" w:w="90"/>
              <w:bottom w:type="dxa" w:w="60"/>
              <w:right w:type="dxa" w:w="90"/>
            </w:tcMar>
          </w:tcPr>
          <w:p>
            <w:pPr>
              <w:spacing w:after="0"/>
            </w:pPr>
            <w:r>
              <w:rPr>
                <w:sz w:val="17"/>
                <w:szCs w:val="17"/>
              </w:rPr>
              <w:t xml:space="preserve">Introduces an explicit monotonicity audit as a release gate, and reports it as a first-class metric alongside RMSE.</w:t>
            </w:r>
          </w:p>
        </w:tc>
      </w:tr>
      <w:tr>
        <w:tc>
          <w:tcPr>
            <w:tcW w:type="dxa" w:w="582"/>
            <w:shd w:fill="EDF1F8" w:val="clear"/>
            <w:tcMar>
              <w:top w:type="dxa" w:w="60"/>
              <w:left w:type="dxa" w:w="90"/>
              <w:bottom w:type="dxa" w:w="60"/>
              <w:right w:type="dxa" w:w="90"/>
            </w:tcMar>
          </w:tcPr>
          <w:p>
            <w:pPr>
              <w:spacing w:after="0"/>
            </w:pPr>
            <w:r>
              <w:rPr>
                <w:sz w:val="17"/>
                <w:szCs w:val="17"/>
              </w:rPr>
              <w:t xml:space="preserve">4</w:t>
            </w:r>
          </w:p>
        </w:tc>
        <w:tc>
          <w:tcPr>
            <w:tcW w:type="dxa" w:w="4268"/>
            <w:shd w:fill="EDF1F8" w:val="clear"/>
            <w:tcMar>
              <w:top w:type="dxa" w:w="60"/>
              <w:left w:type="dxa" w:w="90"/>
              <w:bottom w:type="dxa" w:w="60"/>
              <w:right w:type="dxa" w:w="90"/>
            </w:tcMar>
          </w:tcPr>
          <w:p>
            <w:pPr>
              <w:spacing w:after="0"/>
            </w:pPr>
            <w:r>
              <w:rPr>
                <w:sz w:val="17"/>
                <w:szCs w:val="17"/>
              </w:rPr>
              <w:t xml:space="preserve">Sensor calibration is offline and post-hoc. Correction curves are applied in analysis, months later, by a researcher.</w:t>
            </w:r>
          </w:p>
        </w:tc>
        <w:tc>
          <w:tcPr>
            <w:tcW w:type="dxa" w:w="4850"/>
            <w:shd w:fill="EDF1F8" w:val="clear"/>
            <w:tcMar>
              <w:top w:type="dxa" w:w="60"/>
              <w:left w:type="dxa" w:w="90"/>
              <w:bottom w:type="dxa" w:w="60"/>
              <w:right w:type="dxa" w:w="90"/>
            </w:tcMar>
          </w:tcPr>
          <w:p>
            <w:pPr>
              <w:spacing w:after="0"/>
            </w:pPr>
            <w:r>
              <w:rPr>
                <w:sz w:val="17"/>
                <w:szCs w:val="17"/>
              </w:rPr>
              <w:t xml:space="preserve">Runs R0 re-learning, humidity correction and validity gating live, on-device, as part of the control loop.</w:t>
            </w:r>
          </w:p>
        </w:tc>
      </w:tr>
      <w:tr>
        <w:tc>
          <w:tcPr>
            <w:tcW w:type="dxa" w:w="582"/>
            <w:shd w:fill="FFFFFF" w:val="clear"/>
            <w:tcMar>
              <w:top w:type="dxa" w:w="60"/>
              <w:left w:type="dxa" w:w="90"/>
              <w:bottom w:type="dxa" w:w="60"/>
              <w:right w:type="dxa" w:w="90"/>
            </w:tcMar>
          </w:tcPr>
          <w:p>
            <w:pPr>
              <w:spacing w:after="0"/>
            </w:pPr>
            <w:r>
              <w:rPr>
                <w:sz w:val="17"/>
                <w:szCs w:val="17"/>
              </w:rPr>
              <w:t xml:space="preserve">5</w:t>
            </w:r>
          </w:p>
        </w:tc>
        <w:tc>
          <w:tcPr>
            <w:tcW w:type="dxa" w:w="4268"/>
            <w:shd w:fill="FFFFFF" w:val="clear"/>
            <w:tcMar>
              <w:top w:type="dxa" w:w="60"/>
              <w:left w:type="dxa" w:w="90"/>
              <w:bottom w:type="dxa" w:w="60"/>
              <w:right w:type="dxa" w:w="90"/>
            </w:tcMar>
          </w:tcPr>
          <w:p>
            <w:pPr>
              <w:spacing w:after="0"/>
            </w:pPr>
            <w:r>
              <w:rPr>
                <w:sz w:val="17"/>
                <w:szCs w:val="17"/>
              </w:rPr>
              <w:t xml:space="preserve">Fail-safe behaviour is unspecified. Control papers assume the controller is present; what happens on disconnect is rarely stated, and 'hold last command' is the common default.</w:t>
            </w:r>
          </w:p>
        </w:tc>
        <w:tc>
          <w:tcPr>
            <w:tcW w:type="dxa" w:w="4850"/>
            <w:shd w:fill="FFFFFF" w:val="clear"/>
            <w:tcMar>
              <w:top w:type="dxa" w:w="60"/>
              <w:left w:type="dxa" w:w="90"/>
              <w:bottom w:type="dxa" w:w="60"/>
              <w:right w:type="dxa" w:w="90"/>
            </w:tcMar>
          </w:tcPr>
          <w:p>
            <w:pPr>
              <w:spacing w:after="0"/>
            </w:pPr>
            <w:r>
              <w:rPr>
                <w:sz w:val="17"/>
                <w:szCs w:val="17"/>
              </w:rPr>
              <w:t xml:space="preserve">Specifies command expiry, an autonomous degraded controller, a watchdog path that converges to motor-off in hardware, and a fault-injection suite that tests all of it.</w:t>
            </w:r>
          </w:p>
        </w:tc>
      </w:tr>
      <w:tr>
        <w:tc>
          <w:tcPr>
            <w:tcW w:type="dxa" w:w="582"/>
            <w:shd w:fill="EDF1F8" w:val="clear"/>
            <w:tcMar>
              <w:top w:type="dxa" w:w="60"/>
              <w:left w:type="dxa" w:w="90"/>
              <w:bottom w:type="dxa" w:w="60"/>
              <w:right w:type="dxa" w:w="90"/>
            </w:tcMar>
          </w:tcPr>
          <w:p>
            <w:pPr>
              <w:spacing w:after="0"/>
            </w:pPr>
            <w:r>
              <w:rPr>
                <w:sz w:val="17"/>
                <w:szCs w:val="17"/>
              </w:rPr>
              <w:t xml:space="preserve">6</w:t>
            </w:r>
          </w:p>
        </w:tc>
        <w:tc>
          <w:tcPr>
            <w:tcW w:type="dxa" w:w="4268"/>
            <w:shd w:fill="EDF1F8" w:val="clear"/>
            <w:tcMar>
              <w:top w:type="dxa" w:w="60"/>
              <w:left w:type="dxa" w:w="90"/>
              <w:bottom w:type="dxa" w:w="60"/>
              <w:right w:type="dxa" w:w="90"/>
            </w:tcMar>
          </w:tcPr>
          <w:p>
            <w:pPr>
              <w:spacing w:after="0"/>
            </w:pPr>
            <w:r>
              <w:rPr>
                <w:sz w:val="17"/>
                <w:szCs w:val="17"/>
              </w:rPr>
              <w:t xml:space="preserve">Energy savings reported on proxies or in simulation. Very few low-cost studies measure the electrical energy actually consumed.</w:t>
            </w:r>
          </w:p>
        </w:tc>
        <w:tc>
          <w:tcPr>
            <w:tcW w:type="dxa" w:w="4850"/>
            <w:shd w:fill="EDF1F8" w:val="clear"/>
            <w:tcMar>
              <w:top w:type="dxa" w:w="60"/>
              <w:left w:type="dxa" w:w="90"/>
              <w:bottom w:type="dxa" w:w="60"/>
              <w:right w:type="dxa" w:w="90"/>
            </w:tcMar>
          </w:tcPr>
          <w:p>
            <w:pPr>
              <w:spacing w:after="0"/>
            </w:pPr>
            <w:r>
              <w:rPr>
                <w:sz w:val="17"/>
                <w:szCs w:val="17"/>
              </w:rPr>
              <w:t xml:space="preserve">Measures true watt-hours per remediation episode and compares against a replayed always-on baseline on matched initial conditions.</w:t>
            </w:r>
          </w:p>
        </w:tc>
      </w:tr>
      <w:tr>
        <w:tc>
          <w:tcPr>
            <w:tcW w:type="dxa" w:w="582"/>
            <w:shd w:fill="FFFFFF" w:val="clear"/>
            <w:tcMar>
              <w:top w:type="dxa" w:w="60"/>
              <w:left w:type="dxa" w:w="90"/>
              <w:bottom w:type="dxa" w:w="60"/>
              <w:right w:type="dxa" w:w="90"/>
            </w:tcMar>
          </w:tcPr>
          <w:p>
            <w:pPr>
              <w:spacing w:after="0"/>
            </w:pPr>
            <w:r>
              <w:rPr>
                <w:sz w:val="17"/>
                <w:szCs w:val="17"/>
              </w:rPr>
              <w:t xml:space="preserve">7</w:t>
            </w:r>
          </w:p>
        </w:tc>
        <w:tc>
          <w:tcPr>
            <w:tcW w:type="dxa" w:w="4268"/>
            <w:shd w:fill="FFFFFF" w:val="clear"/>
            <w:tcMar>
              <w:top w:type="dxa" w:w="60"/>
              <w:left w:type="dxa" w:w="90"/>
              <w:bottom w:type="dxa" w:w="60"/>
              <w:right w:type="dxa" w:w="90"/>
            </w:tcMar>
          </w:tcPr>
          <w:p>
            <w:pPr>
              <w:spacing w:after="0"/>
            </w:pPr>
            <w:r>
              <w:rPr>
                <w:sz w:val="17"/>
                <w:szCs w:val="17"/>
              </w:rPr>
              <w:t xml:space="preserve">Validation leakage in air-quality machine learning. Row-wise random splits on second-resolution autocorrelated series routinely produce reported R² above 0.99 for models with no real skill.</w:t>
            </w:r>
          </w:p>
        </w:tc>
        <w:tc>
          <w:tcPr>
            <w:tcW w:type="dxa" w:w="4850"/>
            <w:shd w:fill="FFFFFF" w:val="clear"/>
            <w:tcMar>
              <w:top w:type="dxa" w:w="60"/>
              <w:left w:type="dxa" w:w="90"/>
              <w:bottom w:type="dxa" w:w="60"/>
              <w:right w:type="dxa" w:w="90"/>
            </w:tcMar>
          </w:tcPr>
          <w:p>
            <w:pPr>
              <w:spacing w:after="0"/>
            </w:pPr>
            <w:r>
              <w:rPr>
                <w:sz w:val="17"/>
                <w:szCs w:val="17"/>
              </w:rPr>
              <w:t xml:space="preserve">Mandates episode-grouped, time-ordered splits, counts effective sample size in episodes rather than rows, and refuses to publish a metric that does not name its split.</w:t>
            </w:r>
          </w:p>
        </w:tc>
      </w:tr>
      <w:tr>
        <w:tc>
          <w:tcPr>
            <w:tcW w:type="dxa" w:w="582"/>
            <w:shd w:fill="EDF1F8" w:val="clear"/>
            <w:tcMar>
              <w:top w:type="dxa" w:w="60"/>
              <w:left w:type="dxa" w:w="90"/>
              <w:bottom w:type="dxa" w:w="60"/>
              <w:right w:type="dxa" w:w="90"/>
            </w:tcMar>
          </w:tcPr>
          <w:p>
            <w:pPr>
              <w:spacing w:after="0"/>
            </w:pPr>
            <w:r>
              <w:rPr>
                <w:sz w:val="17"/>
                <w:szCs w:val="17"/>
              </w:rPr>
              <w:t xml:space="preserve">8</w:t>
            </w:r>
          </w:p>
        </w:tc>
        <w:tc>
          <w:tcPr>
            <w:tcW w:type="dxa" w:w="4268"/>
            <w:shd w:fill="EDF1F8" w:val="clear"/>
            <w:tcMar>
              <w:top w:type="dxa" w:w="60"/>
              <w:left w:type="dxa" w:w="90"/>
              <w:bottom w:type="dxa" w:w="60"/>
              <w:right w:type="dxa" w:w="90"/>
            </w:tcMar>
          </w:tcPr>
          <w:p>
            <w:pPr>
              <w:spacing w:after="0"/>
            </w:pPr>
            <w:r>
              <w:rPr>
                <w:sz w:val="17"/>
                <w:szCs w:val="17"/>
              </w:rPr>
              <w:t xml:space="preserve">Safety inversion for flammable gas is absent. Low-cost projects that include an MQ-2 almost always respond to it by increasing extraction.</w:t>
            </w:r>
          </w:p>
        </w:tc>
        <w:tc>
          <w:tcPr>
            <w:tcW w:type="dxa" w:w="4850"/>
            <w:shd w:fill="EDF1F8" w:val="clear"/>
            <w:tcMar>
              <w:top w:type="dxa" w:w="60"/>
              <w:left w:type="dxa" w:w="90"/>
              <w:bottom w:type="dxa" w:w="60"/>
              <w:right w:type="dxa" w:w="90"/>
            </w:tcMar>
          </w:tcPr>
          <w:p>
            <w:pPr>
              <w:spacing w:after="0"/>
            </w:pPr>
            <w:r>
              <w:rPr>
                <w:sz w:val="17"/>
                <w:szCs w:val="17"/>
              </w:rPr>
              <w:t xml:space="preserve">Inverts the response, latches an interlock that no host command can clear, and documents ATEX-rated hardware as a precondition for any real flammable-atmosphere deployment.</w:t>
            </w:r>
          </w:p>
        </w:tc>
      </w:tr>
      <w:tr>
        <w:tc>
          <w:tcPr>
            <w:tcW w:type="dxa" w:w="582"/>
            <w:shd w:fill="FFFFFF" w:val="clear"/>
            <w:tcMar>
              <w:top w:type="dxa" w:w="60"/>
              <w:left w:type="dxa" w:w="90"/>
              <w:bottom w:type="dxa" w:w="60"/>
              <w:right w:type="dxa" w:w="90"/>
            </w:tcMar>
          </w:tcPr>
          <w:p>
            <w:pPr>
              <w:spacing w:after="0"/>
            </w:pPr>
            <w:r>
              <w:rPr>
                <w:sz w:val="17"/>
                <w:szCs w:val="17"/>
              </w:rPr>
              <w:t xml:space="preserve">9</w:t>
            </w:r>
          </w:p>
        </w:tc>
        <w:tc>
          <w:tcPr>
            <w:tcW w:type="dxa" w:w="4268"/>
            <w:shd w:fill="FFFFFF" w:val="clear"/>
            <w:tcMar>
              <w:top w:type="dxa" w:w="60"/>
              <w:left w:type="dxa" w:w="90"/>
              <w:bottom w:type="dxa" w:w="60"/>
              <w:right w:type="dxa" w:w="90"/>
            </w:tcMar>
          </w:tcPr>
          <w:p>
            <w:pPr>
              <w:spacing w:after="0"/>
            </w:pPr>
            <w:r>
              <w:rPr>
                <w:sz w:val="17"/>
                <w:szCs w:val="17"/>
              </w:rPr>
              <w:t xml:space="preserve">Scale honesty. Demonstrators built around 2 W fans are routinely described as solutions for factories.</w:t>
            </w:r>
          </w:p>
        </w:tc>
        <w:tc>
          <w:tcPr>
            <w:tcW w:type="dxa" w:w="4850"/>
            <w:shd w:fill="FFFFFF" w:val="clear"/>
            <w:tcMar>
              <w:top w:type="dxa" w:w="60"/>
              <w:left w:type="dxa" w:w="90"/>
              <w:bottom w:type="dxa" w:w="60"/>
              <w:right w:type="dxa" w:w="90"/>
            </w:tcMar>
          </w:tcPr>
          <w:p>
            <w:pPr>
              <w:spacing w:after="0"/>
            </w:pPr>
            <w:r>
              <w:rPr>
                <w:sz w:val="17"/>
                <w:szCs w:val="17"/>
              </w:rPr>
              <w:t xml:space="preserve">States the scale limit explicitly: the architecture, control law and pipeline are scale-invariant; the actuator is not, and scale-up is a hardware change with a re-identified airflow curve.</w:t>
            </w:r>
          </w:p>
        </w:tc>
      </w:tr>
    </w:tbl>
    <w:p>
      <w:pPr>
        <w:pStyle w:val="Heading1"/>
      </w:pPr>
      <w:r>
        <w:t xml:space="preserve">14. Scope of the project</w:t>
      </w:r>
    </w:p>
    <w:p>
      <w:pPr>
        <w:pStyle w:val="Heading2"/>
      </w:pPr>
      <w:r>
        <w:t xml:space="preserve">14.1 In scope</w:t>
      </w:r>
    </w:p>
    <w:p>
      <w:pPr>
        <w:pStyle w:val="ListParagraph"/>
        <w:numPr>
          <w:ilvl w:val="0"/>
          <w:numId w:val="1"/>
        </w:numPr>
        <w:spacing w:after="80"/>
      </w:pPr>
      <w:r>
        <w:t xml:space="preserve">Single-zone, single-actuator closed-loop control with particulate matter, CO2 and volatile-compound channels.</w:t>
      </w:r>
    </w:p>
    <w:p>
      <w:pPr>
        <w:pStyle w:val="ListParagraph"/>
        <w:numPr>
          <w:ilvl w:val="0"/>
          <w:numId w:val="1"/>
        </w:numPr>
        <w:spacing w:after="80"/>
      </w:pPr>
      <w:r>
        <w:t xml:space="preserve">Complete edge firmware: sensing, index computation, safety state machine, interlocks, PWM actuation, store-and-forward telemetry.</w:t>
      </w:r>
    </w:p>
    <w:p>
      <w:pPr>
        <w:pStyle w:val="ListParagraph"/>
        <w:numPr>
          <w:ilvl w:val="0"/>
          <w:numId w:val="1"/>
        </w:numPr>
        <w:spacing w:after="80"/>
      </w:pPr>
      <w:r>
        <w:t xml:space="preserve">Secure MQTT transport with per-node authorisation, and a time-series data plane with defined retention.</w:t>
      </w:r>
    </w:p>
    <w:p>
      <w:pPr>
        <w:pStyle w:val="ListParagraph"/>
        <w:numPr>
          <w:ilvl w:val="0"/>
          <w:numId w:val="1"/>
        </w:numPr>
        <w:spacing w:after="80"/>
      </w:pPr>
      <w:r>
        <w:t xml:space="preserve">Host-side grey-box plus machine-learning forecaster, and a constrained receding-horizon optimiser with a soft deadline.</w:t>
      </w:r>
    </w:p>
    <w:p>
      <w:pPr>
        <w:pStyle w:val="ListParagraph"/>
        <w:numPr>
          <w:ilvl w:val="0"/>
          <w:numId w:val="1"/>
        </w:numPr>
        <w:spacing w:after="80"/>
      </w:pPr>
      <w:r>
        <w:t xml:space="preserve">A published chamber dataset with a full identification and quality-control protocol.</w:t>
      </w:r>
    </w:p>
    <w:p>
      <w:pPr>
        <w:pStyle w:val="ListParagraph"/>
        <w:numPr>
          <w:ilvl w:val="0"/>
          <w:numId w:val="1"/>
        </w:numPr>
        <w:spacing w:after="80"/>
      </w:pPr>
      <w:r>
        <w:t xml:space="preserve">Operations and control dashboards, drift detection, shadow-mode retraining and model promotion gates.</w:t>
      </w:r>
    </w:p>
    <w:p>
      <w:pPr>
        <w:pStyle w:val="ListParagraph"/>
        <w:numPr>
          <w:ilvl w:val="0"/>
          <w:numId w:val="1"/>
        </w:numPr>
        <w:spacing w:after="80"/>
      </w:pPr>
      <w:r>
        <w:t xml:space="preserve">Quantified evaluation against four baselines, including an offline hindsight oracle.</w:t>
      </w:r>
    </w:p>
    <w:p>
      <w:pPr>
        <w:pStyle w:val="Heading2"/>
      </w:pPr>
      <w:r>
        <w:t xml:space="preserve">14.2 Explicitly out of scope</w:t>
      </w:r>
    </w:p>
    <w:p>
      <w:pPr>
        <w:pStyle w:val="ListParagraph"/>
        <w:numPr>
          <w:ilvl w:val="0"/>
          <w:numId w:val="1"/>
        </w:numPr>
        <w:spacing w:after="80"/>
      </w:pPr>
      <w:r>
        <w:t xml:space="preserve">ATEX or IECEx certification, and any deployment into a classified flammable atmosphere with the fixed hardware.</w:t>
      </w:r>
    </w:p>
    <w:p>
      <w:pPr>
        <w:pStyle w:val="ListParagraph"/>
        <w:numPr>
          <w:ilvl w:val="0"/>
          <w:numId w:val="1"/>
        </w:numPr>
        <w:spacing w:after="80"/>
      </w:pPr>
      <w:r>
        <w:t xml:space="preserve">Duct design, fan sizing and computational fluid dynamics for full-scale rooms.</w:t>
      </w:r>
    </w:p>
    <w:p>
      <w:pPr>
        <w:pStyle w:val="ListParagraph"/>
        <w:numPr>
          <w:ilvl w:val="0"/>
          <w:numId w:val="1"/>
        </w:numPr>
        <w:spacing w:after="80"/>
      </w:pPr>
      <w:r>
        <w:t xml:space="preserve">Absolute, reference-traceable concentration accuracy. The system is internally self-consistent and makes no metrological claim.</w:t>
      </w:r>
    </w:p>
    <w:p>
      <w:pPr>
        <w:pStyle w:val="ListParagraph"/>
        <w:numPr>
          <w:ilvl w:val="0"/>
          <w:numId w:val="1"/>
        </w:numPr>
        <w:spacing w:after="80"/>
      </w:pPr>
      <w:r>
        <w:t xml:space="preserve">Regulatory compliance reporting. The control index is deliberately non-regulatory and is labelled as such everywhere.</w:t>
      </w:r>
    </w:p>
    <w:p>
      <w:pPr>
        <w:pStyle w:val="ListParagraph"/>
        <w:numPr>
          <w:ilvl w:val="0"/>
          <w:numId w:val="1"/>
        </w:numPr>
        <w:spacing w:after="80"/>
      </w:pPr>
      <w:r>
        <w:t xml:space="preserve">Multi-zone coordination beyond what the architecture and topic schema already allow for.</w:t>
      </w:r>
    </w:p>
    <w:p>
      <w:pPr>
        <w:pStyle w:val="ListParagraph"/>
        <w:numPr>
          <w:ilvl w:val="0"/>
          <w:numId w:val="1"/>
        </w:numPr>
        <w:spacing w:after="80"/>
      </w:pPr>
      <w:r>
        <w:t xml:space="preserve">Any medical or occupational-health claim about exposure outcomes.</w:t>
      </w:r>
    </w:p>
    <w:p>
      <w:pPr>
        <w:pStyle w:val="Heading2"/>
      </w:pPr>
      <w:r>
        <w:t xml:space="preserve">14.3 Scale-up path</w:t>
      </w:r>
    </w:p>
    <w:p>
      <w:pPr>
        <w:spacing w:after="140"/>
      </w:pPr>
      <w:r>
        <w:t xml:space="preserve">The demonstration runs in a 15-litre chamber with roughly 115 air changes per hour. A 60 cubic-metre workshop at 6 air changes per hour needs about 360 cubic metres per hour of extraction — a fan two to three orders of magnitude larger. What transfers unchanged is the architecture, the identification protocol, the model structure, the optimiser and the safety contract. What must be redone is the airflow curve, the deposition rate, the deadline grid and the power stage. That is a commissioning exercise, not a redesign, and the design has been kept scale-invariant precisely so that this is true.</w:t>
      </w:r>
    </w:p>
    <w:p>
      <w:pPr>
        <w:pStyle w:val="Heading1"/>
      </w:pPr>
      <w:r>
        <w:t xml:space="preserve">15. Possible impact</w:t>
      </w:r>
    </w:p>
    <w:p>
      <w:pPr>
        <w:pStyle w:val="Heading2"/>
      </w:pPr>
      <w:r>
        <w:t xml:space="preserve">15.1 Societal</w:t>
      </w:r>
    </w:p>
    <w:p>
      <w:pPr>
        <w:spacing w:after="140"/>
      </w:pPr>
      <w:r>
        <w:t xml:space="preserve">Indoor air is where people actually spend their time, and in India it is frequently far worse than the outdoor air that gets measured and reported. Commercial kitchens, small fabrication units, chemical storerooms and school laboratories all concentrate exposure in exactly the places where ventilation is currently either a switch on a wall or nothing at all. The people breathing that air — cooks, welders, storekeepers, technicians — are usually not the people who decide what equipment gets bought, which is why cost is not a secondary concern here but the central one. A closed-loop node built from a five-dollar microcontroller and commodity sensors is affordable at a scale that a building management system will never reach. If it works, it converts ventilation from an unmeasured habit into a measured, recorded and automatically enforced condition.</w:t>
      </w:r>
    </w:p>
    <w:p>
      <w:pPr>
        <w:pStyle w:val="Heading2"/>
      </w:pPr>
      <w:r>
        <w:t xml:space="preserve">15.2 Industrial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shd w:fill="1F3864" w:val="clear"/>
            <w:tcMar>
              <w:top w:type="dxa" w:w="60"/>
              <w:left w:type="dxa" w:w="90"/>
              <w:bottom w:type="dxa" w:w="60"/>
              <w:right w:type="dxa" w:w="90"/>
            </w:tcMar>
          </w:tcPr>
          <w:p>
            <w:pPr>
              <w:spacing w:after="0"/>
            </w:pPr>
            <w:r>
              <w:rPr>
                <w:b/>
                <w:bCs/>
                <w:color w:val="FFFFFF"/>
                <w:sz w:val="17"/>
                <w:szCs w:val="17"/>
              </w:rPr>
              <w:t xml:space="preserve">Outcome</w:t>
            </w:r>
          </w:p>
        </w:tc>
        <w:tc>
          <w:tcPr>
            <w:tcW w:type="dxa" w:w="7178"/>
            <w:shd w:fill="1F3864" w:val="clear"/>
            <w:tcMar>
              <w:top w:type="dxa" w:w="60"/>
              <w:left w:type="dxa" w:w="90"/>
              <w:bottom w:type="dxa" w:w="60"/>
              <w:right w:type="dxa" w:w="90"/>
            </w:tcMar>
          </w:tcPr>
          <w:p>
            <w:pPr>
              <w:spacing w:after="0"/>
            </w:pPr>
            <w:r>
              <w:rPr>
                <w:b/>
                <w:bCs/>
                <w:color w:val="FFFFFF"/>
                <w:sz w:val="17"/>
                <w:szCs w:val="17"/>
              </w:rPr>
              <w:t xml:space="preserve">Why it follows from this project</w:t>
            </w:r>
          </w:p>
        </w:tc>
      </w:tr>
      <w:tr>
        <w:tc>
          <w:tcPr>
            <w:tcW w:type="dxa" w:w="2522"/>
            <w:shd w:fill="FFFFFF" w:val="clear"/>
            <w:tcMar>
              <w:top w:type="dxa" w:w="60"/>
              <w:left w:type="dxa" w:w="90"/>
              <w:bottom w:type="dxa" w:w="60"/>
              <w:right w:type="dxa" w:w="90"/>
            </w:tcMar>
          </w:tcPr>
          <w:p>
            <w:pPr>
              <w:spacing w:after="0"/>
            </w:pPr>
            <w:r>
              <w:rPr>
                <w:sz w:val="17"/>
                <w:szCs w:val="17"/>
              </w:rPr>
              <w:t xml:space="preserve">Direct energy cost reduction</w:t>
            </w:r>
          </w:p>
        </w:tc>
        <w:tc>
          <w:tcPr>
            <w:tcW w:type="dxa" w:w="7178"/>
            <w:shd w:fill="FFFFFF" w:val="clear"/>
            <w:tcMar>
              <w:top w:type="dxa" w:w="60"/>
              <w:left w:type="dxa" w:w="90"/>
              <w:bottom w:type="dxa" w:w="60"/>
              <w:right w:type="dxa" w:w="90"/>
            </w:tcMar>
          </w:tcPr>
          <w:p>
            <w:pPr>
              <w:spacing w:after="0"/>
            </w:pPr>
            <w:r>
              <w:rPr>
                <w:sz w:val="17"/>
                <w:szCs w:val="17"/>
              </w:rPr>
              <w:t xml:space="preserve">A ventilation fan that runs only as hard as the air requires, rather than for the whole shift. The target is a 40 percent reduction against always-on operation at equal or better safety compliance.</w:t>
            </w:r>
          </w:p>
        </w:tc>
      </w:tr>
      <w:tr>
        <w:tc>
          <w:tcPr>
            <w:tcW w:type="dxa" w:w="2522"/>
            <w:shd w:fill="EDF1F8" w:val="clear"/>
            <w:tcMar>
              <w:top w:type="dxa" w:w="60"/>
              <w:left w:type="dxa" w:w="90"/>
              <w:bottom w:type="dxa" w:w="60"/>
              <w:right w:type="dxa" w:w="90"/>
            </w:tcMar>
          </w:tcPr>
          <w:p>
            <w:pPr>
              <w:spacing w:after="0"/>
            </w:pPr>
            <w:r>
              <w:rPr>
                <w:sz w:val="17"/>
                <w:szCs w:val="17"/>
              </w:rPr>
              <w:t xml:space="preserve">An evidence trail for compliance</w:t>
            </w:r>
          </w:p>
        </w:tc>
        <w:tc>
          <w:tcPr>
            <w:tcW w:type="dxa" w:w="7178"/>
            <w:shd w:fill="EDF1F8" w:val="clear"/>
            <w:tcMar>
              <w:top w:type="dxa" w:w="60"/>
              <w:left w:type="dxa" w:w="90"/>
              <w:bottom w:type="dxa" w:w="60"/>
              <w:right w:type="dxa" w:w="90"/>
            </w:tcMar>
          </w:tcPr>
          <w:p>
            <w:pPr>
              <w:spacing w:after="0"/>
            </w:pPr>
            <w:r>
              <w:rPr>
                <w:sz w:val="17"/>
                <w:szCs w:val="17"/>
              </w:rPr>
              <w:t xml:space="preserve">Every remediation episode is logged with its concentration trajectory, the action taken and the energy spent. An inspector's question stops being a matter of recollection.</w:t>
            </w:r>
          </w:p>
        </w:tc>
      </w:tr>
      <w:tr>
        <w:tc>
          <w:tcPr>
            <w:tcW w:type="dxa" w:w="2522"/>
            <w:shd w:fill="FFFFFF" w:val="clear"/>
            <w:tcMar>
              <w:top w:type="dxa" w:w="60"/>
              <w:left w:type="dxa" w:w="90"/>
              <w:bottom w:type="dxa" w:w="60"/>
              <w:right w:type="dxa" w:w="90"/>
            </w:tcMar>
          </w:tcPr>
          <w:p>
            <w:pPr>
              <w:spacing w:after="0"/>
            </w:pPr>
            <w:r>
              <w:rPr>
                <w:sz w:val="17"/>
                <w:szCs w:val="17"/>
              </w:rPr>
              <w:t xml:space="preserve">Predictive maintenance for free</w:t>
            </w:r>
          </w:p>
        </w:tc>
        <w:tc>
          <w:tcPr>
            <w:tcW w:type="dxa" w:w="7178"/>
            <w:shd w:fill="FFFFFF" w:val="clear"/>
            <w:tcMar>
              <w:top w:type="dxa" w:w="60"/>
              <w:left w:type="dxa" w:w="90"/>
              <w:bottom w:type="dxa" w:w="60"/>
              <w:right w:type="dxa" w:w="90"/>
            </w:tcMar>
          </w:tcPr>
          <w:p>
            <w:pPr>
              <w:spacing w:after="0"/>
            </w:pPr>
            <w:r>
              <w:rPr>
                <w:sz w:val="17"/>
                <w:szCs w:val="17"/>
              </w:rPr>
              <w:t xml:space="preserve">Impeller speed and motor current are already measured for the energy calculation. A fouling filter or a failing bearing shows up as a drifting airflow curve long before anyone notices a smell.</w:t>
            </w:r>
          </w:p>
        </w:tc>
      </w:tr>
      <w:tr>
        <w:tc>
          <w:tcPr>
            <w:tcW w:type="dxa" w:w="2522"/>
            <w:shd w:fill="EDF1F8" w:val="clear"/>
            <w:tcMar>
              <w:top w:type="dxa" w:w="60"/>
              <w:left w:type="dxa" w:w="90"/>
              <w:bottom w:type="dxa" w:w="60"/>
              <w:right w:type="dxa" w:w="90"/>
            </w:tcMar>
          </w:tcPr>
          <w:p>
            <w:pPr>
              <w:spacing w:after="0"/>
            </w:pPr>
            <w:r>
              <w:rPr>
                <w:sz w:val="17"/>
                <w:szCs w:val="17"/>
              </w:rPr>
              <w:t xml:space="preserve">A retrofit path, not a replacement path</w:t>
            </w:r>
          </w:p>
        </w:tc>
        <w:tc>
          <w:tcPr>
            <w:tcW w:type="dxa" w:w="7178"/>
            <w:shd w:fill="EDF1F8" w:val="clear"/>
            <w:tcMar>
              <w:top w:type="dxa" w:w="60"/>
              <w:left w:type="dxa" w:w="90"/>
              <w:bottom w:type="dxa" w:w="60"/>
              <w:right w:type="dxa" w:w="90"/>
            </w:tcMar>
          </w:tcPr>
          <w:p>
            <w:pPr>
              <w:spacing w:after="0"/>
            </w:pPr>
            <w:r>
              <w:rPr>
                <w:sz w:val="17"/>
                <w:szCs w:val="17"/>
              </w:rPr>
              <w:t xml:space="preserve">The node controls an existing extraction fan through a PWM stage. Nothing about the approach requires new ductwork or a new hood.</w:t>
            </w:r>
          </w:p>
        </w:tc>
      </w:tr>
      <w:tr>
        <w:tc>
          <w:tcPr>
            <w:tcW w:type="dxa" w:w="2522"/>
            <w:shd w:fill="FFFFFF" w:val="clear"/>
            <w:tcMar>
              <w:top w:type="dxa" w:w="60"/>
              <w:left w:type="dxa" w:w="90"/>
              <w:bottom w:type="dxa" w:w="60"/>
              <w:right w:type="dxa" w:w="90"/>
            </w:tcMar>
          </w:tcPr>
          <w:p>
            <w:pPr>
              <w:spacing w:after="0"/>
            </w:pPr>
            <w:r>
              <w:rPr>
                <w:sz w:val="17"/>
                <w:szCs w:val="17"/>
              </w:rPr>
              <w:t xml:space="preserve">A template for other constrained-resource control problems</w:t>
            </w:r>
          </w:p>
        </w:tc>
        <w:tc>
          <w:tcPr>
            <w:tcW w:type="dxa" w:w="7178"/>
            <w:shd w:fill="FFFFFF" w:val="clear"/>
            <w:tcMar>
              <w:top w:type="dxa" w:w="60"/>
              <w:left w:type="dxa" w:w="90"/>
              <w:bottom w:type="dxa" w:w="60"/>
              <w:right w:type="dxa" w:w="90"/>
            </w:tcMar>
          </w:tcPr>
          <w:p>
            <w:pPr>
              <w:spacing w:after="0"/>
            </w:pPr>
            <w:r>
              <w:rPr>
                <w:sz w:val="17"/>
                <w:szCs w:val="17"/>
              </w:rPr>
              <w:t xml:space="preserve">Water pumping, dust suppression, cold-chain compressors and irrigation share the same structure: a measured state, an actuator with a cubic energy cost, and a deadline. The architecture is not specific to air.</w:t>
            </w:r>
          </w:p>
        </w:tc>
      </w:tr>
    </w:tbl>
    <w:p>
      <w:pPr>
        <w:pStyle w:val="Heading2"/>
      </w:pPr>
      <w:r>
        <w:t xml:space="preserve">15.3 Academic and open-source</w:t>
      </w:r>
    </w:p>
    <w:p>
      <w:pPr>
        <w:pStyle w:val="ListParagraph"/>
        <w:numPr>
          <w:ilvl w:val="0"/>
          <w:numId w:val="1"/>
        </w:numPr>
        <w:spacing w:after="80"/>
      </w:pPr>
      <w:r>
        <w:t xml:space="preserve">A reproducible chamber dataset with a published identification protocol, which the low-cost air-quality control literature currently lacks.</w:t>
      </w:r>
    </w:p>
    <w:p>
      <w:pPr>
        <w:pStyle w:val="ListParagraph"/>
        <w:numPr>
          <w:ilvl w:val="0"/>
          <w:numId w:val="1"/>
        </w:numPr>
        <w:spacing w:after="80"/>
      </w:pPr>
      <w:r>
        <w:t xml:space="preserve">The monotonicity audit as a transferable release gate for any machine-learned surrogate that will be placed inside an optimiser — a practice that generalises well beyond ventilation.</w:t>
      </w:r>
    </w:p>
    <w:p>
      <w:pPr>
        <w:pStyle w:val="ListParagraph"/>
        <w:numPr>
          <w:ilvl w:val="0"/>
          <w:numId w:val="1"/>
        </w:numPr>
        <w:spacing w:after="80"/>
      </w:pPr>
      <w:r>
        <w:t xml:space="preserve">A worked example of the grey-box-plus-residual pattern at a scale small enough to be reproduced by a student with a few thousand rupees of hardware.</w:t>
      </w:r>
    </w:p>
    <w:p>
      <w:pPr>
        <w:pStyle w:val="ListParagraph"/>
        <w:numPr>
          <w:ilvl w:val="0"/>
          <w:numId w:val="1"/>
        </w:numPr>
        <w:spacing w:after="80"/>
      </w:pPr>
      <w:r>
        <w:t xml:space="preserve">A documented flaw register showing where the intuitive design is wrong, which is often more useful to the next team than the final design itself.</w:t>
      </w:r>
    </w:p>
    <w:p>
      <w:pPr>
        <w:pStyle w:val="Heading2"/>
      </w:pPr>
      <w:r>
        <w:t xml:space="preserve">15.4 Honest limits on the impact claim</w:t>
      </w:r>
    </w:p>
    <w:p>
      <w:pPr>
        <w:spacing w:after="140"/>
      </w:pPr>
      <w:r>
        <w:t xml:space="preserve">This is a demonstration at 15 litres with a 2 W fan, validated against itself rather than against reference instrumentation. It does not establish that a particular energy saving will hold in a real kitchen, and it is not a certified gas detector — nothing in it should be relied upon as a life-safety device. What it does establish, if the success criteria are met, is that the control architecture works, that the model is safe to optimise against, that the system fails safely, and that the energy saving is real and measured rather than assumed. Those are the claims that scale up. The specific numbers do not, and the project should not pretend otherwise.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00" w:before="240"/>
    </w:pPr>
    <w:rPr>
      <w:rFonts w:ascii="Calibri" w:cs="Calibri" w:eastAsia="Calibri" w:hAnsi="Calibri"/>
      <w:b/>
      <w:bCs/>
      <w:color w:val="2E5C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15nler_7kk-1wiewjls" Type="http://schemas.openxmlformats.org/officeDocument/2006/relationships/hyperlink" Target="https://cpcb.nic.in/National-Air-Quality-Index/" TargetMode="External"/><Relationship Id="rId3aokqxyxds5molxqp7u7g" Type="http://schemas.openxmlformats.org/officeDocument/2006/relationships/hyperlink" Target="https://www.airnow.gov/sites/default/files/2020-05/aqi-technical-assistance-document-sept2018.pdf" TargetMode="External"/><Relationship Id="rIdl7zqimmrk4iumteg3tlqv" Type="http://schemas.openxmlformats.org/officeDocument/2006/relationships/hyperlink" Target="https://www.federalregister.gov/documents/2024/03/06/2024-02637/reconsideration-of-the-national-ambient-air-quality-standards-for-particulate-matter" TargetMode="External"/><Relationship Id="rIdrksawzj_ravjtxk3hx1aw" Type="http://schemas.openxmlformats.org/officeDocument/2006/relationships/hyperlink" Target="https://iris.who.int/handle/10665/345329" TargetMode="External"/><Relationship Id="rId65zzlr5zlewboiw_1-qn9" Type="http://schemas.openxmlformats.org/officeDocument/2006/relationships/hyperlink" Target="https://www.ashrae.org/file%20library/about/position%20documents/pd-on-indoor-carbon-dioxide-english.pdf" TargetMode="External"/><Relationship Id="rId7vqslkp64n7v7-qwvwmkq" Type="http://schemas.openxmlformats.org/officeDocument/2006/relationships/hyperlink" Target="https://www.astm.org/Standards/E741.htm" TargetMode="External"/><Relationship Id="rIdnua_k4hdvywy5oaxjkxuh" Type="http://schemas.openxmlformats.org/officeDocument/2006/relationships/hyperlink" Target="https://www.digikey.lt/htmldatasheets/production/2903006/0/0/1/pms5003-series-manual.html" TargetMode="External"/><Relationship Id="rIdcqtnfekktihnj8bklue0t" Type="http://schemas.openxmlformats.org/officeDocument/2006/relationships/hyperlink" Target="https://components101.com/sites/default/files/component_datasheet/SDS011-Sensor-Datasheet.pdf" TargetMode="External"/><Relationship Id="rIdcejar3x2frychttfdy6rb" Type="http://schemas.openxmlformats.org/officeDocument/2006/relationships/hyperlink" Target="https://www.winsen-sensor.com/d/files/MH-Z19B.pdf" TargetMode="External"/><Relationship Id="rIde809cck35konpawdc1ise" Type="http://schemas.openxmlformats.org/officeDocument/2006/relationships/hyperlink" Target="https://www.winsen-sensor.com/d/files/manual/mq135.pdf" TargetMode="External"/><Relationship Id="rIdrpouiobgwpvyqrl3cfy77" Type="http://schemas.openxmlformats.org/officeDocument/2006/relationships/hyperlink" Target="https://www.winsen-sensor.com/d/files/newpdf/mq-2-(ver1_6)---manual.pdf" TargetMode="External"/><Relationship Id="rIdsv5f7u4hduhb7of7bqijb" Type="http://schemas.openxmlformats.org/officeDocument/2006/relationships/hyperlink" Target="https://www.sparkfun.com/datasheets/Sensors/Temperature/DHT22.pdf" TargetMode="External"/><Relationship Id="rId_gkduw3cmbomfdoft2dg6" Type="http://schemas.openxmlformats.org/officeDocument/2006/relationships/hyperlink" Target="https://www.vishay.com/docs/91017/irf520.pdf" TargetMode="External"/><Relationship Id="rIdqy7miksbs_tvtsx-id9bu" Type="http://schemas.openxmlformats.org/officeDocument/2006/relationships/hyperlink" Target="https://docs.espressif.com/projects/esp-idf/en/stable/esp32/index.html" TargetMode="External"/><Relationship Id="rId9nvul87p3yzquky0hsu1e" Type="http://schemas.openxmlformats.org/officeDocument/2006/relationships/hyperlink" Target="https://docs.espressif.com/projects/esp-idf/en/stable/esp32/api-reference/peripherals/ledc.html" TargetMode="External"/><Relationship Id="rIdgdq6qhx5ybtsobgxqfdnz" Type="http://schemas.openxmlformats.org/officeDocument/2006/relationships/hyperlink" Target="https://docs.espressif.com/projects/esp-idf/en/stable/esp32/api-reference/peripherals/adc_calibration.html" TargetMode="External"/><Relationship Id="rIdajjf0_yqaujtcejfrrstc" Type="http://schemas.openxmlformats.org/officeDocument/2006/relationships/hyperlink" Target="https://docs.espressif.com/projects/arduino-esp32/en/latest/esp-idf_component.html" TargetMode="External"/><Relationship Id="rIdl2qkb2l7nmoclmzirmqpq" Type="http://schemas.openxmlformats.org/officeDocument/2006/relationships/hyperlink" Target="https://docs.oasis-open.org/mqtt/mqtt/v3.1.1/os/mqtt-v3.1.1-os.html" TargetMode="External"/><Relationship Id="rIdygarqvtwqubnxwyfw7sby" Type="http://schemas.openxmlformats.org/officeDocument/2006/relationships/hyperlink" Target="https://mosquitto.org/documentation/" TargetMode="External"/><Relationship Id="rIdhxrj6ksymydogjkaw0kas" Type="http://schemas.openxmlformats.org/officeDocument/2006/relationships/hyperlink" Target="https://docs.espressif.com/projects/esp-idf/en/stable/esp32/api-reference/protocols/mqtt.html" TargetMode="External"/><Relationship Id="rIdjxnanvb1-s4ljlaptqcvq" Type="http://schemas.openxmlformats.org/officeDocument/2006/relationships/hyperlink" Target="https://docs.timescale.com/" TargetMode="External"/><Relationship Id="rIdglfcvpvsmb_spmg-rwsqx" Type="http://schemas.openxmlformats.org/officeDocument/2006/relationships/hyperlink" Target="https://fastapi.tiangolo.com/" TargetMode="External"/><Relationship Id="rIdmcf2ldxxhc_fjsfgepod5" Type="http://schemas.openxmlformats.org/officeDocument/2006/relationships/hyperlink" Target="https://docs.pola.rs/" TargetMode="External"/><Relationship Id="rIdzwab27t68joh8kzlegq5a" Type="http://schemas.openxmlformats.org/officeDocument/2006/relationships/hyperlink" Target="https://grafana.com/docs/grafana/latest/" TargetMode="External"/><Relationship Id="rIdwb7kklfneg68cp9jpp27h" Type="http://schemas.openxmlformats.org/officeDocument/2006/relationships/hyperlink" Target="https://arxiv.org/abs/1603.02754" TargetMode="External"/><Relationship Id="rIderuwaq9us6elze4kjsgag" Type="http://schemas.openxmlformats.org/officeDocument/2006/relationships/hyperlink" Target="https://xgboost.readthedocs.io/en/stable/tutorials/monotonic.html" TargetMode="External"/><Relationship Id="rId3gs-fpiwg-p4axn8yhlfd" Type="http://schemas.openxmlformats.org/officeDocument/2006/relationships/hyperlink" Target="https://pytorch.org/docs/stable/index.html" TargetMode="External"/><Relationship Id="rIdcondbzdhwgsipu4omulwq" Type="http://schemas.openxmlformats.org/officeDocument/2006/relationships/hyperlink" Target="https://scikit-learn.org/stable/modules/cross_validation.html" TargetMode="External"/><Relationship Id="rIdku69uf8j04xvfeowy8yfy" Type="http://schemas.openxmlformats.org/officeDocument/2006/relationships/hyperlink" Target="https://arxiv.org/abs/2111.12066" TargetMode="External"/><Relationship Id="rId8trhlkvkv-6-t9_fikfkm" Type="http://schemas.openxmlformats.org/officeDocument/2006/relationships/hyperlink" Target="https://www.sciencedirect.com/science/article/abs/pii/S1364032121004639" TargetMode="External"/><Relationship Id="rIdlle73mmnap2rt6pljhq7a" Type="http://schemas.openxmlformats.org/officeDocument/2006/relationships/hyperlink" Target="https://www.nature.com/articles/s41592-019-0686-2" TargetMode="External"/><Relationship Id="rIdrziujlaioucycdy_qa8ct" Type="http://schemas.openxmlformats.org/officeDocument/2006/relationships/hyperlink" Target="https://docs.scipy.org/doc/scipy/reference/optimize.html" TargetMode="External"/><Relationship Id="rId_jxlqqm9cyndzkvzx8hyn" Type="http://schemas.openxmlformats.org/officeDocument/2006/relationships/hyperlink" Target="https://web.casadi.org/docs/" TargetMode="External"/><Relationship Id="rIdgt8yp3qprysilgdwzv5np" Type="http://schemas.openxmlformats.org/officeDocument/2006/relationships/hyperlink" Target="https://www.sciencedirect.com/science/article/pii/S0967066123002459" TargetMode="External"/><Relationship Id="rIdkufusf93gflotshq7o0kf" Type="http://schemas.openxmlformats.org/officeDocument/2006/relationships/hyperlink" Target="https://www.sciencedirect.com/science/article/abs/pii/S2352710222010750" TargetMode="External"/><Relationship Id="rId3mv8jpzwyl8pand9es-so" Type="http://schemas.openxmlformats.org/officeDocument/2006/relationships/hyperlink" Target="https://www.sciencedirect.com/science/article/abs/pii/S0306261921015567" TargetMode="External"/><Relationship Id="rId9uhiyx-dk3ydcmqppxzj9" Type="http://schemas.openxmlformats.org/officeDocument/2006/relationships/hyperlink" Target="https://www.sciencedirect.com/science/article/abs/pii/S0360132321005655" TargetMode="External"/><Relationship Id="rIdxycb-0ew1le_llzke0qgd" Type="http://schemas.openxmlformats.org/officeDocument/2006/relationships/hyperlink" Target="https://betterbuildingssolutioncenter.energy.gov/sites/default/files/attachments/Guidance-on-Demand-Controlled-Kitchen-Ventilation.pdf" TargetMode="External"/><Relationship Id="rIdipuif7g7cj9ywpw1fju3x" Type="http://schemas.openxmlformats.org/officeDocument/2006/relationships/hyperlink" Target="https://www.sciencedirect.com/science/article/pii/S235271022401653X" TargetMode="External"/><Relationship Id="rIdmhd6dkbvr7hquqilsu14x" Type="http://schemas.openxmlformats.org/officeDocument/2006/relationships/hyperlink" Target="https://pmc.ncbi.nlm.nih.gov/articles/PMC9228573/" TargetMode="External"/><Relationship Id="rIdyztfs3o5ambxpezdd1fx0" Type="http://schemas.openxmlformats.org/officeDocument/2006/relationships/hyperlink" Target="https://amt.copernicus.org/articles/17/1051/2024/" TargetMode="External"/><Relationship Id="rIdvofuwabkewhduo0wc_a8h" Type="http://schemas.openxmlformats.org/officeDocument/2006/relationships/hyperlink" Target="https://pubs.rsc.org/ea/article/4/10/1183/848301/Particle-number-size-distribution-evaluation-of" TargetMode="External"/><Relationship Id="rIdlckukg-awyujupcvzibhr" Type="http://schemas.openxmlformats.org/officeDocument/2006/relationships/hyperlink" Target="https://doi.org/10.3390/s22093301" TargetMode="External"/><Relationship Id="rIdnkwro0qudtyy12gszhmgl" Type="http://schemas.openxmlformats.org/officeDocument/2006/relationships/hyperlink" Target="https://doi.org/10.3390/chemosensors14060143" TargetMode="External"/><Relationship Id="rIdzuf3plhvz2ekwqmpfpljp" Type="http://schemas.openxmlformats.org/officeDocument/2006/relationships/hyperlink" Target="https://www.mdpi.com/1424-8220/23/2/640" TargetMode="External"/><Relationship Id="rIdoshrnsz5pf8yqc6iq8eqp" Type="http://schemas.openxmlformats.org/officeDocument/2006/relationships/hyperlink" Target="https://www.sciencedirect.com/science/article/abs/pii/S1352231005002815" TargetMode="External"/><Relationship Id="rIdyesznvga_6psgqk9pbf7x" Type="http://schemas.openxmlformats.org/officeDocument/2006/relationships/hyperlink" Target="https://github.com/do-mpc/do-mpc" TargetMode="External"/><Relationship Id="rId0jcaoo3phe72dtdf2k1lr" Type="http://schemas.openxmlformats.org/officeDocument/2006/relationships/hyperlink" Target="https://github.com/online-ml/river" TargetMode="External"/><Relationship Id="rIdgcwob8vgndnmd8zk5invf" Type="http://schemas.openxmlformats.org/officeDocument/2006/relationships/hyperlink" Target="https://esphome.io/" TargetMode="External"/><Relationship Id="rIdv8mwp1sm372fowlvm0erc" Type="http://schemas.openxmlformats.org/officeDocument/2006/relationships/hyperlink" Target="https://www.hardware-x.com/article/S2468-0672(24)00101-9/fulltext" TargetMode="External"/><Relationship Id="rIdjdapzrb7fv8kt_zhklql3" Type="http://schemas.openxmlformats.org/officeDocument/2006/relationships/hyperlink" Target="https://github.com/WifWaf/MH-Z19"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VENTIS References, Prior Art and Project Positioning</dc:title>
  <dc:creator>VENTIS Project</dc:creator>
  <dc:description>50 curated references across all project domains, with analysis of prior art, contributions, scope and impact</dc:description>
  <cp:lastModifiedBy>Un-named</cp:lastModifiedBy>
  <cp:revision>1</cp:revision>
  <dcterms:created xsi:type="dcterms:W3CDTF">2026-09-05T20:26:30.571Z</dcterms:created>
  <dcterms:modified xsi:type="dcterms:W3CDTF">2026-09-05T20:26:30.572Z</dcterms:modified>
</cp:coreProperties>
</file>

<file path=docProps/custom.xml><?xml version="1.0" encoding="utf-8"?>
<Properties xmlns="http://schemas.openxmlformats.org/officeDocument/2006/custom-properties" xmlns:vt="http://schemas.openxmlformats.org/officeDocument/2006/docPropsVTypes"/>
</file>