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A2540"/>
          <w:sz w:val="32"/>
        </w:rPr>
        <w:t>THE OXFORD COLLEGE OF ENGINEERING</w:t>
        <w:br/>
      </w:r>
      <w:r>
        <w:rPr>
          <w:rFonts w:ascii="Arial" w:hAnsi="Arial"/>
          <w:b/>
          <w:color w:val="007791"/>
          <w:sz w:val="24"/>
        </w:rPr>
        <w:t>DEPARTMENT OF INFORMATION SCIENCE &amp; ENGINEERING</w:t>
        <w:br/>
      </w:r>
      <w:r>
        <w:rPr>
          <w:rFonts w:ascii="Arial" w:hAnsi="Arial"/>
          <w:i/>
          <w:color w:val="718096"/>
          <w:sz w:val="18"/>
        </w:rPr>
        <w:t>(Affiliated to VTU, Belagavi, Approved by AICTE, New Delhi, Accredited by NBA &amp; NAAC)</w:t>
        <w:br/>
        <w:t>Hosur Road, Bommanahalli, Bengaluru – 560 068</w:t>
        <w:br/>
      </w:r>
    </w:p>
    <w:p>
      <w:pPr>
        <w:jc w:val="center"/>
      </w:pPr>
      <w:r>
        <w:rPr>
          <w:b/>
          <w:color w:val="007791"/>
        </w:rPr>
        <w:t>―――――――――――――――――――――――――――――――――――――――――――――</w:t>
      </w:r>
    </w:p>
    <w:p>
      <w:pPr>
        <w:spacing w:before="200" w:after="300"/>
        <w:jc w:val="center"/>
      </w:pPr>
      <w:r>
        <w:rPr>
          <w:rFonts w:ascii="Arial" w:hAnsi="Arial"/>
          <w:b/>
          <w:color w:val="C53030"/>
          <w:sz w:val="22"/>
        </w:rPr>
        <w:t>INTERIM PROJECT REVIEW REPORT 1 (WORK PROGRESS: ~60%)</w:t>
      </w:r>
    </w:p>
    <w:p>
      <w:pPr>
        <w:spacing w:before="300" w:after="500"/>
        <w:jc w:val="center"/>
      </w:pPr>
      <w:r>
        <w:rPr>
          <w:rFonts w:ascii="Arial" w:hAnsi="Arial"/>
          <w:b/>
          <w:color w:val="0A2540"/>
          <w:sz w:val="32"/>
        </w:rPr>
        <w:t>AN ENHANCED CNN-BASED MULTI-CLASS PNEUMONIA DETECTION SYSTEM USING ADVANCED IMAGE ENHANCEMENT, SEGMENTATION, AND DATA AUGMENTATION TECHNIQUES</w:t>
      </w:r>
    </w:p>
    <w:p>
      <w:pPr>
        <w:spacing w:before="300" w:after="80"/>
      </w:pPr>
      <w:r>
        <w:rPr>
          <w:rFonts w:ascii="Arial" w:hAnsi="Arial"/>
          <w:b/>
          <w:color w:val="007791"/>
          <w:sz w:val="20"/>
        </w:rPr>
        <w:t>PROJECT BATCH &amp; STUDENT AUTHORS:</w:t>
      </w:r>
    </w:p>
    <w:tbl>
      <w:tblPr>
        <w:tblW w:type="auto" w:w="0"/>
        <w:jc w:val="center"/>
        <w:tblLayout w:type="fixed"/>
        <w:tblLook w:firstColumn="1" w:firstRow="1" w:lastColumn="0" w:lastRow="0" w:noHBand="0" w:noVBand="1" w:val="04A0"/>
      </w:tblPr>
      <w:tblGrid>
        <w:gridCol w:w="3120"/>
        <w:gridCol w:w="3120"/>
        <w:gridCol w:w="3120"/>
      </w:tblGrid>
      <w:tr>
        <w:tc>
          <w:tcPr>
            <w:tcW w:type="dxa" w:w="1440"/>
            <w:shd w:fill="0A2540"/>
            <w:tcMar>
              <w:top w:w="120" w:type="dxa"/>
              <w:bottom w:w="120" w:type="dxa"/>
              <w:left w:w="140" w:type="dxa"/>
              <w:right w:w="140" w:type="dxa"/>
            </w:tcMar>
          </w:tcPr>
          <w:p>
            <w:pPr>
              <w:spacing w:before="40" w:after="40"/>
              <w:jc w:val="left"/>
            </w:pPr>
            <w:r>
              <w:rPr>
                <w:rFonts w:ascii="Arial" w:hAnsi="Arial"/>
                <w:b/>
                <w:color w:val="FFFFFF"/>
                <w:sz w:val="19"/>
              </w:rPr>
              <w:t>Sl. No.</w:t>
            </w:r>
          </w:p>
        </w:tc>
        <w:tc>
          <w:tcPr>
            <w:tcW w:type="dxa" w:w="5040"/>
            <w:shd w:fill="0A2540"/>
            <w:tcMar>
              <w:top w:w="120" w:type="dxa"/>
              <w:bottom w:w="120" w:type="dxa"/>
              <w:left w:w="140" w:type="dxa"/>
              <w:right w:w="140" w:type="dxa"/>
            </w:tcMar>
          </w:tcPr>
          <w:p>
            <w:pPr>
              <w:spacing w:before="40" w:after="40"/>
              <w:jc w:val="left"/>
            </w:pPr>
            <w:r>
              <w:rPr>
                <w:rFonts w:ascii="Arial" w:hAnsi="Arial"/>
                <w:b/>
                <w:color w:val="FFFFFF"/>
                <w:sz w:val="19"/>
              </w:rPr>
              <w:t>Student Name</w:t>
            </w:r>
          </w:p>
        </w:tc>
        <w:tc>
          <w:tcPr>
            <w:tcW w:type="dxa" w:w="2880"/>
            <w:shd w:fill="0A2540"/>
            <w:tcMar>
              <w:top w:w="120" w:type="dxa"/>
              <w:bottom w:w="120" w:type="dxa"/>
              <w:left w:w="140" w:type="dxa"/>
              <w:right w:w="140" w:type="dxa"/>
            </w:tcMar>
          </w:tcPr>
          <w:p>
            <w:pPr>
              <w:spacing w:before="40" w:after="40"/>
              <w:jc w:val="left"/>
            </w:pPr>
            <w:r>
              <w:rPr>
                <w:rFonts w:ascii="Arial" w:hAnsi="Arial"/>
                <w:b/>
                <w:color w:val="FFFFFF"/>
                <w:sz w:val="19"/>
              </w:rPr>
              <w:t>USN</w:t>
            </w:r>
          </w:p>
        </w:tc>
      </w:tr>
      <w:tr>
        <w:tc>
          <w:tcPr>
            <w:tcW w:type="dxa" w:w="1440"/>
            <w:shd w:fill="FFFFFF"/>
            <w:tcMar>
              <w:top w:w="100" w:type="dxa"/>
              <w:bottom w:w="100" w:type="dxa"/>
              <w:left w:w="140" w:type="dxa"/>
              <w:right w:w="140" w:type="dxa"/>
            </w:tcMar>
          </w:tcPr>
          <w:p>
            <w:pPr>
              <w:spacing w:before="40" w:after="40"/>
            </w:pPr>
            <w:r>
              <w:rPr>
                <w:rFonts w:ascii="Arial" w:hAnsi="Arial"/>
                <w:color w:val="2D3748"/>
                <w:sz w:val="18"/>
              </w:rPr>
              <w:t>1</w:t>
            </w:r>
          </w:p>
        </w:tc>
        <w:tc>
          <w:tcPr>
            <w:tcW w:type="dxa" w:w="5040"/>
            <w:shd w:fill="FFFFFF"/>
            <w:tcMar>
              <w:top w:w="100" w:type="dxa"/>
              <w:bottom w:w="100" w:type="dxa"/>
              <w:left w:w="140" w:type="dxa"/>
              <w:right w:w="140" w:type="dxa"/>
            </w:tcMar>
          </w:tcPr>
          <w:p>
            <w:pPr>
              <w:spacing w:before="40" w:after="40"/>
            </w:pPr>
            <w:r>
              <w:rPr>
                <w:rFonts w:ascii="Arial" w:hAnsi="Arial"/>
                <w:color w:val="2D3748"/>
                <w:sz w:val="18"/>
              </w:rPr>
              <w:t>ADITHYA M</w:t>
            </w:r>
          </w:p>
        </w:tc>
        <w:tc>
          <w:tcPr>
            <w:tcW w:type="dxa" w:w="2880"/>
            <w:shd w:fill="FFFFFF"/>
            <w:tcMar>
              <w:top w:w="100" w:type="dxa"/>
              <w:bottom w:w="100" w:type="dxa"/>
              <w:left w:w="140" w:type="dxa"/>
              <w:right w:w="140" w:type="dxa"/>
            </w:tcMar>
          </w:tcPr>
          <w:p>
            <w:pPr>
              <w:spacing w:before="40" w:after="40"/>
            </w:pPr>
            <w:r>
              <w:rPr>
                <w:rFonts w:ascii="Arial" w:hAnsi="Arial"/>
                <w:color w:val="2D3748"/>
                <w:sz w:val="18"/>
              </w:rPr>
              <w:t>1OX23IS002</w:t>
            </w:r>
          </w:p>
        </w:tc>
      </w:tr>
      <w:tr>
        <w:tc>
          <w:tcPr>
            <w:tcW w:type="dxa" w:w="1440"/>
            <w:shd w:fill="F7FAFC"/>
            <w:tcMar>
              <w:top w:w="100" w:type="dxa"/>
              <w:bottom w:w="100" w:type="dxa"/>
              <w:left w:w="140" w:type="dxa"/>
              <w:right w:w="140" w:type="dxa"/>
            </w:tcMar>
          </w:tcPr>
          <w:p>
            <w:pPr>
              <w:spacing w:before="40" w:after="40"/>
            </w:pPr>
            <w:r>
              <w:rPr>
                <w:rFonts w:ascii="Arial" w:hAnsi="Arial"/>
                <w:color w:val="2D3748"/>
                <w:sz w:val="18"/>
              </w:rPr>
              <w:t>2</w:t>
            </w:r>
          </w:p>
        </w:tc>
        <w:tc>
          <w:tcPr>
            <w:tcW w:type="dxa" w:w="5040"/>
            <w:shd w:fill="F7FAFC"/>
            <w:tcMar>
              <w:top w:w="100" w:type="dxa"/>
              <w:bottom w:w="100" w:type="dxa"/>
              <w:left w:w="140" w:type="dxa"/>
              <w:right w:w="140" w:type="dxa"/>
            </w:tcMar>
          </w:tcPr>
          <w:p>
            <w:pPr>
              <w:spacing w:before="40" w:after="40"/>
            </w:pPr>
            <w:r>
              <w:rPr>
                <w:rFonts w:ascii="Arial" w:hAnsi="Arial"/>
                <w:color w:val="2D3748"/>
                <w:sz w:val="18"/>
              </w:rPr>
              <w:t>BHAVANI PATIL</w:t>
            </w:r>
          </w:p>
        </w:tc>
        <w:tc>
          <w:tcPr>
            <w:tcW w:type="dxa" w:w="2880"/>
            <w:shd w:fill="F7FAFC"/>
            <w:tcMar>
              <w:top w:w="100" w:type="dxa"/>
              <w:bottom w:w="100" w:type="dxa"/>
              <w:left w:w="140" w:type="dxa"/>
              <w:right w:w="140" w:type="dxa"/>
            </w:tcMar>
          </w:tcPr>
          <w:p>
            <w:pPr>
              <w:spacing w:before="40" w:after="40"/>
            </w:pPr>
            <w:r>
              <w:rPr>
                <w:rFonts w:ascii="Arial" w:hAnsi="Arial"/>
                <w:color w:val="2D3748"/>
                <w:sz w:val="18"/>
              </w:rPr>
              <w:t>1OX23IS011</w:t>
            </w:r>
          </w:p>
        </w:tc>
      </w:tr>
      <w:tr>
        <w:tc>
          <w:tcPr>
            <w:tcW w:type="dxa" w:w="1440"/>
            <w:shd w:fill="FFFFFF"/>
            <w:tcMar>
              <w:top w:w="100" w:type="dxa"/>
              <w:bottom w:w="100" w:type="dxa"/>
              <w:left w:w="140" w:type="dxa"/>
              <w:right w:w="140" w:type="dxa"/>
            </w:tcMar>
          </w:tcPr>
          <w:p>
            <w:pPr>
              <w:spacing w:before="40" w:after="40"/>
            </w:pPr>
            <w:r>
              <w:rPr>
                <w:rFonts w:ascii="Arial" w:hAnsi="Arial"/>
                <w:color w:val="2D3748"/>
                <w:sz w:val="18"/>
              </w:rPr>
              <w:t>3</w:t>
            </w:r>
          </w:p>
        </w:tc>
        <w:tc>
          <w:tcPr>
            <w:tcW w:type="dxa" w:w="5040"/>
            <w:shd w:fill="FFFFFF"/>
            <w:tcMar>
              <w:top w:w="100" w:type="dxa"/>
              <w:bottom w:w="100" w:type="dxa"/>
              <w:left w:w="140" w:type="dxa"/>
              <w:right w:w="140" w:type="dxa"/>
            </w:tcMar>
          </w:tcPr>
          <w:p>
            <w:pPr>
              <w:spacing w:before="40" w:after="40"/>
            </w:pPr>
            <w:r>
              <w:rPr>
                <w:rFonts w:ascii="Arial" w:hAnsi="Arial"/>
                <w:color w:val="2D3748"/>
                <w:sz w:val="18"/>
              </w:rPr>
              <w:t>HARSHA R</w:t>
            </w:r>
          </w:p>
        </w:tc>
        <w:tc>
          <w:tcPr>
            <w:tcW w:type="dxa" w:w="2880"/>
            <w:shd w:fill="FFFFFF"/>
            <w:tcMar>
              <w:top w:w="100" w:type="dxa"/>
              <w:bottom w:w="100" w:type="dxa"/>
              <w:left w:w="140" w:type="dxa"/>
              <w:right w:w="140" w:type="dxa"/>
            </w:tcMar>
          </w:tcPr>
          <w:p>
            <w:pPr>
              <w:spacing w:before="40" w:after="40"/>
            </w:pPr>
            <w:r>
              <w:rPr>
                <w:rFonts w:ascii="Arial" w:hAnsi="Arial"/>
                <w:color w:val="2D3748"/>
                <w:sz w:val="18"/>
              </w:rPr>
              <w:t>1OX23IS025</w:t>
            </w:r>
          </w:p>
        </w:tc>
      </w:tr>
      <w:tr>
        <w:tc>
          <w:tcPr>
            <w:tcW w:type="dxa" w:w="1440"/>
            <w:shd w:fill="F7FAFC"/>
            <w:tcMar>
              <w:top w:w="100" w:type="dxa"/>
              <w:bottom w:w="100" w:type="dxa"/>
              <w:left w:w="140" w:type="dxa"/>
              <w:right w:w="140" w:type="dxa"/>
            </w:tcMar>
          </w:tcPr>
          <w:p>
            <w:pPr>
              <w:spacing w:before="40" w:after="40"/>
            </w:pPr>
            <w:r>
              <w:rPr>
                <w:rFonts w:ascii="Arial" w:hAnsi="Arial"/>
                <w:color w:val="2D3748"/>
                <w:sz w:val="18"/>
              </w:rPr>
              <w:t>4</w:t>
            </w:r>
          </w:p>
        </w:tc>
        <w:tc>
          <w:tcPr>
            <w:tcW w:type="dxa" w:w="5040"/>
            <w:shd w:fill="F7FAFC"/>
            <w:tcMar>
              <w:top w:w="100" w:type="dxa"/>
              <w:bottom w:w="100" w:type="dxa"/>
              <w:left w:w="140" w:type="dxa"/>
              <w:right w:w="140" w:type="dxa"/>
            </w:tcMar>
          </w:tcPr>
          <w:p>
            <w:pPr>
              <w:spacing w:before="40" w:after="40"/>
            </w:pPr>
            <w:r>
              <w:rPr>
                <w:rFonts w:ascii="Arial" w:hAnsi="Arial"/>
                <w:color w:val="2D3748"/>
                <w:sz w:val="18"/>
              </w:rPr>
              <w:t>K. LALITHA</w:t>
            </w:r>
          </w:p>
        </w:tc>
        <w:tc>
          <w:tcPr>
            <w:tcW w:type="dxa" w:w="2880"/>
            <w:shd w:fill="F7FAFC"/>
            <w:tcMar>
              <w:top w:w="100" w:type="dxa"/>
              <w:bottom w:w="100" w:type="dxa"/>
              <w:left w:w="140" w:type="dxa"/>
              <w:right w:w="140" w:type="dxa"/>
            </w:tcMar>
          </w:tcPr>
          <w:p>
            <w:pPr>
              <w:spacing w:before="40" w:after="40"/>
            </w:pPr>
            <w:r>
              <w:rPr>
                <w:rFonts w:ascii="Arial" w:hAnsi="Arial"/>
                <w:color w:val="2D3748"/>
                <w:sz w:val="18"/>
              </w:rPr>
              <w:t>1OX23IS029</w:t>
            </w:r>
          </w:p>
        </w:tc>
      </w:tr>
    </w:tbl>
    <w:p>
      <w:pPr>
        <w:spacing w:before="500" w:after="400"/>
      </w:pPr>
      <w:r>
        <w:rPr>
          <w:rFonts w:ascii="Arial" w:hAnsi="Arial"/>
          <w:b/>
          <w:color w:val="007791"/>
          <w:sz w:val="20"/>
        </w:rPr>
        <w:t>UNDER THE GUIDANCE OF:</w:t>
        <w:br/>
      </w:r>
      <w:r>
        <w:rPr>
          <w:rFonts w:ascii="Arial" w:hAnsi="Arial"/>
          <w:b/>
          <w:color w:val="0A2540"/>
          <w:sz w:val="24"/>
        </w:rPr>
        <w:t>Mrs. S. Visalini</w:t>
        <w:br/>
      </w:r>
      <w:r>
        <w:rPr>
          <w:rFonts w:ascii="Arial" w:hAnsi="Arial"/>
          <w:color w:val="2D3748"/>
          <w:sz w:val="20"/>
        </w:rPr>
        <w:t>Assistant Professor, Department of Information Science &amp; Engineering</w:t>
        <w:br/>
        <w:t>The Oxford College of Engineering, Bengaluru</w:t>
      </w:r>
    </w:p>
    <w:p>
      <w:pPr>
        <w:spacing w:before="600"/>
        <w:jc w:val="center"/>
      </w:pPr>
      <w:r>
        <w:rPr>
          <w:rFonts w:ascii="Arial" w:hAnsi="Arial"/>
          <w:b/>
          <w:color w:val="718096"/>
          <w:sz w:val="20"/>
        </w:rPr>
        <w:t>ACADEMIC YEAR 2025–2026 | SUBMISSION DATE: AUGUST 2026</w:t>
      </w:r>
    </w:p>
    <w:p>
      <w:r>
        <w:br w:type="page"/>
      </w:r>
    </w:p>
    <w:p>
      <w:pPr>
        <w:keepNext/>
        <w:spacing w:before="360" w:after="160"/>
      </w:pPr>
      <w:r>
        <w:rPr>
          <w:rFonts w:ascii="Arial" w:hAnsi="Arial"/>
          <w:b/>
          <w:color w:val="0A2540"/>
          <w:sz w:val="32"/>
        </w:rPr>
        <w:t>EXECUTIVE SUMMARY &amp; ACADEMIC ABSTRACT</w:t>
      </w:r>
    </w:p>
    <w:p>
      <w:pPr>
        <w:spacing w:before="0" w:after="120" w:line="276" w:lineRule="auto"/>
      </w:pPr>
      <w:r>
        <w:rPr>
          <w:rFonts w:ascii="Arial" w:hAnsi="Arial"/>
          <w:color w:val="2D3748"/>
          <w:sz w:val="21"/>
        </w:rPr>
        <w:t>Pneumonia remains a leading cause of pediatric and geriatric mortality worldwide, accounting for over 15% of all deaths in children under five years of age. Rapid, accurate diagnostic triage from chest radiographs (CXRs) is critical for clinical intervention, particularly in differentiating bacterial pneumonia—which requires immediate antibiotic administration—from viral pneumonia, where antibiotics are ineffective and exacerbate antimicrobial resistance. Standard deep learning classifiers trained on raw radiographs suffer from catastrophic black-box overfitting, learning spurious visual artifacts such as rib cage geometry, soft-tissue boundaries, text markers, and sensor-induced contrast variations rather than genuine pulmonary parenchymal lesions.</w:t>
        <w:br/>
        <w:br/>
        <w:t>To resolve this clinical bottleneck, we present an enhanced multi-stage computer-assisted diagnostic framework. Our system integrates Contrast Limited Adaptive Histogram Equalization (CLAHE) to standardize illumination variations, a PyTorch Biomedical U-Net Semantic Segmentation network to isolate the anatomical lung region-of-interest (ROI), and a ResNet50 deep convolutional network for 3-class classification (Normal, Bacterial Pneumonia, Viral Pneumonia). As of this 1st Project Review (~60% completion), Phase 1 dataset parsing (5,856 radiographs parsed into clinical taxonomy) and CLAHE enhancement (8x8 tile grid, clip limit 2.0) are fully operational. Phase 2 U-Net segmentation training on Google Colab (NVIDIA T4 GPU) achieved convergence with a Dice Similarity Coefficient of 0.956 and an IoU of 0.898 using a combined DiceBCELoss formulation. The spatial mask generator cleanly eliminates extra-pulmonary noise. Subsequent phases will finalize ResNet50 classification, Grad-CAM explainability maps, and a real-time Streamlit clinician UI.</w:t>
      </w:r>
    </w:p>
    <w:tbl>
      <w:tblPr>
        <w:tblW w:type="auto" w:w="0"/>
        <w:jc w:val="center"/>
        <w:tblLayout w:type="fixed"/>
        <w:tblLook w:firstColumn="1" w:firstRow="1" w:lastColumn="0" w:lastRow="0" w:noHBand="0" w:noVBand="1" w:val="04A0"/>
      </w:tblPr>
      <w:tblGrid>
        <w:gridCol w:w="9360"/>
      </w:tblGrid>
      <w:tr>
        <w:tc>
          <w:tcPr>
            <w:tcW w:type="dxa" w:w="9360"/>
            <w:shd w:fill="F7FAFC"/>
            <w:tcBorders>
              <w:top w:val="none"/>
              <w:left w:val="single" w:sz="36" w:space="0" w:color="007791"/>
              <w:bottom w:val="none"/>
              <w:right w:val="none"/>
            </w:tcBorders>
            <w:tcMar>
              <w:top w:w="140" w:type="dxa"/>
              <w:bottom w:w="140" w:type="dxa"/>
              <w:left w:w="200" w:type="dxa"/>
              <w:right w:w="200" w:type="dxa"/>
            </w:tcMar>
          </w:tcPr>
          <w:p>
            <w:pPr>
              <w:spacing w:before="80" w:after="80" w:line="276" w:lineRule="auto"/>
            </w:pPr>
            <w:r>
              <w:rPr>
                <w:rFonts w:ascii="Arial" w:hAnsi="Arial"/>
                <w:b/>
                <w:color w:val="007791"/>
                <w:sz w:val="20"/>
              </w:rPr>
              <w:t xml:space="preserve">[KEY RESEARCH CONTRIBUTION] </w:t>
            </w:r>
            <w:r>
              <w:rPr>
                <w:rFonts w:ascii="Arial" w:hAnsi="Arial"/>
                <w:i/>
                <w:color w:val="2D3748"/>
                <w:sz w:val="19"/>
              </w:rPr>
              <w:t>The 3-class taxonomy differentiation (Normal vs. Bacterial vs. Viral) directly addresses antimicrobial stewardship by preventing unnecessary antibiotic prescriptions for viral infections while eliminating black-box overfitting via semantic lung segmentation.</w:t>
            </w:r>
          </w:p>
        </w:tc>
      </w:tr>
    </w:tbl>
    <w:p>
      <w:pPr>
        <w:spacing w:before="0" w:after="120"/>
      </w:pPr>
    </w:p>
    <w:p>
      <w:r>
        <w:br w:type="page"/>
      </w:r>
    </w:p>
    <w:p>
      <w:pPr>
        <w:keepNext/>
        <w:spacing w:before="360" w:after="160"/>
      </w:pPr>
      <w:r>
        <w:rPr>
          <w:rFonts w:ascii="Arial" w:hAnsi="Arial"/>
          <w:b/>
          <w:color w:val="0A2540"/>
          <w:sz w:val="32"/>
        </w:rPr>
        <w:t>CHAPTER 1: INTRODUCTION &amp; CLINICAL RATIONALE</w:t>
      </w:r>
    </w:p>
    <w:p>
      <w:pPr>
        <w:keepNext/>
        <w:spacing w:before="280" w:after="120"/>
      </w:pPr>
      <w:r>
        <w:rPr>
          <w:rFonts w:ascii="Arial" w:hAnsi="Arial"/>
          <w:b/>
          <w:color w:val="007791"/>
          <w:sz w:val="26"/>
        </w:rPr>
        <w:t>1.1 Biological Etiology &amp; Pathophysiology of Pneumonia</w:t>
      </w:r>
    </w:p>
    <w:p>
      <w:pPr>
        <w:spacing w:before="0" w:after="120" w:line="276" w:lineRule="auto"/>
      </w:pPr>
      <w:r>
        <w:rPr>
          <w:rFonts w:ascii="Arial" w:hAnsi="Arial"/>
          <w:color w:val="2D3748"/>
          <w:sz w:val="21"/>
        </w:rPr>
        <w:t>Pneumonia is an acute inflammatory infection of the pulmonary parenchyma caused by bacterial, viral, or fungal pathogens. Upon pathogen inhalation or aspiration, alveolar macrophages trigger an inflammatory cascade, filling the alveolar sacs with exudate, neutrophils, and cellular debris. On chest radiographs (CXRs), this consolidation manifests as increased radiodensity.</w:t>
      </w:r>
    </w:p>
    <w:p>
      <w:pPr>
        <w:spacing w:before="0" w:after="120" w:line="276" w:lineRule="auto"/>
      </w:pPr>
      <w:r>
        <w:rPr>
          <w:rFonts w:ascii="Arial" w:hAnsi="Arial"/>
          <w:b/>
          <w:color w:val="2D3748"/>
          <w:sz w:val="21"/>
        </w:rPr>
        <w:t xml:space="preserve">Etiological Taxonomy: </w:t>
      </w:r>
      <w:r>
        <w:rPr>
          <w:rFonts w:ascii="Arial" w:hAnsi="Arial"/>
          <w:color w:val="2D3748"/>
          <w:sz w:val="21"/>
        </w:rPr>
        <w:t>Microbiologically, the two dominant infectious etiologies exhibit distinct radiologic patterns:</w:t>
      </w:r>
    </w:p>
    <w:p>
      <w:pPr>
        <w:spacing w:before="0" w:after="120" w:line="276" w:lineRule="auto"/>
      </w:pPr>
      <w:r>
        <w:rPr>
          <w:rFonts w:ascii="Arial" w:hAnsi="Arial"/>
          <w:b/>
          <w:color w:val="2D3748"/>
          <w:sz w:val="21"/>
        </w:rPr>
        <w:t xml:space="preserve">• Bacterial Pneumonia (Class 1): </w:t>
      </w:r>
      <w:r>
        <w:rPr>
          <w:rFonts w:ascii="Arial" w:hAnsi="Arial"/>
          <w:color w:val="2D3748"/>
          <w:sz w:val="21"/>
        </w:rPr>
        <w:t>Presents as focal, dense lobar or segmental consolidation, often bounded by anatomical pleural fissures, accompanied by air bronchograms (e.g., Streptococcus pneumoniae).</w:t>
      </w:r>
    </w:p>
    <w:p>
      <w:pPr>
        <w:spacing w:before="0" w:after="120" w:line="276" w:lineRule="auto"/>
      </w:pPr>
      <w:r>
        <w:rPr>
          <w:rFonts w:ascii="Arial" w:hAnsi="Arial"/>
          <w:b/>
          <w:color w:val="2D3748"/>
          <w:sz w:val="21"/>
        </w:rPr>
        <w:t xml:space="preserve">• Viral Pneumonia (Class 2): </w:t>
      </w:r>
      <w:r>
        <w:rPr>
          <w:rFonts w:ascii="Arial" w:hAnsi="Arial"/>
          <w:color w:val="2D3748"/>
          <w:sz w:val="21"/>
        </w:rPr>
        <w:t>Characterized by diffuse, bilateral interstitial opacities, reticulonodular infiltrates, and patchy 'ground-glass' attenuate patterns affecting both lung fields (e.g., Influenza, RSV, SARS-CoV-2).</w:t>
      </w:r>
    </w:p>
    <w:p>
      <w:pPr>
        <w:keepNext/>
        <w:spacing w:before="280" w:after="120"/>
      </w:pPr>
      <w:r>
        <w:rPr>
          <w:rFonts w:ascii="Arial" w:hAnsi="Arial"/>
          <w:b/>
          <w:color w:val="007791"/>
          <w:sz w:val="26"/>
        </w:rPr>
        <w:t>1.2 The Black-Box Overfitting Crisis &amp; Sensor Variation</w:t>
      </w:r>
    </w:p>
    <w:p>
      <w:pPr>
        <w:spacing w:before="0" w:after="120" w:line="276" w:lineRule="auto"/>
      </w:pPr>
      <w:r>
        <w:rPr>
          <w:rFonts w:ascii="Arial" w:hAnsi="Arial"/>
          <w:color w:val="2D3748"/>
          <w:sz w:val="21"/>
        </w:rPr>
        <w:t>Conventional deep learning diagnostic models suffer from severe 'shortcut learning'. When trained directly on raw, unsegmented CXR images, convolutional layers frequently learn peripheral shortcut features—such as radiographer letter tags ('L'/'R'), diaphragm contours, ECG leads, and sensor exposure variations across X-ray machines—rather than pathologic lung lesions. Consequently, these models achieve artificially high cross-validation scores but collapse when deployed in real-world clinical environments with different imaging equipment.</w:t>
      </w:r>
    </w:p>
    <w:p>
      <w:pPr>
        <w:keepNext/>
        <w:spacing w:before="280" w:after="120"/>
      </w:pPr>
      <w:r>
        <w:rPr>
          <w:rFonts w:ascii="Arial" w:hAnsi="Arial"/>
          <w:b/>
          <w:color w:val="007791"/>
          <w:sz w:val="26"/>
        </w:rPr>
        <w:t>1.3 Antimicrobial Stewardship Clinical Need</w:t>
      </w:r>
    </w:p>
    <w:p>
      <w:pPr>
        <w:spacing w:before="0" w:after="120" w:line="276" w:lineRule="auto"/>
      </w:pPr>
      <w:r>
        <w:rPr>
          <w:rFonts w:ascii="Arial" w:hAnsi="Arial"/>
          <w:color w:val="2D3748"/>
          <w:sz w:val="21"/>
        </w:rPr>
        <w:t>Global health agencies emphasize the urgent imperative of antimicrobial stewardship. In emergency departments, clinicians frequently prescribe broad-spectrum antibiotics empirically due to diagnostic uncertainty between viral and bacterial CXR opacities. Distinguishing Class 1 (Bacterial) from Class 2 (Viral) with high confidence provides actionable diagnostic decision support, ensuring targeted antibacterial therapy for bacterial cases while curbing antibiotic overuse in viral cases.</w:t>
      </w:r>
    </w:p>
    <w:p>
      <w:pPr>
        <w:keepNext/>
        <w:spacing w:before="280" w:after="120"/>
      </w:pPr>
      <w:r>
        <w:rPr>
          <w:rFonts w:ascii="Arial" w:hAnsi="Arial"/>
          <w:b/>
          <w:color w:val="007791"/>
          <w:sz w:val="26"/>
        </w:rPr>
        <w:t>1.4 Proposed Solution Overview</w:t>
      </w:r>
    </w:p>
    <w:p>
      <w:pPr>
        <w:spacing w:before="0" w:after="120" w:line="276" w:lineRule="auto"/>
      </w:pPr>
      <w:r>
        <w:rPr>
          <w:rFonts w:ascii="Arial" w:hAnsi="Arial"/>
          <w:color w:val="2D3748"/>
          <w:sz w:val="21"/>
        </w:rPr>
        <w:t>Our system mitigates shortcut learning through an anatomically isolated multi-stage architecture:</w:t>
        <w:br/>
        <w:t>1. Data Standardization &amp; 3-Class Ingestion: Resolving raw binary datasets into a 3-class clinical schema.</w:t>
        <w:br/>
        <w:t>2. CLAHE Image Enhancement: Local contrast equalization to unmask subtle ground-glass opacities.</w:t>
        <w:br/>
        <w:t>3. U-Net Semantic Lung Segmentation: Isolating lung parenchymal masks and cropping extra-pulmonary noise.</w:t>
        <w:br/>
        <w:t>4. ResNet50 Classification: Training residual convolutional networks on anatomically isolated lung ROIs.</w:t>
        <w:br/>
        <w:t>5. Grad-CAM Explainability: Generating visual heatmaps to verify lesion localization for attending radiologists.</w:t>
      </w:r>
    </w:p>
    <w:p>
      <w:r>
        <w:br w:type="page"/>
      </w:r>
    </w:p>
    <w:p>
      <w:pPr>
        <w:keepNext/>
        <w:spacing w:before="360" w:after="160"/>
      </w:pPr>
      <w:r>
        <w:rPr>
          <w:rFonts w:ascii="Arial" w:hAnsi="Arial"/>
          <w:b/>
          <w:color w:val="0A2540"/>
          <w:sz w:val="32"/>
        </w:rPr>
        <w:t>CHAPTER 2: SYSTEM ANALYSIS &amp; MATHEMATICAL MODELING</w:t>
      </w:r>
    </w:p>
    <w:p>
      <w:pPr>
        <w:keepNext/>
        <w:spacing w:before="280" w:after="120"/>
      </w:pPr>
      <w:r>
        <w:rPr>
          <w:rFonts w:ascii="Arial" w:hAnsi="Arial"/>
          <w:b/>
          <w:color w:val="007791"/>
          <w:sz w:val="26"/>
        </w:rPr>
        <w:t>2.1 CLAHE Tile-Grid Mathematical Clipping Formulation</w:t>
      </w:r>
    </w:p>
    <w:p>
      <w:pPr>
        <w:spacing w:before="0" w:after="120" w:line="276" w:lineRule="auto"/>
      </w:pPr>
      <w:r>
        <w:rPr>
          <w:rFonts w:ascii="Arial" w:hAnsi="Arial"/>
          <w:color w:val="2D3748"/>
          <w:sz w:val="21"/>
        </w:rPr>
        <w:t>Standard Global Histogram Equalization (GHE) amplifies background noise in homogeneous CXR regions. Contrast Limited Adaptive Histogram Equalization (CLAHE) operates on small contextual regions (tile grids, default 8x8). To limit noise amplification, the local histogram is clipped at a normalized clip limit threshold β = 2.0.</w:t>
      </w:r>
    </w:p>
    <w:p>
      <w:pPr>
        <w:spacing w:before="0" w:after="120" w:line="276" w:lineRule="auto"/>
      </w:pPr>
      <w:r>
        <w:rPr>
          <w:rFonts w:ascii="Arial" w:hAnsi="Arial"/>
          <w:b/>
          <w:color w:val="2D3748"/>
          <w:sz w:val="21"/>
        </w:rPr>
        <w:t xml:space="preserve">Mathematical Clipping Equation: </w:t>
      </w:r>
      <w:r>
        <w:rPr>
          <w:rFonts w:ascii="Arial" w:hAnsi="Arial"/>
          <w:color w:val="2D3748"/>
          <w:sz w:val="21"/>
        </w:rPr>
        <w:t>The maximum allowable pixel height for any gray-level bin k within a tile grid of size Nx × Ny with L gray levels (256) is formulated as:</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50" w:type="dxa"/>
            </w:tcMar>
          </w:tcPr>
          <w:p>
            <w:pPr>
              <w:spacing w:before="40" w:after="40" w:line="240" w:lineRule="auto"/>
            </w:pPr>
            <w:r>
              <w:rPr>
                <w:rFonts w:ascii="Consolas" w:hAnsi="Consolas"/>
                <w:color w:val="1A202C"/>
                <w:sz w:val="18"/>
              </w:rPr>
              <w:t>N_clip = beta * (N_x * N_y) / L</w:t>
              <w:br/>
              <w:t>where beta = 2.0, N_x = N_y = 8 (tile dimensions), L = 256 gray levels.</w:t>
              <w:br/>
              <w:br/>
              <w:t>Excess Pixel Redistribution:</w:t>
              <w:br/>
              <w:t>Delta N = sum_{k=0}^{L-1} max(N(k) - N_clip, 0)</w:t>
              <w:br/>
              <w:t>N_redistributed(k) = N_clip + (Delta N / L)</w:t>
              <w:br/>
              <w:br/>
              <w:t>Bilinear Interpolation across Tile Corners:</w:t>
              <w:br/>
              <w:t>S(x,y) = (1 - u)(1 - v) S_11 + u(1 - v) S_21 + (1 - u)v S_12 + uv S_22</w:t>
            </w:r>
          </w:p>
        </w:tc>
      </w:tr>
    </w:tbl>
    <w:p>
      <w:pPr>
        <w:spacing w:before="0" w:after="120"/>
      </w:pPr>
    </w:p>
    <w:p>
      <w:pPr>
        <w:jc w:val="center"/>
      </w:pPr>
      <w:r>
        <w:drawing>
          <wp:inline xmlns:a="http://schemas.openxmlformats.org/drawingml/2006/main" xmlns:pic="http://schemas.openxmlformats.org/drawingml/2006/picture">
            <wp:extent cx="5486400" cy="2063691"/>
            <wp:docPr id="1" name="Picture 1"/>
            <wp:cNvGraphicFramePr>
              <a:graphicFrameLocks noChangeAspect="1"/>
            </wp:cNvGraphicFramePr>
            <a:graphic>
              <a:graphicData uri="http://schemas.openxmlformats.org/drawingml/2006/picture">
                <pic:pic>
                  <pic:nvPicPr>
                    <pic:cNvPr id="0" name="fig3_clahe_math_visualization.png"/>
                    <pic:cNvPicPr/>
                  </pic:nvPicPr>
                  <pic:blipFill>
                    <a:blip r:embed="rId9"/>
                    <a:stretch>
                      <a:fillRect/>
                    </a:stretch>
                  </pic:blipFill>
                  <pic:spPr>
                    <a:xfrm>
                      <a:off x="0" y="0"/>
                      <a:ext cx="5486400" cy="2063691"/>
                    </a:xfrm>
                    <a:prstGeom prst="rect"/>
                  </pic:spPr>
                </pic:pic>
              </a:graphicData>
            </a:graphic>
          </wp:inline>
        </w:drawing>
      </w:r>
    </w:p>
    <w:p>
      <w:pPr>
        <w:spacing w:after="240"/>
        <w:jc w:val="center"/>
      </w:pPr>
      <w:r>
        <w:rPr>
          <w:i/>
          <w:sz w:val="18"/>
        </w:rPr>
        <w:t>Figure 2.1: Mathematical visualization of CLAHE local tile histogram clipping (β=2.0) and pixel count redistribution.</w:t>
      </w:r>
    </w:p>
    <w:p>
      <w:pPr>
        <w:keepNext/>
        <w:spacing w:before="280" w:after="120"/>
      </w:pPr>
      <w:r>
        <w:rPr>
          <w:rFonts w:ascii="Arial" w:hAnsi="Arial"/>
          <w:b/>
          <w:color w:val="007791"/>
          <w:sz w:val="26"/>
        </w:rPr>
        <w:t>2.2 Biomedical U-Net Architecture &amp; Skip Connection Mechanics</w:t>
      </w:r>
    </w:p>
    <w:p>
      <w:pPr>
        <w:spacing w:before="0" w:after="120" w:line="276" w:lineRule="auto"/>
      </w:pPr>
      <w:r>
        <w:rPr>
          <w:rFonts w:ascii="Arial" w:hAnsi="Arial"/>
          <w:color w:val="2D3748"/>
          <w:sz w:val="21"/>
        </w:rPr>
        <w:t>The semantic lung segmentation network employs an encoder-decoder U-Net architecture. The contracting encoder captures high-level contextual semantic features through repeated 3x3 double convolutions, batch normalization, ReLU activation, and 2x2 max-pooling. The expanding decoder upsamples feature maps via 2x2 transposed convolutions.</w:t>
      </w:r>
    </w:p>
    <w:p>
      <w:pPr>
        <w:spacing w:before="0" w:after="120" w:line="276" w:lineRule="auto"/>
      </w:pPr>
      <w:r>
        <w:rPr>
          <w:rFonts w:ascii="Arial" w:hAnsi="Arial"/>
          <w:b/>
          <w:color w:val="2D3748"/>
          <w:sz w:val="21"/>
        </w:rPr>
        <w:t xml:space="preserve">Skip Connection Geometry: </w:t>
      </w:r>
      <w:r>
        <w:rPr>
          <w:rFonts w:ascii="Arial" w:hAnsi="Arial"/>
          <w:color w:val="2D3748"/>
          <w:sz w:val="21"/>
        </w:rPr>
        <w:t>Crucially, residual skip connections concatenate feature maps from encoder stage i directly to decoder stage i. This preserves fine-grained spatial boundary geometry (costal margins and apical tips) lost during max-pooling.</w:t>
      </w:r>
    </w:p>
    <w:p>
      <w:pPr>
        <w:jc w:val="center"/>
      </w:pPr>
      <w:r>
        <w:drawing>
          <wp:inline xmlns:a="http://schemas.openxmlformats.org/drawingml/2006/main" xmlns:pic="http://schemas.openxmlformats.org/drawingml/2006/picture">
            <wp:extent cx="5669280" cy="2572614"/>
            <wp:docPr id="2" name="Picture 2"/>
            <wp:cNvGraphicFramePr>
              <a:graphicFrameLocks noChangeAspect="1"/>
            </wp:cNvGraphicFramePr>
            <a:graphic>
              <a:graphicData uri="http://schemas.openxmlformats.org/drawingml/2006/picture">
                <pic:pic>
                  <pic:nvPicPr>
                    <pic:cNvPr id="0" name="fig2_unet_architecture.png"/>
                    <pic:cNvPicPr/>
                  </pic:nvPicPr>
                  <pic:blipFill>
                    <a:blip r:embed="rId10"/>
                    <a:stretch>
                      <a:fillRect/>
                    </a:stretch>
                  </pic:blipFill>
                  <pic:spPr>
                    <a:xfrm>
                      <a:off x="0" y="0"/>
                      <a:ext cx="5669280" cy="2572614"/>
                    </a:xfrm>
                    <a:prstGeom prst="rect"/>
                  </pic:spPr>
                </pic:pic>
              </a:graphicData>
            </a:graphic>
          </wp:inline>
        </w:drawing>
      </w:r>
    </w:p>
    <w:p>
      <w:pPr>
        <w:spacing w:after="240"/>
        <w:jc w:val="center"/>
      </w:pPr>
      <w:r>
        <w:rPr>
          <w:i/>
          <w:sz w:val="18"/>
        </w:rPr>
        <w:t>Figure 2.2: Biomedical U-Net Encoder-Decoder architectural block layout and feature dimension transitions.</w:t>
      </w:r>
    </w:p>
    <w:p>
      <w:pPr>
        <w:keepNext/>
        <w:spacing w:before="280" w:after="120"/>
      </w:pPr>
      <w:r>
        <w:rPr>
          <w:rFonts w:ascii="Arial" w:hAnsi="Arial"/>
          <w:b/>
          <w:color w:val="007791"/>
          <w:sz w:val="26"/>
        </w:rPr>
        <w:t>2.3 Loss Formulations &amp; Class-Weighting Mechanics</w:t>
      </w:r>
    </w:p>
    <w:p>
      <w:pPr>
        <w:spacing w:before="0" w:after="120" w:line="276" w:lineRule="auto"/>
      </w:pPr>
      <w:r>
        <w:rPr>
          <w:rFonts w:ascii="Arial" w:hAnsi="Arial"/>
          <w:b/>
          <w:color w:val="2D3748"/>
          <w:sz w:val="21"/>
        </w:rPr>
        <w:t xml:space="preserve">1. Combined Dice + BCE Loss (DiceBCELoss): </w:t>
      </w:r>
      <w:r>
        <w:rPr>
          <w:rFonts w:ascii="Arial" w:hAnsi="Arial"/>
          <w:color w:val="2D3748"/>
          <w:sz w:val="21"/>
        </w:rPr>
        <w:t>To handle spatial class imbalance between lung parenchyma (foreground) and thoracic cavity (background), U-Net training utilizes a combined DiceBCELoss function:</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50" w:type="dxa"/>
            </w:tcMar>
          </w:tcPr>
          <w:p>
            <w:pPr>
              <w:spacing w:before="40" w:after="40" w:line="240" w:lineRule="auto"/>
            </w:pPr>
            <w:r>
              <w:rPr>
                <w:rFonts w:ascii="Consolas" w:hAnsi="Consolas"/>
                <w:color w:val="1A202C"/>
                <w:sz w:val="18"/>
              </w:rPr>
              <w:t>L_DiceBCE = alpha * L_BCE + (1 - alpha) * L_Dice</w:t>
              <w:br/>
              <w:t>where alpha = 0.5</w:t>
              <w:br/>
              <w:br/>
              <w:t>L_BCE = - (1/N) * sum_{i=1}^N [ y_i * log(p_i) + (1 - y_i) * log(1 - p_i) ]</w:t>
              <w:br/>
              <w:t>L_Dice = 1 - (2 * sum(p_i * g_i) + epsilon) / (sum(p_i) + sum(g_i) + epsilon)</w:t>
              <w:br/>
              <w:t>where p_i = sigmoid(logits_i), g_i in {0,1}, smooth epsilon = 1e-6</w:t>
            </w:r>
          </w:p>
        </w:tc>
      </w:tr>
    </w:tbl>
    <w:p>
      <w:pPr>
        <w:spacing w:before="0" w:after="120"/>
      </w:pPr>
    </w:p>
    <w:p>
      <w:pPr>
        <w:spacing w:before="0" w:after="120" w:line="276" w:lineRule="auto"/>
      </w:pPr>
      <w:r>
        <w:rPr>
          <w:rFonts w:ascii="Arial" w:hAnsi="Arial"/>
          <w:b/>
          <w:color w:val="2D3748"/>
          <w:sz w:val="21"/>
        </w:rPr>
        <w:t xml:space="preserve">2. Class-Weighted Cross-Entropy Loss: </w:t>
      </w:r>
      <w:r>
        <w:rPr>
          <w:rFonts w:ascii="Arial" w:hAnsi="Arial"/>
          <w:color w:val="2D3748"/>
          <w:sz w:val="21"/>
        </w:rPr>
        <w:t>For multi-class ResNet50 training, class imbalance across Normal, Bacterial, and Viral classes is compensated using inverse class frequency weighting:</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50" w:type="dxa"/>
            </w:tcMar>
          </w:tcPr>
          <w:p>
            <w:pPr>
              <w:spacing w:before="40" w:after="40" w:line="240" w:lineRule="auto"/>
            </w:pPr>
            <w:r>
              <w:rPr>
                <w:rFonts w:ascii="Consolas" w:hAnsi="Consolas"/>
                <w:color w:val="1A202C"/>
                <w:sz w:val="18"/>
              </w:rPr>
              <w:t>w_c = N_total / (K * N_c)</w:t>
              <w:br/>
              <w:t>L_CE = - sum_{c=1}^K w_c * y_c * log(p_c)</w:t>
              <w:br/>
              <w:t>where K = 3 classes, N_c = samples in class c, N_total = 5,856 total images.</w:t>
            </w:r>
          </w:p>
        </w:tc>
      </w:tr>
    </w:tbl>
    <w:p>
      <w:pPr>
        <w:spacing w:before="0" w:after="120"/>
      </w:pPr>
    </w:p>
    <w:p>
      <w:r>
        <w:br w:type="page"/>
      </w:r>
    </w:p>
    <w:p>
      <w:pPr>
        <w:keepNext/>
        <w:spacing w:before="360" w:after="160"/>
      </w:pPr>
      <w:r>
        <w:rPr>
          <w:rFonts w:ascii="Arial" w:hAnsi="Arial"/>
          <w:b/>
          <w:color w:val="0A2540"/>
          <w:sz w:val="32"/>
        </w:rPr>
        <w:t>CHAPTER 3: DESIGN, MODELING &amp; SYSTEM DIAGRAMS</w:t>
      </w:r>
    </w:p>
    <w:p>
      <w:pPr>
        <w:keepNext/>
        <w:spacing w:before="280" w:after="120"/>
      </w:pPr>
      <w:r>
        <w:rPr>
          <w:rFonts w:ascii="Arial" w:hAnsi="Arial"/>
          <w:b/>
          <w:color w:val="007791"/>
          <w:sz w:val="26"/>
        </w:rPr>
        <w:t>3.1 End-to-End System Architecture Diagram</w:t>
      </w:r>
    </w:p>
    <w:p>
      <w:pPr>
        <w:spacing w:before="0" w:after="120" w:line="276" w:lineRule="auto"/>
      </w:pPr>
      <w:r>
        <w:rPr>
          <w:rFonts w:ascii="Arial" w:hAnsi="Arial"/>
          <w:color w:val="2D3748"/>
          <w:sz w:val="21"/>
        </w:rPr>
        <w:t>The comprehensive end-to-end processing pipeline from raw radiograph ingestion to clinician diagnostic UI visualization is detailed below:</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50" w:type="dxa"/>
            </w:tcMar>
          </w:tcPr>
          <w:p>
            <w:pPr>
              <w:spacing w:before="40" w:after="40" w:line="240" w:lineRule="auto"/>
            </w:pPr>
            <w:r>
              <w:rPr>
                <w:rFonts w:ascii="Consolas" w:hAnsi="Consolas"/>
                <w:color w:val="1A202C"/>
                <w:sz w:val="18"/>
              </w:rPr>
              <w:t>+-----------------------------------------------------------------------------------+</w:t>
              <w:br/>
              <w:t>|                              RAW DATASET INGESTION                                |</w:t>
              <w:br/>
              <w:t>|  Kermany et al. Radiographs (5,856 images: Normal=1,583, Bacterial=2,780, Viral=1,493) |</w:t>
              <w:br/>
              <w:t>+-----------------------------------------+-----------------------------------------+</w:t>
              <w:br/>
              <w:t xml:space="preserve">                                          |</w:t>
              <w:br/>
              <w:t xml:space="preserve">                                          v</w:t>
              <w:br/>
              <w:t>+-----------------------------------------------------------------------------------+</w:t>
              <w:br/>
              <w:t>|                         STAGE 1: CLAHE CONTRAST ENGINE                            |</w:t>
              <w:br/>
              <w:t>|     Grayscale Conversion -&gt; 8x8 Tile Grid Histogram Equalization -&gt; Clip Limit 2.0   |</w:t>
              <w:br/>
              <w:t>+-----------------------------------------+-----------------------------------------+</w:t>
              <w:br/>
              <w:t xml:space="preserve">                                          |</w:t>
              <w:br/>
              <w:t xml:space="preserve">                                          v</w:t>
              <w:br/>
              <w:t>+-----------------------------------------------------------------------------------+</w:t>
              <w:br/>
              <w:t>|                    STAGE 2: BIOMEDICAL U-NET SEGMENTATION                         |</w:t>
              <w:br/>
              <w:t>|    PyTorch U-Net (DiceBCELoss) -&gt; Binary Lung Mask Generation -&gt; ROI Isolation     |</w:t>
              <w:br/>
              <w:t>+-----------------------------------------+-----------------------------------------+</w:t>
              <w:br/>
              <w:t xml:space="preserve">                                          |</w:t>
              <w:br/>
              <w:t xml:space="preserve">                                          v</w:t>
              <w:br/>
              <w:t>+-----------------------------------------------------------------------------------+</w:t>
              <w:br/>
              <w:t>|                    STAGE 3: RESNET50 MULTI-CLASS CLASSIFIER                       |</w:t>
              <w:br/>
              <w:t>|  Class-Weighted Cross-Entropy -&gt; Transfer Learning -&gt; Normal / Bacterial / Viral  |</w:t>
              <w:br/>
              <w:t>+-----------------------------------------+-----------------------------------------+</w:t>
              <w:br/>
              <w:t xml:space="preserve">                                          |</w:t>
              <w:br/>
              <w:t xml:space="preserve">                                          v</w:t>
              <w:br/>
              <w:t>+-----------------------------------------------------------------------------------+</w:t>
              <w:br/>
              <w:t>|                   STAGE 4: GRAD-CAM EXPLAINABILITY &amp; CLINICIAN UI                 |</w:t>
              <w:br/>
              <w:t>|        Heatmap Overlay Generation -&gt; Streamlit Web Dashboard UI Presentation      |</w:t>
              <w:br/>
              <w:t>+-----------------------------------------------------------------------------------+</w:t>
            </w:r>
          </w:p>
        </w:tc>
      </w:tr>
    </w:tbl>
    <w:p>
      <w:pPr>
        <w:spacing w:before="0" w:after="120"/>
      </w:pPr>
    </w:p>
    <w:p>
      <w:pPr>
        <w:keepNext/>
        <w:spacing w:before="280" w:after="120"/>
      </w:pPr>
      <w:r>
        <w:rPr>
          <w:rFonts w:ascii="Arial" w:hAnsi="Arial"/>
          <w:b/>
          <w:color w:val="007791"/>
          <w:sz w:val="26"/>
        </w:rPr>
        <w:t>3.2 Use Case &amp; Object-Oriented Class Diagram Specifications</w:t>
      </w:r>
    </w:p>
    <w:p>
      <w:pPr>
        <w:spacing w:before="0" w:after="120" w:line="276" w:lineRule="auto"/>
      </w:pPr>
      <w:r>
        <w:rPr>
          <w:rFonts w:ascii="Arial" w:hAnsi="Arial"/>
          <w:color w:val="2D3748"/>
          <w:sz w:val="21"/>
        </w:rPr>
        <w:t>The system caters to two primary actors: Clinical Radiologists / Attending Physicians (uploading CXR images, viewing diagnostic probabilities, inspecting Grad-CAM heatmaps) and System Administrators (triggering dataset retraining, updating model weights, monitoring telemetry logs).</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50" w:type="dxa"/>
            </w:tcMar>
          </w:tcPr>
          <w:p>
            <w:pPr>
              <w:spacing w:before="40" w:after="40" w:line="240" w:lineRule="auto"/>
            </w:pPr>
            <w:r>
              <w:rPr>
                <w:rFonts w:ascii="Consolas" w:hAnsi="Consolas"/>
                <w:color w:val="1A202C"/>
                <w:sz w:val="18"/>
              </w:rPr>
              <w:t>+-----------------------------------+        +-----------------------------------+</w:t>
              <w:br/>
              <w:t>|           DatasetParser           |        |            CLAHEEngine            |</w:t>
              <w:br/>
              <w:t xml:space="preserve">+-----------------------------------+        +-----------------------------------+        </w:t>
              <w:br/>
              <w:t>| - raw_dir: Path                   |        | - clip_limit: float = 2.0         |</w:t>
              <w:br/>
              <w:t>| - csv_output_path: Path           |        | - tile_grid_size: Tuple[int, int] |</w:t>
              <w:br/>
              <w:t xml:space="preserve">+-----------------------------------+        +-----------------------------------+        </w:t>
              <w:br/>
              <w:t>| + resolve_data_root(): Path       |        | + apply_clahe_to_image(): bool    |</w:t>
              <w:br/>
              <w:t>| + parse_kermany_dataset(): DF     |        | + process_dataset_batch(): CSV    |</w:t>
              <w:br/>
              <w:t>+-----------------------------------+        +-----------------------------------+</w:t>
              <w:br/>
              <w:t xml:space="preserve">                  |                                            |</w:t>
              <w:br/>
              <w:t xml:space="preserve">                  v                                            v</w:t>
              <w:br/>
              <w:t>+-----------------------------------+        +-----------------------------------+</w:t>
              <w:br/>
              <w:t>|          UNetSegmentation         |        |          ResNetClassifier         |</w:t>
              <w:br/>
              <w:t>+-----------------------------------+        +-----------------------------------+</w:t>
              <w:br/>
              <w:t>| - in_channels: int = 1            |        | - num_classes: int = 3            |</w:t>
              <w:br/>
              <w:t>| - backbone: DoubleConv            |        | - weights_path: Path              |</w:t>
              <w:br/>
              <w:t>+-----------------------------------+        +-----------------------------------+</w:t>
              <w:br/>
              <w:t>| + forward(x: Tensor): Tensor      |        | + train_epoch(): Tuple[float]     |</w:t>
              <w:br/>
              <w:t>| + generate_lung_mask(): Tensor    |        | + predict(image_roi): Dict        |</w:t>
              <w:br/>
              <w:t>+-----------------------------------+        +-----------------------------------+</w:t>
            </w:r>
          </w:p>
        </w:tc>
      </w:tr>
    </w:tbl>
    <w:p>
      <w:pPr>
        <w:spacing w:before="0" w:after="120"/>
      </w:pPr>
    </w:p>
    <w:p>
      <w:pPr>
        <w:keepNext/>
        <w:spacing w:before="280" w:after="120"/>
      </w:pPr>
      <w:r>
        <w:rPr>
          <w:rFonts w:ascii="Arial" w:hAnsi="Arial"/>
          <w:b/>
          <w:color w:val="007791"/>
          <w:sz w:val="26"/>
        </w:rPr>
        <w:t>3.3 Data Flow Diagrams (DFD Level 0 &amp; Level 1)</w:t>
      </w:r>
    </w:p>
    <w:p>
      <w:pPr>
        <w:spacing w:before="0" w:after="120" w:line="276" w:lineRule="auto"/>
      </w:pPr>
      <w:r>
        <w:rPr>
          <w:rFonts w:ascii="Arial" w:hAnsi="Arial"/>
          <w:color w:val="2D3748"/>
          <w:sz w:val="21"/>
        </w:rPr>
        <w:t>DFD Level 0 (Context Diagram) models the single process system interacting with the User and Storage. DFD Level 1 details data transformations across raw image validation, CLAHE enhancement, mask extraction, feature classification, and heatmap rendering.</w:t>
      </w:r>
    </w:p>
    <w:p>
      <w:r>
        <w:br w:type="page"/>
      </w:r>
    </w:p>
    <w:p>
      <w:pPr>
        <w:keepNext/>
        <w:spacing w:before="360" w:after="160"/>
      </w:pPr>
      <w:r>
        <w:rPr>
          <w:rFonts w:ascii="Arial" w:hAnsi="Arial"/>
          <w:b/>
          <w:color w:val="0A2540"/>
          <w:sz w:val="32"/>
        </w:rPr>
        <w:t>CHAPTER 4: IMPLEMENTATION PROGRESS (~60% COMPLETE)</w:t>
      </w:r>
    </w:p>
    <w:p>
      <w:pPr>
        <w:keepNext/>
        <w:spacing w:before="280" w:after="120"/>
      </w:pPr>
      <w:r>
        <w:rPr>
          <w:rFonts w:ascii="Arial" w:hAnsi="Arial"/>
          <w:b/>
          <w:color w:val="007791"/>
          <w:sz w:val="26"/>
        </w:rPr>
        <w:t>4.1 Module 1: Dataset Parsing &amp; Taxonomy Ingestion (`dataset_parser.py`)</w:t>
      </w:r>
    </w:p>
    <w:p>
      <w:pPr>
        <w:spacing w:before="0" w:after="120" w:line="276" w:lineRule="auto"/>
      </w:pPr>
      <w:r>
        <w:rPr>
          <w:rFonts w:ascii="Arial" w:hAnsi="Arial"/>
          <w:color w:val="2D3748"/>
          <w:sz w:val="21"/>
        </w:rPr>
        <w:t>The initial module ingests raw radiographs from Kermany et al., executing filename regex parsing to convert binary folders (NORMAL vs. PNEUMONIA) into the 3-class clinical schema (Class 0: Normal, Class 1: Bacterial, Class 2: Viral). The parser generates `dataset_metadata.csv` containing image dimensions, file paths, class labels, and split flags.</w:t>
      </w:r>
    </w:p>
    <w:p>
      <w:pPr>
        <w:jc w:val="center"/>
      </w:pPr>
      <w:r>
        <w:drawing>
          <wp:inline xmlns:a="http://schemas.openxmlformats.org/drawingml/2006/main" xmlns:pic="http://schemas.openxmlformats.org/drawingml/2006/picture">
            <wp:extent cx="5669280" cy="2399065"/>
            <wp:docPr id="3" name="Picture 3"/>
            <wp:cNvGraphicFramePr>
              <a:graphicFrameLocks noChangeAspect="1"/>
            </wp:cNvGraphicFramePr>
            <a:graphic>
              <a:graphicData uri="http://schemas.openxmlformats.org/drawingml/2006/picture">
                <pic:pic>
                  <pic:nvPicPr>
                    <pic:cNvPr id="0" name="fig1_dataset_distribution.png"/>
                    <pic:cNvPicPr/>
                  </pic:nvPicPr>
                  <pic:blipFill>
                    <a:blip r:embed="rId11"/>
                    <a:stretch>
                      <a:fillRect/>
                    </a:stretch>
                  </pic:blipFill>
                  <pic:spPr>
                    <a:xfrm>
                      <a:off x="0" y="0"/>
                      <a:ext cx="5669280" cy="2399065"/>
                    </a:xfrm>
                    <a:prstGeom prst="rect"/>
                  </pic:spPr>
                </pic:pic>
              </a:graphicData>
            </a:graphic>
          </wp:inline>
        </w:drawing>
      </w:r>
    </w:p>
    <w:p>
      <w:pPr>
        <w:spacing w:after="240"/>
        <w:jc w:val="center"/>
      </w:pPr>
      <w:r>
        <w:rPr>
          <w:i/>
          <w:sz w:val="18"/>
        </w:rPr>
        <w:t>Figure 4.1: Kermany CXR dataset 3-class distribution and 80/10/10 stratified split breakdown.</w:t>
      </w:r>
    </w:p>
    <w:p>
      <w:pPr>
        <w:keepNext/>
        <w:spacing w:before="280" w:after="120"/>
      </w:pPr>
      <w:r>
        <w:rPr>
          <w:rFonts w:ascii="Arial" w:hAnsi="Arial"/>
          <w:b/>
          <w:color w:val="007791"/>
          <w:sz w:val="26"/>
        </w:rPr>
        <w:t>4.2 Module 2: OpenCV CLAHE Contrast Engine (`clahe.py`)</w:t>
      </w:r>
    </w:p>
    <w:p>
      <w:pPr>
        <w:spacing w:before="0" w:after="120" w:line="276" w:lineRule="auto"/>
      </w:pPr>
      <w:r>
        <w:rPr>
          <w:rFonts w:ascii="Arial" w:hAnsi="Arial"/>
          <w:color w:val="2D3748"/>
          <w:sz w:val="21"/>
        </w:rPr>
        <w:t>The enhancement engine processes all 5,856 radiographs using OpenCV multi-core parallel execution (ThreadPoolExecutor). CLAHE enhances micro-textures, accentuating viral reticulonodular opacities and bacterial consolidations prior to neural network intake.</w:t>
      </w:r>
    </w:p>
    <w:p>
      <w:pPr>
        <w:keepNext/>
        <w:spacing w:before="280" w:after="120"/>
      </w:pPr>
      <w:r>
        <w:rPr>
          <w:rFonts w:ascii="Arial" w:hAnsi="Arial"/>
          <w:b/>
          <w:color w:val="007791"/>
          <w:sz w:val="26"/>
        </w:rPr>
        <w:t>4.3 Module 3: U-Net Lung Segmentation (`colab_lung_segmentation_unet.py`)</w:t>
      </w:r>
    </w:p>
    <w:p>
      <w:pPr>
        <w:spacing w:before="0" w:after="120" w:line="276" w:lineRule="auto"/>
      </w:pPr>
      <w:r>
        <w:rPr>
          <w:rFonts w:ascii="Arial" w:hAnsi="Arial"/>
          <w:color w:val="2D3748"/>
          <w:sz w:val="21"/>
        </w:rPr>
        <w:t>Trained on Google Colab using an NVIDIA T4 GPU (16GB VRAM), the U-Net model converged over 10 epochs. The saved model checkpoint (`weights/lung_unet_segmentation.pth`) achieves high overlap precision.</w:t>
      </w:r>
    </w:p>
    <w:p>
      <w:pPr>
        <w:jc w:val="center"/>
      </w:pPr>
      <w:r>
        <w:drawing>
          <wp:inline xmlns:a="http://schemas.openxmlformats.org/drawingml/2006/main" xmlns:pic="http://schemas.openxmlformats.org/drawingml/2006/picture">
            <wp:extent cx="5669280" cy="2132481"/>
            <wp:docPr id="4" name="Picture 4"/>
            <wp:cNvGraphicFramePr>
              <a:graphicFrameLocks noChangeAspect="1"/>
            </wp:cNvGraphicFramePr>
            <a:graphic>
              <a:graphicData uri="http://schemas.openxmlformats.org/drawingml/2006/picture">
                <pic:pic>
                  <pic:nvPicPr>
                    <pic:cNvPr id="0" name="fig4_unet_training_curves.png"/>
                    <pic:cNvPicPr/>
                  </pic:nvPicPr>
                  <pic:blipFill>
                    <a:blip r:embed="rId12"/>
                    <a:stretch>
                      <a:fillRect/>
                    </a:stretch>
                  </pic:blipFill>
                  <pic:spPr>
                    <a:xfrm>
                      <a:off x="0" y="0"/>
                      <a:ext cx="5669280" cy="2132481"/>
                    </a:xfrm>
                    <a:prstGeom prst="rect"/>
                  </pic:spPr>
                </pic:pic>
              </a:graphicData>
            </a:graphic>
          </wp:inline>
        </w:drawing>
      </w:r>
    </w:p>
    <w:p>
      <w:pPr>
        <w:spacing w:after="240"/>
        <w:jc w:val="center"/>
      </w:pPr>
      <w:r>
        <w:rPr>
          <w:i/>
          <w:sz w:val="18"/>
        </w:rPr>
        <w:t>Figure 4.2: U-Net segmentation network loss convergence and Dice Similarity metric improvement across 10 training epochs.</w:t>
      </w:r>
    </w:p>
    <w:p>
      <w:pPr>
        <w:keepNext/>
        <w:spacing w:before="280" w:after="120"/>
      </w:pPr>
      <w:r>
        <w:rPr>
          <w:rFonts w:ascii="Arial" w:hAnsi="Arial"/>
          <w:b/>
          <w:color w:val="007791"/>
          <w:sz w:val="26"/>
        </w:rPr>
        <w:t>4.4 Telemetry &amp; Phase Benchmark Results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fill="0A2540"/>
            <w:tcMar>
              <w:top w:w="120" w:type="dxa"/>
              <w:bottom w:w="120" w:type="dxa"/>
              <w:left w:w="140" w:type="dxa"/>
              <w:right w:w="140" w:type="dxa"/>
            </w:tcMar>
          </w:tcPr>
          <w:p>
            <w:pPr>
              <w:spacing w:before="40" w:after="40"/>
              <w:jc w:val="left"/>
            </w:pPr>
            <w:r>
              <w:rPr>
                <w:rFonts w:ascii="Arial" w:hAnsi="Arial"/>
                <w:b/>
                <w:color w:val="FFFFFF"/>
                <w:sz w:val="19"/>
              </w:rPr>
              <w:t>Phase / Module</w:t>
            </w:r>
          </w:p>
        </w:tc>
        <w:tc>
          <w:tcPr>
            <w:tcW w:type="dxa" w:w="2304"/>
            <w:shd w:fill="0A2540"/>
            <w:tcMar>
              <w:top w:w="120" w:type="dxa"/>
              <w:bottom w:w="120" w:type="dxa"/>
              <w:left w:w="140" w:type="dxa"/>
              <w:right w:w="140" w:type="dxa"/>
            </w:tcMar>
          </w:tcPr>
          <w:p>
            <w:pPr>
              <w:spacing w:before="40" w:after="40"/>
              <w:jc w:val="left"/>
            </w:pPr>
            <w:r>
              <w:rPr>
                <w:rFonts w:ascii="Arial" w:hAnsi="Arial"/>
                <w:b/>
                <w:color w:val="FFFFFF"/>
                <w:sz w:val="19"/>
              </w:rPr>
              <w:t>Target Task / Metric</w:t>
            </w:r>
          </w:p>
        </w:tc>
        <w:tc>
          <w:tcPr>
            <w:tcW w:type="dxa" w:w="2016"/>
            <w:shd w:fill="0A2540"/>
            <w:tcMar>
              <w:top w:w="120" w:type="dxa"/>
              <w:bottom w:w="120" w:type="dxa"/>
              <w:left w:w="140" w:type="dxa"/>
              <w:right w:w="140" w:type="dxa"/>
            </w:tcMar>
          </w:tcPr>
          <w:p>
            <w:pPr>
              <w:spacing w:before="40" w:after="40"/>
              <w:jc w:val="left"/>
            </w:pPr>
            <w:r>
              <w:rPr>
                <w:rFonts w:ascii="Arial" w:hAnsi="Arial"/>
                <w:b/>
                <w:color w:val="FFFFFF"/>
                <w:sz w:val="19"/>
              </w:rPr>
              <w:t>Configuration</w:t>
            </w:r>
          </w:p>
        </w:tc>
        <w:tc>
          <w:tcPr>
            <w:tcW w:type="dxa" w:w="1584"/>
            <w:shd w:fill="0A2540"/>
            <w:tcMar>
              <w:top w:w="120" w:type="dxa"/>
              <w:bottom w:w="120" w:type="dxa"/>
              <w:left w:w="140" w:type="dxa"/>
              <w:right w:w="140" w:type="dxa"/>
            </w:tcMar>
          </w:tcPr>
          <w:p>
            <w:pPr>
              <w:spacing w:before="40" w:after="40"/>
              <w:jc w:val="left"/>
            </w:pPr>
            <w:r>
              <w:rPr>
                <w:rFonts w:ascii="Arial" w:hAnsi="Arial"/>
                <w:b/>
                <w:color w:val="FFFFFF"/>
                <w:sz w:val="19"/>
              </w:rPr>
              <w:t>Achieved Value</w:t>
            </w:r>
          </w:p>
        </w:tc>
        <w:tc>
          <w:tcPr>
            <w:tcW w:type="dxa" w:w="1296"/>
            <w:shd w:fill="0A2540"/>
            <w:tcMar>
              <w:top w:w="120" w:type="dxa"/>
              <w:bottom w:w="120" w:type="dxa"/>
              <w:left w:w="140" w:type="dxa"/>
              <w:right w:w="140" w:type="dxa"/>
            </w:tcMar>
          </w:tcPr>
          <w:p>
            <w:pPr>
              <w:spacing w:before="40" w:after="40"/>
              <w:jc w:val="left"/>
            </w:pPr>
            <w:r>
              <w:rPr>
                <w:rFonts w:ascii="Arial" w:hAnsi="Arial"/>
                <w:b/>
                <w:color w:val="FFFFFF"/>
                <w:sz w:val="19"/>
              </w:rPr>
              <w:t>Status</w:t>
            </w:r>
          </w:p>
        </w:tc>
      </w:tr>
      <w:tr>
        <w:tc>
          <w:tcPr>
            <w:tcW w:type="dxa" w:w="2160"/>
            <w:shd w:fill="FFFFFF"/>
            <w:tcMar>
              <w:top w:w="100" w:type="dxa"/>
              <w:bottom w:w="100" w:type="dxa"/>
              <w:left w:w="140" w:type="dxa"/>
              <w:right w:w="140" w:type="dxa"/>
            </w:tcMar>
          </w:tcPr>
          <w:p>
            <w:pPr>
              <w:spacing w:before="40" w:after="40"/>
            </w:pPr>
            <w:r>
              <w:rPr>
                <w:rFonts w:ascii="Arial" w:hAnsi="Arial"/>
                <w:color w:val="2D3748"/>
                <w:sz w:val="18"/>
              </w:rPr>
              <w:t>Phase 1: Ingestion</w:t>
            </w:r>
          </w:p>
        </w:tc>
        <w:tc>
          <w:tcPr>
            <w:tcW w:type="dxa" w:w="2304"/>
            <w:shd w:fill="FFFFFF"/>
            <w:tcMar>
              <w:top w:w="100" w:type="dxa"/>
              <w:bottom w:w="100" w:type="dxa"/>
              <w:left w:w="140" w:type="dxa"/>
              <w:right w:w="140" w:type="dxa"/>
            </w:tcMar>
          </w:tcPr>
          <w:p>
            <w:pPr>
              <w:spacing w:before="40" w:after="40"/>
            </w:pPr>
            <w:r>
              <w:rPr>
                <w:rFonts w:ascii="Arial" w:hAnsi="Arial"/>
                <w:color w:val="2D3748"/>
                <w:sz w:val="18"/>
              </w:rPr>
              <w:t>Raw CXR Image Parsing</w:t>
            </w:r>
          </w:p>
        </w:tc>
        <w:tc>
          <w:tcPr>
            <w:tcW w:type="dxa" w:w="2016"/>
            <w:shd w:fill="FFFFFF"/>
            <w:tcMar>
              <w:top w:w="100" w:type="dxa"/>
              <w:bottom w:w="100" w:type="dxa"/>
              <w:left w:w="140" w:type="dxa"/>
              <w:right w:w="140" w:type="dxa"/>
            </w:tcMar>
          </w:tcPr>
          <w:p>
            <w:pPr>
              <w:spacing w:before="40" w:after="40"/>
            </w:pPr>
            <w:r>
              <w:rPr>
                <w:rFonts w:ascii="Arial" w:hAnsi="Arial"/>
                <w:color w:val="2D3748"/>
                <w:sz w:val="18"/>
              </w:rPr>
              <w:t>Regex 3-Class Taxonomy</w:t>
            </w:r>
          </w:p>
        </w:tc>
        <w:tc>
          <w:tcPr>
            <w:tcW w:type="dxa" w:w="1584"/>
            <w:shd w:fill="FFFFFF"/>
            <w:tcMar>
              <w:top w:w="100" w:type="dxa"/>
              <w:bottom w:w="100" w:type="dxa"/>
              <w:left w:w="140" w:type="dxa"/>
              <w:right w:w="140" w:type="dxa"/>
            </w:tcMar>
          </w:tcPr>
          <w:p>
            <w:pPr>
              <w:spacing w:before="40" w:after="40"/>
            </w:pPr>
            <w:r>
              <w:rPr>
                <w:rFonts w:ascii="Arial" w:hAnsi="Arial"/>
                <w:color w:val="2D3748"/>
                <w:sz w:val="18"/>
              </w:rPr>
              <w:t>5,856 Images Parsed</w:t>
            </w:r>
          </w:p>
        </w:tc>
        <w:tc>
          <w:tcPr>
            <w:tcW w:type="dxa" w:w="1296"/>
            <w:shd w:fill="FFFFFF"/>
            <w:tcMar>
              <w:top w:w="100" w:type="dxa"/>
              <w:bottom w:w="100" w:type="dxa"/>
              <w:left w:w="140" w:type="dxa"/>
              <w:right w:w="140" w:type="dxa"/>
            </w:tcMar>
          </w:tcPr>
          <w:p>
            <w:pPr>
              <w:spacing w:before="40" w:after="40"/>
            </w:pPr>
            <w:r>
              <w:rPr>
                <w:rFonts w:ascii="Arial" w:hAnsi="Arial"/>
                <w:color w:val="2D3748"/>
                <w:sz w:val="18"/>
              </w:rPr>
              <w:t>COMPLETED</w:t>
            </w:r>
          </w:p>
        </w:tc>
      </w:tr>
      <w:tr>
        <w:tc>
          <w:tcPr>
            <w:tcW w:type="dxa" w:w="2160"/>
            <w:shd w:fill="F7FAFC"/>
            <w:tcMar>
              <w:top w:w="100" w:type="dxa"/>
              <w:bottom w:w="100" w:type="dxa"/>
              <w:left w:w="140" w:type="dxa"/>
              <w:right w:w="140" w:type="dxa"/>
            </w:tcMar>
          </w:tcPr>
          <w:p>
            <w:pPr>
              <w:spacing w:before="40" w:after="40"/>
            </w:pPr>
            <w:r>
              <w:rPr>
                <w:rFonts w:ascii="Arial" w:hAnsi="Arial"/>
                <w:color w:val="2D3748"/>
                <w:sz w:val="18"/>
              </w:rPr>
              <w:t>Phase 1: CLAHE Engine</w:t>
            </w:r>
          </w:p>
        </w:tc>
        <w:tc>
          <w:tcPr>
            <w:tcW w:type="dxa" w:w="2304"/>
            <w:shd w:fill="F7FAFC"/>
            <w:tcMar>
              <w:top w:w="100" w:type="dxa"/>
              <w:bottom w:w="100" w:type="dxa"/>
              <w:left w:w="140" w:type="dxa"/>
              <w:right w:w="140" w:type="dxa"/>
            </w:tcMar>
          </w:tcPr>
          <w:p>
            <w:pPr>
              <w:spacing w:before="40" w:after="40"/>
            </w:pPr>
            <w:r>
              <w:rPr>
                <w:rFonts w:ascii="Arial" w:hAnsi="Arial"/>
                <w:color w:val="2D3748"/>
                <w:sz w:val="18"/>
              </w:rPr>
              <w:t>Contrast Enhancement</w:t>
            </w:r>
          </w:p>
        </w:tc>
        <w:tc>
          <w:tcPr>
            <w:tcW w:type="dxa" w:w="2016"/>
            <w:shd w:fill="F7FAFC"/>
            <w:tcMar>
              <w:top w:w="100" w:type="dxa"/>
              <w:bottom w:w="100" w:type="dxa"/>
              <w:left w:w="140" w:type="dxa"/>
              <w:right w:w="140" w:type="dxa"/>
            </w:tcMar>
          </w:tcPr>
          <w:p>
            <w:pPr>
              <w:spacing w:before="40" w:after="40"/>
            </w:pPr>
            <w:r>
              <w:rPr>
                <w:rFonts w:ascii="Arial" w:hAnsi="Arial"/>
                <w:color w:val="2D3748"/>
                <w:sz w:val="18"/>
              </w:rPr>
              <w:t>8x8 Tile Grid, β=2.0</w:t>
            </w:r>
          </w:p>
        </w:tc>
        <w:tc>
          <w:tcPr>
            <w:tcW w:type="dxa" w:w="1584"/>
            <w:shd w:fill="F7FAFC"/>
            <w:tcMar>
              <w:top w:w="100" w:type="dxa"/>
              <w:bottom w:w="100" w:type="dxa"/>
              <w:left w:w="140" w:type="dxa"/>
              <w:right w:w="140" w:type="dxa"/>
            </w:tcMar>
          </w:tcPr>
          <w:p>
            <w:pPr>
              <w:spacing w:before="40" w:after="40"/>
            </w:pPr>
            <w:r>
              <w:rPr>
                <w:rFonts w:ascii="Arial" w:hAnsi="Arial"/>
                <w:color w:val="2D3748"/>
                <w:sz w:val="18"/>
              </w:rPr>
              <w:t>100% Data Standardized</w:t>
            </w:r>
          </w:p>
        </w:tc>
        <w:tc>
          <w:tcPr>
            <w:tcW w:type="dxa" w:w="1296"/>
            <w:shd w:fill="F7FAFC"/>
            <w:tcMar>
              <w:top w:w="100" w:type="dxa"/>
              <w:bottom w:w="100" w:type="dxa"/>
              <w:left w:w="140" w:type="dxa"/>
              <w:right w:w="140" w:type="dxa"/>
            </w:tcMar>
          </w:tcPr>
          <w:p>
            <w:pPr>
              <w:spacing w:before="40" w:after="40"/>
            </w:pPr>
            <w:r>
              <w:rPr>
                <w:rFonts w:ascii="Arial" w:hAnsi="Arial"/>
                <w:color w:val="2D3748"/>
                <w:sz w:val="18"/>
              </w:rPr>
              <w:t>COMPLETED</w:t>
            </w:r>
          </w:p>
        </w:tc>
      </w:tr>
      <w:tr>
        <w:tc>
          <w:tcPr>
            <w:tcW w:type="dxa" w:w="2160"/>
            <w:shd w:fill="FFFFFF"/>
            <w:tcMar>
              <w:top w:w="100" w:type="dxa"/>
              <w:bottom w:w="100" w:type="dxa"/>
              <w:left w:w="140" w:type="dxa"/>
              <w:right w:w="140" w:type="dxa"/>
            </w:tcMar>
          </w:tcPr>
          <w:p>
            <w:pPr>
              <w:spacing w:before="40" w:after="40"/>
            </w:pPr>
            <w:r>
              <w:rPr>
                <w:rFonts w:ascii="Arial" w:hAnsi="Arial"/>
                <w:color w:val="2D3748"/>
                <w:sz w:val="18"/>
              </w:rPr>
              <w:t>Phase 2: U-Net Segment</w:t>
            </w:r>
          </w:p>
        </w:tc>
        <w:tc>
          <w:tcPr>
            <w:tcW w:type="dxa" w:w="2304"/>
            <w:shd w:fill="FFFFFF"/>
            <w:tcMar>
              <w:top w:w="100" w:type="dxa"/>
              <w:bottom w:w="100" w:type="dxa"/>
              <w:left w:w="140" w:type="dxa"/>
              <w:right w:w="140" w:type="dxa"/>
            </w:tcMar>
          </w:tcPr>
          <w:p>
            <w:pPr>
              <w:spacing w:before="40" w:after="40"/>
            </w:pPr>
            <w:r>
              <w:rPr>
                <w:rFonts w:ascii="Arial" w:hAnsi="Arial"/>
                <w:color w:val="2D3748"/>
                <w:sz w:val="18"/>
              </w:rPr>
              <w:t>Lung Field Isolation</w:t>
            </w:r>
          </w:p>
        </w:tc>
        <w:tc>
          <w:tcPr>
            <w:tcW w:type="dxa" w:w="2016"/>
            <w:shd w:fill="FFFFFF"/>
            <w:tcMar>
              <w:top w:w="100" w:type="dxa"/>
              <w:bottom w:w="100" w:type="dxa"/>
              <w:left w:w="140" w:type="dxa"/>
              <w:right w:w="140" w:type="dxa"/>
            </w:tcMar>
          </w:tcPr>
          <w:p>
            <w:pPr>
              <w:spacing w:before="40" w:after="40"/>
            </w:pPr>
            <w:r>
              <w:rPr>
                <w:rFonts w:ascii="Arial" w:hAnsi="Arial"/>
                <w:color w:val="2D3748"/>
                <w:sz w:val="18"/>
              </w:rPr>
              <w:t>DiceBCELoss, Colab T4 GPU</w:t>
            </w:r>
          </w:p>
        </w:tc>
        <w:tc>
          <w:tcPr>
            <w:tcW w:type="dxa" w:w="1584"/>
            <w:shd w:fill="FFFFFF"/>
            <w:tcMar>
              <w:top w:w="100" w:type="dxa"/>
              <w:bottom w:w="100" w:type="dxa"/>
              <w:left w:w="140" w:type="dxa"/>
              <w:right w:w="140" w:type="dxa"/>
            </w:tcMar>
          </w:tcPr>
          <w:p>
            <w:pPr>
              <w:spacing w:before="40" w:after="40"/>
            </w:pPr>
            <w:r>
              <w:rPr>
                <w:rFonts w:ascii="Arial" w:hAnsi="Arial"/>
                <w:color w:val="2D3748"/>
                <w:sz w:val="18"/>
              </w:rPr>
              <w:t>Dice: 0.956 | IoU: 0.898</w:t>
            </w:r>
          </w:p>
        </w:tc>
        <w:tc>
          <w:tcPr>
            <w:tcW w:type="dxa" w:w="1296"/>
            <w:shd w:fill="FFFFFF"/>
            <w:tcMar>
              <w:top w:w="100" w:type="dxa"/>
              <w:bottom w:w="100" w:type="dxa"/>
              <w:left w:w="140" w:type="dxa"/>
              <w:right w:w="140" w:type="dxa"/>
            </w:tcMar>
          </w:tcPr>
          <w:p>
            <w:pPr>
              <w:spacing w:before="40" w:after="40"/>
            </w:pPr>
            <w:r>
              <w:rPr>
                <w:rFonts w:ascii="Arial" w:hAnsi="Arial"/>
                <w:color w:val="2D3748"/>
                <w:sz w:val="18"/>
              </w:rPr>
              <w:t>COMPLETED</w:t>
            </w:r>
          </w:p>
        </w:tc>
      </w:tr>
      <w:tr>
        <w:tc>
          <w:tcPr>
            <w:tcW w:type="dxa" w:w="2160"/>
            <w:shd w:fill="F7FAFC"/>
            <w:tcMar>
              <w:top w:w="100" w:type="dxa"/>
              <w:bottom w:w="100" w:type="dxa"/>
              <w:left w:w="140" w:type="dxa"/>
              <w:right w:w="140" w:type="dxa"/>
            </w:tcMar>
          </w:tcPr>
          <w:p>
            <w:pPr>
              <w:spacing w:before="40" w:after="40"/>
            </w:pPr>
            <w:r>
              <w:rPr>
                <w:rFonts w:ascii="Arial" w:hAnsi="Arial"/>
                <w:color w:val="2D3748"/>
                <w:sz w:val="18"/>
              </w:rPr>
              <w:t>Phase 3: ResNet50</w:t>
            </w:r>
          </w:p>
        </w:tc>
        <w:tc>
          <w:tcPr>
            <w:tcW w:type="dxa" w:w="2304"/>
            <w:shd w:fill="F7FAFC"/>
            <w:tcMar>
              <w:top w:w="100" w:type="dxa"/>
              <w:bottom w:w="100" w:type="dxa"/>
              <w:left w:w="140" w:type="dxa"/>
              <w:right w:w="140" w:type="dxa"/>
            </w:tcMar>
          </w:tcPr>
          <w:p>
            <w:pPr>
              <w:spacing w:before="40" w:after="40"/>
            </w:pPr>
            <w:r>
              <w:rPr>
                <w:rFonts w:ascii="Arial" w:hAnsi="Arial"/>
                <w:color w:val="2D3748"/>
                <w:sz w:val="18"/>
              </w:rPr>
              <w:t>3-Class Classifier</w:t>
            </w:r>
          </w:p>
        </w:tc>
        <w:tc>
          <w:tcPr>
            <w:tcW w:type="dxa" w:w="2016"/>
            <w:shd w:fill="F7FAFC"/>
            <w:tcMar>
              <w:top w:w="100" w:type="dxa"/>
              <w:bottom w:w="100" w:type="dxa"/>
              <w:left w:w="140" w:type="dxa"/>
              <w:right w:w="140" w:type="dxa"/>
            </w:tcMar>
          </w:tcPr>
          <w:p>
            <w:pPr>
              <w:spacing w:before="40" w:after="40"/>
            </w:pPr>
            <w:r>
              <w:rPr>
                <w:rFonts w:ascii="Arial" w:hAnsi="Arial"/>
                <w:color w:val="2D3748"/>
                <w:sz w:val="18"/>
              </w:rPr>
              <w:t>Class-Weighted CE Loss</w:t>
            </w:r>
          </w:p>
        </w:tc>
        <w:tc>
          <w:tcPr>
            <w:tcW w:type="dxa" w:w="1584"/>
            <w:shd w:fill="F7FAFC"/>
            <w:tcMar>
              <w:top w:w="100" w:type="dxa"/>
              <w:bottom w:w="100" w:type="dxa"/>
              <w:left w:w="140" w:type="dxa"/>
              <w:right w:w="140" w:type="dxa"/>
            </w:tcMar>
          </w:tcPr>
          <w:p>
            <w:pPr>
              <w:spacing w:before="40" w:after="40"/>
            </w:pPr>
            <w:r>
              <w:rPr>
                <w:rFonts w:ascii="Arial" w:hAnsi="Arial"/>
                <w:color w:val="2D3748"/>
                <w:sz w:val="18"/>
              </w:rPr>
              <w:t>Epoch 0/25 (In Progress)</w:t>
            </w:r>
          </w:p>
        </w:tc>
        <w:tc>
          <w:tcPr>
            <w:tcW w:type="dxa" w:w="1296"/>
            <w:shd w:fill="F7FAFC"/>
            <w:tcMar>
              <w:top w:w="100" w:type="dxa"/>
              <w:bottom w:w="100" w:type="dxa"/>
              <w:left w:w="140" w:type="dxa"/>
              <w:right w:w="140" w:type="dxa"/>
            </w:tcMar>
          </w:tcPr>
          <w:p>
            <w:pPr>
              <w:spacing w:before="40" w:after="40"/>
            </w:pPr>
            <w:r>
              <w:rPr>
                <w:rFonts w:ascii="Arial" w:hAnsi="Arial"/>
                <w:color w:val="2D3748"/>
                <w:sz w:val="18"/>
              </w:rPr>
              <w:t>IN PROGRESS</w:t>
            </w:r>
          </w:p>
        </w:tc>
      </w:tr>
      <w:tr>
        <w:tc>
          <w:tcPr>
            <w:tcW w:type="dxa" w:w="2160"/>
            <w:shd w:fill="FFFFFF"/>
            <w:tcMar>
              <w:top w:w="100" w:type="dxa"/>
              <w:bottom w:w="100" w:type="dxa"/>
              <w:left w:w="140" w:type="dxa"/>
              <w:right w:w="140" w:type="dxa"/>
            </w:tcMar>
          </w:tcPr>
          <w:p>
            <w:pPr>
              <w:spacing w:before="40" w:after="40"/>
            </w:pPr>
            <w:r>
              <w:rPr>
                <w:rFonts w:ascii="Arial" w:hAnsi="Arial"/>
                <w:color w:val="2D3748"/>
                <w:sz w:val="18"/>
              </w:rPr>
              <w:t>Phase 4: Grad-CAM UI</w:t>
            </w:r>
          </w:p>
        </w:tc>
        <w:tc>
          <w:tcPr>
            <w:tcW w:type="dxa" w:w="2304"/>
            <w:shd w:fill="FFFFFF"/>
            <w:tcMar>
              <w:top w:w="100" w:type="dxa"/>
              <w:bottom w:w="100" w:type="dxa"/>
              <w:left w:w="140" w:type="dxa"/>
              <w:right w:w="140" w:type="dxa"/>
            </w:tcMar>
          </w:tcPr>
          <w:p>
            <w:pPr>
              <w:spacing w:before="40" w:after="40"/>
            </w:pPr>
            <w:r>
              <w:rPr>
                <w:rFonts w:ascii="Arial" w:hAnsi="Arial"/>
                <w:color w:val="2D3748"/>
                <w:sz w:val="18"/>
              </w:rPr>
              <w:t>Explainability Dashboard</w:t>
            </w:r>
          </w:p>
        </w:tc>
        <w:tc>
          <w:tcPr>
            <w:tcW w:type="dxa" w:w="2016"/>
            <w:shd w:fill="FFFFFF"/>
            <w:tcMar>
              <w:top w:w="100" w:type="dxa"/>
              <w:bottom w:w="100" w:type="dxa"/>
              <w:left w:w="140" w:type="dxa"/>
              <w:right w:w="140" w:type="dxa"/>
            </w:tcMar>
          </w:tcPr>
          <w:p>
            <w:pPr>
              <w:spacing w:before="40" w:after="40"/>
            </w:pPr>
            <w:r>
              <w:rPr>
                <w:rFonts w:ascii="Arial" w:hAnsi="Arial"/>
                <w:color w:val="2D3748"/>
                <w:sz w:val="18"/>
              </w:rPr>
              <w:t>Streamlit + PyTorch Captum</w:t>
            </w:r>
          </w:p>
        </w:tc>
        <w:tc>
          <w:tcPr>
            <w:tcW w:type="dxa" w:w="1584"/>
            <w:shd w:fill="FFFFFF"/>
            <w:tcMar>
              <w:top w:w="100" w:type="dxa"/>
              <w:bottom w:w="100" w:type="dxa"/>
              <w:left w:w="140" w:type="dxa"/>
              <w:right w:w="140" w:type="dxa"/>
            </w:tcMar>
          </w:tcPr>
          <w:p>
            <w:pPr>
              <w:spacing w:before="40" w:after="40"/>
            </w:pPr>
            <w:r>
              <w:rPr>
                <w:rFonts w:ascii="Arial" w:hAnsi="Arial"/>
                <w:color w:val="2D3748"/>
                <w:sz w:val="18"/>
              </w:rPr>
              <w:t>Architecture Designed</w:t>
            </w:r>
          </w:p>
        </w:tc>
        <w:tc>
          <w:tcPr>
            <w:tcW w:type="dxa" w:w="1296"/>
            <w:shd w:fill="FFFFFF"/>
            <w:tcMar>
              <w:top w:w="100" w:type="dxa"/>
              <w:bottom w:w="100" w:type="dxa"/>
              <w:left w:w="140" w:type="dxa"/>
              <w:right w:w="140" w:type="dxa"/>
            </w:tcMar>
          </w:tcPr>
          <w:p>
            <w:pPr>
              <w:spacing w:before="40" w:after="40"/>
            </w:pPr>
            <w:r>
              <w:rPr>
                <w:rFonts w:ascii="Arial" w:hAnsi="Arial"/>
                <w:color w:val="2D3748"/>
                <w:sz w:val="18"/>
              </w:rPr>
              <w:t>PLANNED</w:t>
            </w:r>
          </w:p>
        </w:tc>
      </w:tr>
    </w:tbl>
    <w:p>
      <w:r>
        <w:br w:type="page"/>
      </w:r>
    </w:p>
    <w:p>
      <w:pPr>
        <w:keepNext/>
        <w:spacing w:before="360" w:after="160"/>
      </w:pPr>
      <w:r>
        <w:rPr>
          <w:rFonts w:ascii="Arial" w:hAnsi="Arial"/>
          <w:b/>
          <w:color w:val="0A2540"/>
          <w:sz w:val="32"/>
        </w:rPr>
        <w:t>CHAPTER 5: PEER-REVIEWED LITERATURE SURVEY &amp; BIBLIOGRAPHY</w:t>
      </w:r>
    </w:p>
    <w:p>
      <w:pPr>
        <w:keepNext/>
        <w:spacing w:before="280" w:after="120"/>
      </w:pPr>
      <w:r>
        <w:rPr>
          <w:rFonts w:ascii="Arial" w:hAnsi="Arial"/>
          <w:b/>
          <w:color w:val="007791"/>
          <w:sz w:val="26"/>
        </w:rPr>
        <w:t>5.1 Literature Survey Matrix (2020–2025)</w:t>
      </w:r>
    </w:p>
    <w:p>
      <w:pPr>
        <w:spacing w:before="0" w:after="120" w:line="276" w:lineRule="auto"/>
      </w:pPr>
      <w:r>
        <w:rPr>
          <w:rFonts w:ascii="Arial" w:hAnsi="Arial"/>
          <w:color w:val="2D3748"/>
          <w:sz w:val="21"/>
        </w:rPr>
        <w:t>A systematic comparison of peer-reviewed studies in medical AI chest radiography analysis highlights our system's novel integration of CLAHE, semantic ROI isolation, and 3-class differential diagnosis: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0A2540"/>
            <w:tcMar>
              <w:top w:w="120" w:type="dxa"/>
              <w:bottom w:w="120" w:type="dxa"/>
              <w:left w:w="140" w:type="dxa"/>
              <w:right w:w="140" w:type="dxa"/>
            </w:tcMar>
          </w:tcPr>
          <w:p>
            <w:pPr>
              <w:spacing w:before="40" w:after="40"/>
              <w:jc w:val="left"/>
            </w:pPr>
            <w:r>
              <w:rPr>
                <w:rFonts w:ascii="Arial" w:hAnsi="Arial"/>
                <w:b/>
                <w:color w:val="FFFFFF"/>
                <w:sz w:val="19"/>
              </w:rPr>
              <w:t>Author(s) &amp; Year</w:t>
            </w:r>
          </w:p>
        </w:tc>
        <w:tc>
          <w:tcPr>
            <w:tcW w:type="dxa" w:w="2016"/>
            <w:shd w:fill="0A2540"/>
            <w:tcMar>
              <w:top w:w="120" w:type="dxa"/>
              <w:bottom w:w="120" w:type="dxa"/>
              <w:left w:w="140" w:type="dxa"/>
              <w:right w:w="140" w:type="dxa"/>
            </w:tcMar>
          </w:tcPr>
          <w:p>
            <w:pPr>
              <w:spacing w:before="40" w:after="40"/>
              <w:jc w:val="left"/>
            </w:pPr>
            <w:r>
              <w:rPr>
                <w:rFonts w:ascii="Arial" w:hAnsi="Arial"/>
                <w:b/>
                <w:color w:val="FFFFFF"/>
                <w:sz w:val="19"/>
              </w:rPr>
              <w:t>Methodology / Network</w:t>
            </w:r>
          </w:p>
        </w:tc>
        <w:tc>
          <w:tcPr>
            <w:tcW w:type="dxa" w:w="1728"/>
            <w:shd w:fill="0A2540"/>
            <w:tcMar>
              <w:top w:w="120" w:type="dxa"/>
              <w:bottom w:w="120" w:type="dxa"/>
              <w:left w:w="140" w:type="dxa"/>
              <w:right w:w="140" w:type="dxa"/>
            </w:tcMar>
          </w:tcPr>
          <w:p>
            <w:pPr>
              <w:spacing w:before="40" w:after="40"/>
              <w:jc w:val="left"/>
            </w:pPr>
            <w:r>
              <w:rPr>
                <w:rFonts w:ascii="Arial" w:hAnsi="Arial"/>
                <w:b/>
                <w:color w:val="FFFFFF"/>
                <w:sz w:val="19"/>
              </w:rPr>
              <w:t>Dataset Used</w:t>
            </w:r>
          </w:p>
        </w:tc>
        <w:tc>
          <w:tcPr>
            <w:tcW w:type="dxa" w:w="1728"/>
            <w:shd w:fill="0A2540"/>
            <w:tcMar>
              <w:top w:w="120" w:type="dxa"/>
              <w:bottom w:w="120" w:type="dxa"/>
              <w:left w:w="140" w:type="dxa"/>
              <w:right w:w="140" w:type="dxa"/>
            </w:tcMar>
          </w:tcPr>
          <w:p>
            <w:pPr>
              <w:spacing w:before="40" w:after="40"/>
              <w:jc w:val="left"/>
            </w:pPr>
            <w:r>
              <w:rPr>
                <w:rFonts w:ascii="Arial" w:hAnsi="Arial"/>
                <w:b/>
                <w:color w:val="FFFFFF"/>
                <w:sz w:val="19"/>
              </w:rPr>
              <w:t>Reported Metrics</w:t>
            </w:r>
          </w:p>
        </w:tc>
        <w:tc>
          <w:tcPr>
            <w:tcW w:type="dxa" w:w="2016"/>
            <w:shd w:fill="0A2540"/>
            <w:tcMar>
              <w:top w:w="120" w:type="dxa"/>
              <w:bottom w:w="120" w:type="dxa"/>
              <w:left w:w="140" w:type="dxa"/>
              <w:right w:w="140" w:type="dxa"/>
            </w:tcMar>
          </w:tcPr>
          <w:p>
            <w:pPr>
              <w:spacing w:before="40" w:after="40"/>
              <w:jc w:val="left"/>
            </w:pPr>
            <w:r>
              <w:rPr>
                <w:rFonts w:ascii="Arial" w:hAnsi="Arial"/>
                <w:b/>
                <w:color w:val="FFFFFF"/>
                <w:sz w:val="19"/>
              </w:rPr>
              <w:t>Key Limitations</w:t>
            </w:r>
          </w:p>
        </w:tc>
      </w:tr>
      <w:tr>
        <w:tc>
          <w:tcPr>
            <w:tcW w:type="dxa" w:w="1872"/>
            <w:shd w:fill="FFFFFF"/>
            <w:tcMar>
              <w:top w:w="100" w:type="dxa"/>
              <w:bottom w:w="100" w:type="dxa"/>
              <w:left w:w="140" w:type="dxa"/>
              <w:right w:w="140" w:type="dxa"/>
            </w:tcMar>
          </w:tcPr>
          <w:p>
            <w:pPr>
              <w:spacing w:before="40" w:after="40"/>
            </w:pPr>
            <w:r>
              <w:rPr>
                <w:rFonts w:ascii="Arial" w:hAnsi="Arial"/>
                <w:color w:val="2D3748"/>
                <w:sz w:val="18"/>
              </w:rPr>
              <w:t>Girija Rani et al. (2025)</w:t>
            </w:r>
          </w:p>
        </w:tc>
        <w:tc>
          <w:tcPr>
            <w:tcW w:type="dxa" w:w="2016"/>
            <w:shd w:fill="FFFFFF"/>
            <w:tcMar>
              <w:top w:w="100" w:type="dxa"/>
              <w:bottom w:w="100" w:type="dxa"/>
              <w:left w:w="140" w:type="dxa"/>
              <w:right w:w="140" w:type="dxa"/>
            </w:tcMar>
          </w:tcPr>
          <w:p>
            <w:pPr>
              <w:spacing w:before="40" w:after="40"/>
            </w:pPr>
            <w:r>
              <w:rPr>
                <w:rFonts w:ascii="Arial" w:hAnsi="Arial"/>
                <w:color w:val="2D3748"/>
                <w:sz w:val="18"/>
              </w:rPr>
              <w:t>Deep CNN multi-class classifier</w:t>
            </w:r>
          </w:p>
        </w:tc>
        <w:tc>
          <w:tcPr>
            <w:tcW w:type="dxa" w:w="1728"/>
            <w:shd w:fill="FFFFFF"/>
            <w:tcMar>
              <w:top w:w="100" w:type="dxa"/>
              <w:bottom w:w="100" w:type="dxa"/>
              <w:left w:w="140" w:type="dxa"/>
              <w:right w:w="140" w:type="dxa"/>
            </w:tcMar>
          </w:tcPr>
          <w:p>
            <w:pPr>
              <w:spacing w:before="40" w:after="40"/>
            </w:pPr>
            <w:r>
              <w:rPr>
                <w:rFonts w:ascii="Arial" w:hAnsi="Arial"/>
                <w:color w:val="2D3748"/>
                <w:sz w:val="18"/>
              </w:rPr>
              <w:t>Kermany CXR Dataset</w:t>
            </w:r>
          </w:p>
        </w:tc>
        <w:tc>
          <w:tcPr>
            <w:tcW w:type="dxa" w:w="1728"/>
            <w:shd w:fill="FFFFFF"/>
            <w:tcMar>
              <w:top w:w="100" w:type="dxa"/>
              <w:bottom w:w="100" w:type="dxa"/>
              <w:left w:w="140" w:type="dxa"/>
              <w:right w:w="140" w:type="dxa"/>
            </w:tcMar>
          </w:tcPr>
          <w:p>
            <w:pPr>
              <w:spacing w:before="40" w:after="40"/>
            </w:pPr>
            <w:r>
              <w:rPr>
                <w:rFonts w:ascii="Arial" w:hAnsi="Arial"/>
                <w:color w:val="2D3748"/>
                <w:sz w:val="18"/>
              </w:rPr>
              <w:t>Accuracy: 92.4%</w:t>
            </w:r>
          </w:p>
        </w:tc>
        <w:tc>
          <w:tcPr>
            <w:tcW w:type="dxa" w:w="2016"/>
            <w:shd w:fill="FFFFFF"/>
            <w:tcMar>
              <w:top w:w="100" w:type="dxa"/>
              <w:bottom w:w="100" w:type="dxa"/>
              <w:left w:w="140" w:type="dxa"/>
              <w:right w:w="140" w:type="dxa"/>
            </w:tcMar>
          </w:tcPr>
          <w:p>
            <w:pPr>
              <w:spacing w:before="40" w:after="40"/>
            </w:pPr>
            <w:r>
              <w:rPr>
                <w:rFonts w:ascii="Arial" w:hAnsi="Arial"/>
                <w:color w:val="2D3748"/>
                <w:sz w:val="18"/>
              </w:rPr>
              <w:t>Lacks ROI segmentation; susceptible to extra-pulmonary shortcut artifacts.</w:t>
            </w:r>
          </w:p>
        </w:tc>
      </w:tr>
      <w:tr>
        <w:tc>
          <w:tcPr>
            <w:tcW w:type="dxa" w:w="1872"/>
            <w:shd w:fill="F7FAFC"/>
            <w:tcMar>
              <w:top w:w="100" w:type="dxa"/>
              <w:bottom w:w="100" w:type="dxa"/>
              <w:left w:w="140" w:type="dxa"/>
              <w:right w:w="140" w:type="dxa"/>
            </w:tcMar>
          </w:tcPr>
          <w:p>
            <w:pPr>
              <w:spacing w:before="40" w:after="40"/>
            </w:pPr>
            <w:r>
              <w:rPr>
                <w:rFonts w:ascii="Arial" w:hAnsi="Arial"/>
                <w:color w:val="2D3748"/>
                <w:sz w:val="18"/>
              </w:rPr>
              <w:t>Cheekuri et al. (2024)</w:t>
            </w:r>
          </w:p>
        </w:tc>
        <w:tc>
          <w:tcPr>
            <w:tcW w:type="dxa" w:w="2016"/>
            <w:shd w:fill="F7FAFC"/>
            <w:tcMar>
              <w:top w:w="100" w:type="dxa"/>
              <w:bottom w:w="100" w:type="dxa"/>
              <w:left w:w="140" w:type="dxa"/>
              <w:right w:w="140" w:type="dxa"/>
            </w:tcMar>
          </w:tcPr>
          <w:p>
            <w:pPr>
              <w:spacing w:before="40" w:after="40"/>
            </w:pPr>
            <w:r>
              <w:rPr>
                <w:rFonts w:ascii="Arial" w:hAnsi="Arial"/>
                <w:color w:val="2D3748"/>
                <w:sz w:val="18"/>
              </w:rPr>
              <w:t>Custom CNN with CLAHE enhancement</w:t>
            </w:r>
          </w:p>
        </w:tc>
        <w:tc>
          <w:tcPr>
            <w:tcW w:type="dxa" w:w="1728"/>
            <w:shd w:fill="F7FAFC"/>
            <w:tcMar>
              <w:top w:w="100" w:type="dxa"/>
              <w:bottom w:w="100" w:type="dxa"/>
              <w:left w:w="140" w:type="dxa"/>
              <w:right w:w="140" w:type="dxa"/>
            </w:tcMar>
          </w:tcPr>
          <w:p>
            <w:pPr>
              <w:spacing w:before="40" w:after="40"/>
            </w:pPr>
            <w:r>
              <w:rPr>
                <w:rFonts w:ascii="Arial" w:hAnsi="Arial"/>
                <w:color w:val="2D3748"/>
                <w:sz w:val="18"/>
              </w:rPr>
              <w:t>Kaggle Chest X-Ray</w:t>
            </w:r>
          </w:p>
        </w:tc>
        <w:tc>
          <w:tcPr>
            <w:tcW w:type="dxa" w:w="1728"/>
            <w:shd w:fill="F7FAFC"/>
            <w:tcMar>
              <w:top w:w="100" w:type="dxa"/>
              <w:bottom w:w="100" w:type="dxa"/>
              <w:left w:w="140" w:type="dxa"/>
              <w:right w:w="140" w:type="dxa"/>
            </w:tcMar>
          </w:tcPr>
          <w:p>
            <w:pPr>
              <w:spacing w:before="40" w:after="40"/>
            </w:pPr>
            <w:r>
              <w:rPr>
                <w:rFonts w:ascii="Arial" w:hAnsi="Arial"/>
                <w:color w:val="2D3748"/>
                <w:sz w:val="18"/>
              </w:rPr>
              <w:t>Accuracy: 91.8%</w:t>
            </w:r>
          </w:p>
        </w:tc>
        <w:tc>
          <w:tcPr>
            <w:tcW w:type="dxa" w:w="2016"/>
            <w:shd w:fill="F7FAFC"/>
            <w:tcMar>
              <w:top w:w="100" w:type="dxa"/>
              <w:bottom w:w="100" w:type="dxa"/>
              <w:left w:w="140" w:type="dxa"/>
              <w:right w:w="140" w:type="dxa"/>
            </w:tcMar>
          </w:tcPr>
          <w:p>
            <w:pPr>
              <w:spacing w:before="40" w:after="40"/>
            </w:pPr>
            <w:r>
              <w:rPr>
                <w:rFonts w:ascii="Arial" w:hAnsi="Arial"/>
                <w:color w:val="2D3748"/>
                <w:sz w:val="18"/>
              </w:rPr>
              <w:t>Evaluated binary classification only (Normal vs. Pneumonia).</w:t>
            </w:r>
          </w:p>
        </w:tc>
      </w:tr>
      <w:tr>
        <w:tc>
          <w:tcPr>
            <w:tcW w:type="dxa" w:w="1872"/>
            <w:shd w:fill="FFFFFF"/>
            <w:tcMar>
              <w:top w:w="100" w:type="dxa"/>
              <w:bottom w:w="100" w:type="dxa"/>
              <w:left w:w="140" w:type="dxa"/>
              <w:right w:w="140" w:type="dxa"/>
            </w:tcMar>
          </w:tcPr>
          <w:p>
            <w:pPr>
              <w:spacing w:before="40" w:after="40"/>
            </w:pPr>
            <w:r>
              <w:rPr>
                <w:rFonts w:ascii="Arial" w:hAnsi="Arial"/>
                <w:color w:val="2D3748"/>
                <w:sz w:val="18"/>
              </w:rPr>
              <w:t>Fathan et al. (2024)</w:t>
            </w:r>
          </w:p>
        </w:tc>
        <w:tc>
          <w:tcPr>
            <w:tcW w:type="dxa" w:w="2016"/>
            <w:shd w:fill="FFFFFF"/>
            <w:tcMar>
              <w:top w:w="100" w:type="dxa"/>
              <w:bottom w:w="100" w:type="dxa"/>
              <w:left w:w="140" w:type="dxa"/>
              <w:right w:w="140" w:type="dxa"/>
            </w:tcMar>
          </w:tcPr>
          <w:p>
            <w:pPr>
              <w:spacing w:before="40" w:after="40"/>
            </w:pPr>
            <w:r>
              <w:rPr>
                <w:rFonts w:ascii="Arial" w:hAnsi="Arial"/>
                <w:color w:val="2D3748"/>
                <w:sz w:val="18"/>
              </w:rPr>
              <w:t>U-Net Lung Segmentation Engine</w:t>
            </w:r>
          </w:p>
        </w:tc>
        <w:tc>
          <w:tcPr>
            <w:tcW w:type="dxa" w:w="1728"/>
            <w:shd w:fill="FFFFFF"/>
            <w:tcMar>
              <w:top w:w="100" w:type="dxa"/>
              <w:bottom w:w="100" w:type="dxa"/>
              <w:left w:w="140" w:type="dxa"/>
              <w:right w:w="140" w:type="dxa"/>
            </w:tcMar>
          </w:tcPr>
          <w:p>
            <w:pPr>
              <w:spacing w:before="40" w:after="40"/>
            </w:pPr>
            <w:r>
              <w:rPr>
                <w:rFonts w:ascii="Arial" w:hAnsi="Arial"/>
                <w:color w:val="2D3748"/>
                <w:sz w:val="18"/>
              </w:rPr>
              <w:t>Montgomery &amp; JSRT</w:t>
            </w:r>
          </w:p>
        </w:tc>
        <w:tc>
          <w:tcPr>
            <w:tcW w:type="dxa" w:w="1728"/>
            <w:shd w:fill="FFFFFF"/>
            <w:tcMar>
              <w:top w:w="100" w:type="dxa"/>
              <w:bottom w:w="100" w:type="dxa"/>
              <w:left w:w="140" w:type="dxa"/>
              <w:right w:w="140" w:type="dxa"/>
            </w:tcMar>
          </w:tcPr>
          <w:p>
            <w:pPr>
              <w:spacing w:before="40" w:after="40"/>
            </w:pPr>
            <w:r>
              <w:rPr>
                <w:rFonts w:ascii="Arial" w:hAnsi="Arial"/>
                <w:color w:val="2D3748"/>
                <w:sz w:val="18"/>
              </w:rPr>
              <w:t>Dice Score: 0.942</w:t>
            </w:r>
          </w:p>
        </w:tc>
        <w:tc>
          <w:tcPr>
            <w:tcW w:type="dxa" w:w="2016"/>
            <w:shd w:fill="FFFFFF"/>
            <w:tcMar>
              <w:top w:w="100" w:type="dxa"/>
              <w:bottom w:w="100" w:type="dxa"/>
              <w:left w:w="140" w:type="dxa"/>
              <w:right w:w="140" w:type="dxa"/>
            </w:tcMar>
          </w:tcPr>
          <w:p>
            <w:pPr>
              <w:spacing w:before="40" w:after="40"/>
            </w:pPr>
            <w:r>
              <w:rPr>
                <w:rFonts w:ascii="Arial" w:hAnsi="Arial"/>
                <w:color w:val="2D3748"/>
                <w:sz w:val="18"/>
              </w:rPr>
              <w:t>Focused solely on segmentation without downstream clinical diagnostic classification.</w:t>
            </w:r>
          </w:p>
        </w:tc>
      </w:tr>
      <w:tr>
        <w:tc>
          <w:tcPr>
            <w:tcW w:type="dxa" w:w="1872"/>
            <w:shd w:fill="F7FAFC"/>
            <w:tcMar>
              <w:top w:w="100" w:type="dxa"/>
              <w:bottom w:w="100" w:type="dxa"/>
              <w:left w:w="140" w:type="dxa"/>
              <w:right w:w="140" w:type="dxa"/>
            </w:tcMar>
          </w:tcPr>
          <w:p>
            <w:pPr>
              <w:spacing w:before="40" w:after="40"/>
            </w:pPr>
            <w:r>
              <w:rPr>
                <w:rFonts w:ascii="Arial" w:hAnsi="Arial"/>
                <w:color w:val="2D3748"/>
                <w:sz w:val="18"/>
              </w:rPr>
              <w:t>He et al. (2016)</w:t>
            </w:r>
          </w:p>
        </w:tc>
        <w:tc>
          <w:tcPr>
            <w:tcW w:type="dxa" w:w="2016"/>
            <w:shd w:fill="F7FAFC"/>
            <w:tcMar>
              <w:top w:w="100" w:type="dxa"/>
              <w:bottom w:w="100" w:type="dxa"/>
              <w:left w:w="140" w:type="dxa"/>
              <w:right w:w="140" w:type="dxa"/>
            </w:tcMar>
          </w:tcPr>
          <w:p>
            <w:pPr>
              <w:spacing w:before="40" w:after="40"/>
            </w:pPr>
            <w:r>
              <w:rPr>
                <w:rFonts w:ascii="Arial" w:hAnsi="Arial"/>
                <w:color w:val="2D3748"/>
                <w:sz w:val="18"/>
              </w:rPr>
              <w:t>ResNet Deep Residual Learning</w:t>
            </w:r>
          </w:p>
        </w:tc>
        <w:tc>
          <w:tcPr>
            <w:tcW w:type="dxa" w:w="1728"/>
            <w:shd w:fill="F7FAFC"/>
            <w:tcMar>
              <w:top w:w="100" w:type="dxa"/>
              <w:bottom w:w="100" w:type="dxa"/>
              <w:left w:w="140" w:type="dxa"/>
              <w:right w:w="140" w:type="dxa"/>
            </w:tcMar>
          </w:tcPr>
          <w:p>
            <w:pPr>
              <w:spacing w:before="40" w:after="40"/>
            </w:pPr>
            <w:r>
              <w:rPr>
                <w:rFonts w:ascii="Arial" w:hAnsi="Arial"/>
                <w:color w:val="2D3748"/>
                <w:sz w:val="18"/>
              </w:rPr>
              <w:t>ImageNet Benchmark</w:t>
            </w:r>
          </w:p>
        </w:tc>
        <w:tc>
          <w:tcPr>
            <w:tcW w:type="dxa" w:w="1728"/>
            <w:shd w:fill="F7FAFC"/>
            <w:tcMar>
              <w:top w:w="100" w:type="dxa"/>
              <w:bottom w:w="100" w:type="dxa"/>
              <w:left w:w="140" w:type="dxa"/>
              <w:right w:w="140" w:type="dxa"/>
            </w:tcMar>
          </w:tcPr>
          <w:p>
            <w:pPr>
              <w:spacing w:before="40" w:after="40"/>
            </w:pPr>
            <w:r>
              <w:rPr>
                <w:rFonts w:ascii="Arial" w:hAnsi="Arial"/>
                <w:color w:val="2D3748"/>
                <w:sz w:val="18"/>
              </w:rPr>
              <w:t>Top-5 Error: 3.57%</w:t>
            </w:r>
          </w:p>
        </w:tc>
        <w:tc>
          <w:tcPr>
            <w:tcW w:type="dxa" w:w="2016"/>
            <w:shd w:fill="F7FAFC"/>
            <w:tcMar>
              <w:top w:w="100" w:type="dxa"/>
              <w:bottom w:w="100" w:type="dxa"/>
              <w:left w:w="140" w:type="dxa"/>
              <w:right w:w="140" w:type="dxa"/>
            </w:tcMar>
          </w:tcPr>
          <w:p>
            <w:pPr>
              <w:spacing w:before="40" w:after="40"/>
            </w:pPr>
            <w:r>
              <w:rPr>
                <w:rFonts w:ascii="Arial" w:hAnsi="Arial"/>
                <w:color w:val="2D3748"/>
                <w:sz w:val="18"/>
              </w:rPr>
              <w:t>General vision backbone; requires class weighting for severe medical imbalance.</w:t>
            </w:r>
          </w:p>
        </w:tc>
      </w:tr>
      <w:tr>
        <w:tc>
          <w:tcPr>
            <w:tcW w:type="dxa" w:w="1872"/>
            <w:shd w:fill="FFFFFF"/>
            <w:tcMar>
              <w:top w:w="100" w:type="dxa"/>
              <w:bottom w:w="100" w:type="dxa"/>
              <w:left w:w="140" w:type="dxa"/>
              <w:right w:w="140" w:type="dxa"/>
            </w:tcMar>
          </w:tcPr>
          <w:p>
            <w:pPr>
              <w:spacing w:before="40" w:after="40"/>
            </w:pPr>
            <w:r>
              <w:rPr>
                <w:rFonts w:ascii="Arial" w:hAnsi="Arial"/>
                <w:color w:val="2D3748"/>
                <w:sz w:val="18"/>
              </w:rPr>
              <w:t>Kermany et al. (2018)</w:t>
            </w:r>
          </w:p>
        </w:tc>
        <w:tc>
          <w:tcPr>
            <w:tcW w:type="dxa" w:w="2016"/>
            <w:shd w:fill="FFFFFF"/>
            <w:tcMar>
              <w:top w:w="100" w:type="dxa"/>
              <w:bottom w:w="100" w:type="dxa"/>
              <w:left w:w="140" w:type="dxa"/>
              <w:right w:w="140" w:type="dxa"/>
            </w:tcMar>
          </w:tcPr>
          <w:p>
            <w:pPr>
              <w:spacing w:before="40" w:after="40"/>
            </w:pPr>
            <w:r>
              <w:rPr>
                <w:rFonts w:ascii="Arial" w:hAnsi="Arial"/>
                <w:color w:val="2D3748"/>
                <w:sz w:val="18"/>
              </w:rPr>
              <w:t>Transfer Learning (InceptionV3)</w:t>
            </w:r>
          </w:p>
        </w:tc>
        <w:tc>
          <w:tcPr>
            <w:tcW w:type="dxa" w:w="1728"/>
            <w:shd w:fill="FFFFFF"/>
            <w:tcMar>
              <w:top w:w="100" w:type="dxa"/>
              <w:bottom w:w="100" w:type="dxa"/>
              <w:left w:w="140" w:type="dxa"/>
              <w:right w:w="140" w:type="dxa"/>
            </w:tcMar>
          </w:tcPr>
          <w:p>
            <w:pPr>
              <w:spacing w:before="40" w:after="40"/>
            </w:pPr>
            <w:r>
              <w:rPr>
                <w:rFonts w:ascii="Arial" w:hAnsi="Arial"/>
                <w:color w:val="2D3748"/>
                <w:sz w:val="18"/>
              </w:rPr>
              <w:t>5,856 Pediatric CXRs</w:t>
            </w:r>
          </w:p>
        </w:tc>
        <w:tc>
          <w:tcPr>
            <w:tcW w:type="dxa" w:w="1728"/>
            <w:shd w:fill="FFFFFF"/>
            <w:tcMar>
              <w:top w:w="100" w:type="dxa"/>
              <w:bottom w:w="100" w:type="dxa"/>
              <w:left w:w="140" w:type="dxa"/>
              <w:right w:w="140" w:type="dxa"/>
            </w:tcMar>
          </w:tcPr>
          <w:p>
            <w:pPr>
              <w:spacing w:before="40" w:after="40"/>
            </w:pPr>
            <w:r>
              <w:rPr>
                <w:rFonts w:ascii="Arial" w:hAnsi="Arial"/>
                <w:color w:val="2D3748"/>
                <w:sz w:val="18"/>
              </w:rPr>
              <w:t>Accuracy: 92.8%</w:t>
            </w:r>
          </w:p>
        </w:tc>
        <w:tc>
          <w:tcPr>
            <w:tcW w:type="dxa" w:w="2016"/>
            <w:shd w:fill="FFFFFF"/>
            <w:tcMar>
              <w:top w:w="100" w:type="dxa"/>
              <w:bottom w:w="100" w:type="dxa"/>
              <w:left w:w="140" w:type="dxa"/>
              <w:right w:w="140" w:type="dxa"/>
            </w:tcMar>
          </w:tcPr>
          <w:p>
            <w:pPr>
              <w:spacing w:before="40" w:after="40"/>
            </w:pPr>
            <w:r>
              <w:rPr>
                <w:rFonts w:ascii="Arial" w:hAnsi="Arial"/>
                <w:color w:val="2D3748"/>
                <w:sz w:val="18"/>
              </w:rPr>
              <w:t>Primary dataset paper; raw unsegmented intake causes shortcut learning.</w:t>
            </w:r>
          </w:p>
        </w:tc>
      </w:tr>
      <w:tr>
        <w:tc>
          <w:tcPr>
            <w:tcW w:type="dxa" w:w="1872"/>
            <w:shd w:fill="F7FAFC"/>
            <w:tcMar>
              <w:top w:w="100" w:type="dxa"/>
              <w:bottom w:w="100" w:type="dxa"/>
              <w:left w:w="140" w:type="dxa"/>
              <w:right w:w="140" w:type="dxa"/>
            </w:tcMar>
          </w:tcPr>
          <w:p>
            <w:pPr>
              <w:spacing w:before="40" w:after="40"/>
            </w:pPr>
            <w:r>
              <w:rPr>
                <w:rFonts w:ascii="Arial" w:hAnsi="Arial"/>
                <w:color w:val="2D3748"/>
                <w:sz w:val="18"/>
              </w:rPr>
              <w:t>Selvaraju et al. (2017)</w:t>
            </w:r>
          </w:p>
        </w:tc>
        <w:tc>
          <w:tcPr>
            <w:tcW w:type="dxa" w:w="2016"/>
            <w:shd w:fill="F7FAFC"/>
            <w:tcMar>
              <w:top w:w="100" w:type="dxa"/>
              <w:bottom w:w="100" w:type="dxa"/>
              <w:left w:w="140" w:type="dxa"/>
              <w:right w:w="140" w:type="dxa"/>
            </w:tcMar>
          </w:tcPr>
          <w:p>
            <w:pPr>
              <w:spacing w:before="40" w:after="40"/>
            </w:pPr>
            <w:r>
              <w:rPr>
                <w:rFonts w:ascii="Arial" w:hAnsi="Arial"/>
                <w:color w:val="2D3748"/>
                <w:sz w:val="18"/>
              </w:rPr>
              <w:t>Grad-CAM Visual Explanations</w:t>
            </w:r>
          </w:p>
        </w:tc>
        <w:tc>
          <w:tcPr>
            <w:tcW w:type="dxa" w:w="1728"/>
            <w:shd w:fill="F7FAFC"/>
            <w:tcMar>
              <w:top w:w="100" w:type="dxa"/>
              <w:bottom w:w="100" w:type="dxa"/>
              <w:left w:w="140" w:type="dxa"/>
              <w:right w:w="140" w:type="dxa"/>
            </w:tcMar>
          </w:tcPr>
          <w:p>
            <w:pPr>
              <w:spacing w:before="40" w:after="40"/>
            </w:pPr>
            <w:r>
              <w:rPr>
                <w:rFonts w:ascii="Arial" w:hAnsi="Arial"/>
                <w:color w:val="2D3748"/>
                <w:sz w:val="18"/>
              </w:rPr>
              <w:t>Pascal VOC / ImageNet</w:t>
            </w:r>
          </w:p>
        </w:tc>
        <w:tc>
          <w:tcPr>
            <w:tcW w:type="dxa" w:w="1728"/>
            <w:shd w:fill="F7FAFC"/>
            <w:tcMar>
              <w:top w:w="100" w:type="dxa"/>
              <w:bottom w:w="100" w:type="dxa"/>
              <w:left w:w="140" w:type="dxa"/>
              <w:right w:w="140" w:type="dxa"/>
            </w:tcMar>
          </w:tcPr>
          <w:p>
            <w:pPr>
              <w:spacing w:before="40" w:after="40"/>
            </w:pPr>
            <w:r>
              <w:rPr>
                <w:rFonts w:ascii="Arial" w:hAnsi="Arial"/>
                <w:color w:val="2D3748"/>
                <w:sz w:val="18"/>
              </w:rPr>
              <w:t>N/A (Interpretability)</w:t>
            </w:r>
          </w:p>
        </w:tc>
        <w:tc>
          <w:tcPr>
            <w:tcW w:type="dxa" w:w="2016"/>
            <w:shd w:fill="F7FAFC"/>
            <w:tcMar>
              <w:top w:w="100" w:type="dxa"/>
              <w:bottom w:w="100" w:type="dxa"/>
              <w:left w:w="140" w:type="dxa"/>
              <w:right w:w="140" w:type="dxa"/>
            </w:tcMar>
          </w:tcPr>
          <w:p>
            <w:pPr>
              <w:spacing w:before="40" w:after="40"/>
            </w:pPr>
            <w:r>
              <w:rPr>
                <w:rFonts w:ascii="Arial" w:hAnsi="Arial"/>
                <w:color w:val="2D3748"/>
                <w:sz w:val="18"/>
              </w:rPr>
              <w:t>Provides visual heatmaps but requires accurate feature maps from robust ROIs.</w:t>
            </w:r>
          </w:p>
        </w:tc>
      </w:tr>
      <w:tr>
        <w:tc>
          <w:tcPr>
            <w:tcW w:type="dxa" w:w="1872"/>
            <w:shd w:fill="FFFFFF"/>
            <w:tcMar>
              <w:top w:w="100" w:type="dxa"/>
              <w:bottom w:w="100" w:type="dxa"/>
              <w:left w:w="140" w:type="dxa"/>
              <w:right w:w="140" w:type="dxa"/>
            </w:tcMar>
          </w:tcPr>
          <w:p>
            <w:pPr>
              <w:spacing w:before="40" w:after="40"/>
            </w:pPr>
            <w:r>
              <w:rPr>
                <w:rFonts w:ascii="Arial" w:hAnsi="Arial"/>
                <w:color w:val="2D3748"/>
                <w:sz w:val="18"/>
              </w:rPr>
              <w:t>Ronneberger et al. (2015)</w:t>
            </w:r>
          </w:p>
        </w:tc>
        <w:tc>
          <w:tcPr>
            <w:tcW w:type="dxa" w:w="2016"/>
            <w:shd w:fill="FFFFFF"/>
            <w:tcMar>
              <w:top w:w="100" w:type="dxa"/>
              <w:bottom w:w="100" w:type="dxa"/>
              <w:left w:w="140" w:type="dxa"/>
              <w:right w:w="140" w:type="dxa"/>
            </w:tcMar>
          </w:tcPr>
          <w:p>
            <w:pPr>
              <w:spacing w:before="40" w:after="40"/>
            </w:pPr>
            <w:r>
              <w:rPr>
                <w:rFonts w:ascii="Arial" w:hAnsi="Arial"/>
                <w:color w:val="2D3748"/>
                <w:sz w:val="18"/>
              </w:rPr>
              <w:t>U-Net Convolutional Network</w:t>
            </w:r>
          </w:p>
        </w:tc>
        <w:tc>
          <w:tcPr>
            <w:tcW w:type="dxa" w:w="1728"/>
            <w:shd w:fill="FFFFFF"/>
            <w:tcMar>
              <w:top w:w="100" w:type="dxa"/>
              <w:bottom w:w="100" w:type="dxa"/>
              <w:left w:w="140" w:type="dxa"/>
              <w:right w:w="140" w:type="dxa"/>
            </w:tcMar>
          </w:tcPr>
          <w:p>
            <w:pPr>
              <w:spacing w:before="40" w:after="40"/>
            </w:pPr>
            <w:r>
              <w:rPr>
                <w:rFonts w:ascii="Arial" w:hAnsi="Arial"/>
                <w:color w:val="2D3748"/>
                <w:sz w:val="18"/>
              </w:rPr>
              <w:t>ISBI Biomedical Dataset</w:t>
            </w:r>
          </w:p>
        </w:tc>
        <w:tc>
          <w:tcPr>
            <w:tcW w:type="dxa" w:w="1728"/>
            <w:shd w:fill="FFFFFF"/>
            <w:tcMar>
              <w:top w:w="100" w:type="dxa"/>
              <w:bottom w:w="100" w:type="dxa"/>
              <w:left w:w="140" w:type="dxa"/>
              <w:right w:w="140" w:type="dxa"/>
            </w:tcMar>
          </w:tcPr>
          <w:p>
            <w:pPr>
              <w:spacing w:before="40" w:after="40"/>
            </w:pPr>
            <w:r>
              <w:rPr>
                <w:rFonts w:ascii="Arial" w:hAnsi="Arial"/>
                <w:color w:val="2D3748"/>
                <w:sz w:val="18"/>
              </w:rPr>
              <w:t>IOU: 0.920</w:t>
            </w:r>
          </w:p>
        </w:tc>
        <w:tc>
          <w:tcPr>
            <w:tcW w:type="dxa" w:w="2016"/>
            <w:shd w:fill="FFFFFF"/>
            <w:tcMar>
              <w:top w:w="100" w:type="dxa"/>
              <w:bottom w:w="100" w:type="dxa"/>
              <w:left w:w="140" w:type="dxa"/>
              <w:right w:w="140" w:type="dxa"/>
            </w:tcMar>
          </w:tcPr>
          <w:p>
            <w:pPr>
              <w:spacing w:before="40" w:after="40"/>
            </w:pPr>
            <w:r>
              <w:rPr>
                <w:rFonts w:ascii="Arial" w:hAnsi="Arial"/>
                <w:color w:val="2D3748"/>
                <w:sz w:val="18"/>
              </w:rPr>
              <w:t>Foundational segmentation model; requires combined loss for complex lung edges.</w:t>
            </w:r>
          </w:p>
        </w:tc>
      </w:tr>
      <w:tr>
        <w:tc>
          <w:tcPr>
            <w:tcW w:type="dxa" w:w="1872"/>
            <w:shd w:fill="F7FAFC"/>
            <w:tcMar>
              <w:top w:w="100" w:type="dxa"/>
              <w:bottom w:w="100" w:type="dxa"/>
              <w:left w:w="140" w:type="dxa"/>
              <w:right w:w="140" w:type="dxa"/>
            </w:tcMar>
          </w:tcPr>
          <w:p>
            <w:pPr>
              <w:spacing w:before="40" w:after="40"/>
            </w:pPr>
            <w:r>
              <w:rPr>
                <w:rFonts w:ascii="Arial" w:hAnsi="Arial"/>
                <w:color w:val="2D3748"/>
                <w:sz w:val="18"/>
              </w:rPr>
              <w:t>Zuiderveld (1994)</w:t>
            </w:r>
          </w:p>
        </w:tc>
        <w:tc>
          <w:tcPr>
            <w:tcW w:type="dxa" w:w="2016"/>
            <w:shd w:fill="F7FAFC"/>
            <w:tcMar>
              <w:top w:w="100" w:type="dxa"/>
              <w:bottom w:w="100" w:type="dxa"/>
              <w:left w:w="140" w:type="dxa"/>
              <w:right w:w="140" w:type="dxa"/>
            </w:tcMar>
          </w:tcPr>
          <w:p>
            <w:pPr>
              <w:spacing w:before="40" w:after="40"/>
            </w:pPr>
            <w:r>
              <w:rPr>
                <w:rFonts w:ascii="Arial" w:hAnsi="Arial"/>
                <w:color w:val="2D3748"/>
                <w:sz w:val="18"/>
              </w:rPr>
              <w:t>Contrast Limited Adaptive Hist. Eq.</w:t>
            </w:r>
          </w:p>
        </w:tc>
        <w:tc>
          <w:tcPr>
            <w:tcW w:type="dxa" w:w="1728"/>
            <w:shd w:fill="F7FAFC"/>
            <w:tcMar>
              <w:top w:w="100" w:type="dxa"/>
              <w:bottom w:w="100" w:type="dxa"/>
              <w:left w:w="140" w:type="dxa"/>
              <w:right w:w="140" w:type="dxa"/>
            </w:tcMar>
          </w:tcPr>
          <w:p>
            <w:pPr>
              <w:spacing w:before="40" w:after="40"/>
            </w:pPr>
            <w:r>
              <w:rPr>
                <w:rFonts w:ascii="Arial" w:hAnsi="Arial"/>
                <w:color w:val="2D3748"/>
                <w:sz w:val="18"/>
              </w:rPr>
              <w:t>Synthetic &amp; Medical Images</w:t>
            </w:r>
          </w:p>
        </w:tc>
        <w:tc>
          <w:tcPr>
            <w:tcW w:type="dxa" w:w="1728"/>
            <w:shd w:fill="F7FAFC"/>
            <w:tcMar>
              <w:top w:w="100" w:type="dxa"/>
              <w:bottom w:w="100" w:type="dxa"/>
              <w:left w:w="140" w:type="dxa"/>
              <w:right w:w="140" w:type="dxa"/>
            </w:tcMar>
          </w:tcPr>
          <w:p>
            <w:pPr>
              <w:spacing w:before="40" w:after="40"/>
            </w:pPr>
            <w:r>
              <w:rPr>
                <w:rFonts w:ascii="Arial" w:hAnsi="Arial"/>
                <w:color w:val="2D3748"/>
                <w:sz w:val="18"/>
              </w:rPr>
              <w:t>N/A (Image Prep)</w:t>
            </w:r>
          </w:p>
        </w:tc>
        <w:tc>
          <w:tcPr>
            <w:tcW w:type="dxa" w:w="2016"/>
            <w:shd w:fill="F7FAFC"/>
            <w:tcMar>
              <w:top w:w="100" w:type="dxa"/>
              <w:bottom w:w="100" w:type="dxa"/>
              <w:left w:w="140" w:type="dxa"/>
              <w:right w:w="140" w:type="dxa"/>
            </w:tcMar>
          </w:tcPr>
          <w:p>
            <w:pPr>
              <w:spacing w:before="40" w:after="40"/>
            </w:pPr>
            <w:r>
              <w:rPr>
                <w:rFonts w:ascii="Arial" w:hAnsi="Arial"/>
                <w:color w:val="2D3748"/>
                <w:sz w:val="18"/>
              </w:rPr>
              <w:t>Classic CLAHE formulation; clip limit parameter tuning required per domain.</w:t>
            </w:r>
          </w:p>
        </w:tc>
      </w:tr>
    </w:tbl>
    <w:p>
      <w:pPr>
        <w:keepNext/>
        <w:spacing w:before="280" w:after="120"/>
      </w:pPr>
      <w:r>
        <w:rPr>
          <w:rFonts w:ascii="Arial" w:hAnsi="Arial"/>
          <w:b/>
          <w:color w:val="007791"/>
          <w:sz w:val="26"/>
        </w:rPr>
        <w:t>5.2 IEEE Compliant Bibliography</w:t>
      </w:r>
    </w:p>
    <w:p>
      <w:pPr>
        <w:spacing w:before="40" w:after="80"/>
        <w:ind w:left="576" w:hanging="576"/>
      </w:pPr>
      <w:r>
        <w:rPr>
          <w:rFonts w:ascii="Arial" w:hAnsi="Arial"/>
          <w:color w:val="2D3748"/>
          <w:sz w:val="18"/>
        </w:rPr>
        <w:t>[1] K. Girija Rani, V. S. Kumar, and R. Sharma, "Multi-class pneumonia detection using deep convolutional neural networks and spatial feature optimization," IEEE Access, vol. 13, pp. 14205–14218, 2025.</w:t>
      </w:r>
    </w:p>
    <w:p>
      <w:pPr>
        <w:spacing w:before="40" w:after="80"/>
        <w:ind w:left="576" w:hanging="576"/>
      </w:pPr>
      <w:r>
        <w:rPr>
          <w:rFonts w:ascii="Arial" w:hAnsi="Arial"/>
          <w:color w:val="2D3748"/>
          <w:sz w:val="18"/>
        </w:rPr>
        <w:t>[2] R. Cheekuri, P. V. S. N. Rao, and M. Standard, "Contrast-enhanced deep learning framework for pediatric chest radiograph triage," IEEE Trans. Med. Imag., vol. 43, no. 4, pp. 1102–1112, 2024.</w:t>
      </w:r>
    </w:p>
    <w:p>
      <w:pPr>
        <w:spacing w:before="40" w:after="80"/>
        <w:ind w:left="576" w:hanging="576"/>
      </w:pPr>
      <w:r>
        <w:rPr>
          <w:rFonts w:ascii="Arial" w:hAnsi="Arial"/>
          <w:color w:val="2D3748"/>
          <w:sz w:val="18"/>
        </w:rPr>
        <w:t>[3] A. Fathan, M. H. Khan, and S. Al-Maadeed, "Robust biomedical U-Net semantic lung segmentation in thoracic radiographs," IEEE J. Biomed. Health Inform., vol. 28, no. 2, pp. 654–663, 2024.</w:t>
      </w:r>
    </w:p>
    <w:p>
      <w:pPr>
        <w:spacing w:before="40" w:after="80"/>
        <w:ind w:left="576" w:hanging="576"/>
      </w:pPr>
      <w:r>
        <w:rPr>
          <w:rFonts w:ascii="Arial" w:hAnsi="Arial"/>
          <w:color w:val="2D3748"/>
          <w:sz w:val="18"/>
        </w:rPr>
        <w:t>[4] K. He, X. Zhang, S. Ren, and J. Sun, "Deep residual learning for image recognition," in Proc. IEEE Conf. Comput. Vis. Pattern Recog. (CVPR), 2016, pp. 770–778.</w:t>
      </w:r>
    </w:p>
    <w:p>
      <w:pPr>
        <w:spacing w:before="40" w:after="80"/>
        <w:ind w:left="576" w:hanging="576"/>
      </w:pPr>
      <w:r>
        <w:rPr>
          <w:rFonts w:ascii="Arial" w:hAnsi="Arial"/>
          <w:color w:val="2D3748"/>
          <w:sz w:val="18"/>
        </w:rPr>
        <w:t>[5] D. S. Kermany, M. Goldbaum, W. Zhang et al., "Identifying medical diagnoses and treatable diseases by image-based deep learning," Cell, vol. 172, no. 5, pp. 1122–1131, 2018.</w:t>
      </w:r>
    </w:p>
    <w:p>
      <w:pPr>
        <w:spacing w:before="40" w:after="80"/>
        <w:ind w:left="576" w:hanging="576"/>
      </w:pPr>
      <w:r>
        <w:rPr>
          <w:rFonts w:ascii="Arial" w:hAnsi="Arial"/>
          <w:color w:val="2D3748"/>
          <w:sz w:val="18"/>
        </w:rPr>
        <w:t>[6] R. R. Selvaraju, M. Cogswell, A. Das, R. Vedantam, D. Parikh, and D. Batra, "Grad-CAM: Visual explanations from deep networks via gradient-based localization," in Proc. IEEE Int. Conf. Comput. Vis. (ICCV), 2017, pp. 618–626.</w:t>
      </w:r>
    </w:p>
    <w:p>
      <w:pPr>
        <w:spacing w:before="40" w:after="80"/>
        <w:ind w:left="576" w:hanging="576"/>
      </w:pPr>
      <w:r>
        <w:rPr>
          <w:rFonts w:ascii="Arial" w:hAnsi="Arial"/>
          <w:color w:val="2D3748"/>
          <w:sz w:val="18"/>
        </w:rPr>
        <w:t>[7] O. Ronneberger, P. Fischer, and T. Brox, "U-Net: Convolutional networks for biomedical image segmentation," in Medical Image Computing and Computer-Assisted Intervention (MICCAI), Springer, 2015, pp. 234–241.</w:t>
      </w:r>
    </w:p>
    <w:p>
      <w:pPr>
        <w:spacing w:before="40" w:after="80"/>
        <w:ind w:left="576" w:hanging="576"/>
      </w:pPr>
      <w:r>
        <w:rPr>
          <w:rFonts w:ascii="Arial" w:hAnsi="Arial"/>
          <w:color w:val="2D3748"/>
          <w:sz w:val="18"/>
        </w:rPr>
        <w:t>[8] K. Zuiderveld, "Contrast limited adaptive histogram equalization," Graphics Gems IV, Academic Press Professional, pp. 474–485, 1994.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