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EV Charging Station Reservation System</w:t>
      </w:r>
    </w:p>
    <w:p>
      <w:pPr>
        <w:spacing w:after="200"/>
      </w:pPr>
      <w:r>
        <w:t xml:space="preserve">Requirements Table (Lab 1 — Requirements Engineering &amp; UML Use-Case Modelling)</w:t>
      </w:r>
    </w:p>
    <w:p>
      <w:pPr>
        <w:spacing w:after="200"/>
      </w:pPr>
      <w:r>
        <w:rPr>
          <w:b/>
          <w:bCs/>
        </w:rPr>
        <w:t xml:space="preserve">Actors: </w:t>
      </w:r>
      <w:r>
        <w:t xml:space="preserve">EV Driver, Station Operator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3200"/>
        <w:gridCol w:w="800"/>
        <w:gridCol w:w="2340"/>
        <w:gridCol w:w="2000"/>
      </w:tblGrid>
      <w:tr>
        <w:trPr>
          <w:tblHeader/>
        </w:trPr>
        <w:tc>
          <w:tcPr>
            <w:tcW w:type="dxa" w:w="800"/>
            <w:shd w:fill="D9E2F3" w:color="auto" w:val="clear"/>
          </w:tcPr>
          <w:p>
            <w:r>
              <w:rPr>
                <w:b/>
                <w:bCs/>
              </w:rPr>
              <w:t xml:space="preserve">Req ID</w:t>
            </w:r>
          </w:p>
        </w:tc>
        <w:tc>
          <w:tcPr>
            <w:tcW w:type="dxa" w:w="1300"/>
            <w:shd w:fill="D9E2F3" w:color="auto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200"/>
            <w:shd w:fill="D9E2F3" w:color="auto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800"/>
            <w:shd w:fill="D9E2F3" w:color="auto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shd w:fill="D9E2F3" w:color="auto" w:val="clear"/>
          </w:tcPr>
          <w:p>
            <w:r>
              <w:rPr>
                <w:b/>
                <w:bCs/>
              </w:rPr>
              <w:t xml:space="preserve">Acceptance Criteria</w:t>
            </w:r>
          </w:p>
        </w:tc>
        <w:tc>
          <w:tcPr>
            <w:tcW w:type="dxa" w:w="2000"/>
            <w:shd w:fill="D9E2F3" w:color="auto" w:val="clear"/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800"/>
          </w:tcPr>
          <w:p>
            <w:r>
              <w:t xml:space="preserve">FR-001</w:t>
            </w:r>
          </w:p>
        </w:tc>
        <w:tc>
          <w:tcPr>
            <w:tcW w:type="dxa" w:w="1300"/>
          </w:tcPr>
          <w:p>
            <w:r>
              <w:t xml:space="preserve">Functional</w:t>
            </w:r>
          </w:p>
        </w:tc>
        <w:tc>
          <w:tcPr>
            <w:tcW w:type="dxa" w:w="3200"/>
          </w:tcPr>
          <w:p>
            <w:r>
              <w:t xml:space="preserve">The system shall match the driver's vehicle connector type with available station chargers and reserve a 30-minute charging window.</w:t>
            </w:r>
          </w:p>
        </w:tc>
        <w:tc>
          <w:tcPr>
            <w:tcW w:type="dxa" w:w="800"/>
          </w:tcPr>
          <w:p>
            <w:r>
              <w:t xml:space="preserve">High</w:t>
            </w:r>
          </w:p>
        </w:tc>
        <w:tc>
          <w:tcPr>
            <w:tcW w:type="dxa" w:w="2340"/>
          </w:tcPr>
          <w:p>
            <w:r>
              <w:t xml:space="preserve">Pass: Incompatible connector plugs hidden from driver. Fail: Two vehicles booked for same socket concurrently.</w:t>
            </w:r>
          </w:p>
        </w:tc>
        <w:tc>
          <w:tcPr>
            <w:tcW w:type="dxa" w:w="2000"/>
          </w:tcPr>
          <w:p>
            <w:r>
              <w:t xml:space="preserve">Prevents wasted trips and double-booking of physical hardware.</w:t>
            </w:r>
          </w:p>
        </w:tc>
      </w:tr>
      <w:tr>
        <w:tc>
          <w:tcPr>
            <w:tcW w:type="dxa" w:w="800"/>
          </w:tcPr>
          <w:p>
            <w:r>
              <w:t xml:space="preserve">FR-002</w:t>
            </w:r>
          </w:p>
        </w:tc>
        <w:tc>
          <w:tcPr>
            <w:tcW w:type="dxa" w:w="1300"/>
          </w:tcPr>
          <w:p>
            <w:r>
              <w:t xml:space="preserve">Functional</w:t>
            </w:r>
          </w:p>
        </w:tc>
        <w:tc>
          <w:tcPr>
            <w:tcW w:type="dxa" w:w="3200"/>
          </w:tcPr>
          <w:p>
            <w:r>
              <w:t xml:space="preserve">The system shall display real-time availability status (Available / Reserved / Charging / Out of Service) for each charging socket at a station.</w:t>
            </w:r>
          </w:p>
        </w:tc>
        <w:tc>
          <w:tcPr>
            <w:tcW w:type="dxa" w:w="800"/>
          </w:tcPr>
          <w:p>
            <w:r>
              <w:t xml:space="preserve">High</w:t>
            </w:r>
          </w:p>
        </w:tc>
        <w:tc>
          <w:tcPr>
            <w:tcW w:type="dxa" w:w="2340"/>
          </w:tcPr>
          <w:p>
            <w:r>
              <w:t xml:space="preserve">When a socket's status changes, the map/list updates within 5 seconds without a manual page refresh.</w:t>
            </w:r>
          </w:p>
        </w:tc>
        <w:tc>
          <w:tcPr>
            <w:tcW w:type="dxa" w:w="2000"/>
          </w:tcPr>
          <w:p>
            <w:r>
              <w:t xml:space="preserve">Drivers need current info to avoid arriving at a busy or broken station.</w:t>
            </w:r>
          </w:p>
        </w:tc>
      </w:tr>
      <w:tr>
        <w:tc>
          <w:tcPr>
            <w:tcW w:type="dxa" w:w="800"/>
          </w:tcPr>
          <w:p>
            <w:r>
              <w:t xml:space="preserve">FR-003</w:t>
            </w:r>
          </w:p>
        </w:tc>
        <w:tc>
          <w:tcPr>
            <w:tcW w:type="dxa" w:w="1300"/>
          </w:tcPr>
          <w:p>
            <w:r>
              <w:t xml:space="preserve">Functional</w:t>
            </w:r>
          </w:p>
        </w:tc>
        <w:tc>
          <w:tcPr>
            <w:tcW w:type="dxa" w:w="3200"/>
          </w:tcPr>
          <w:p>
            <w:r>
              <w:t xml:space="preserve">The system shall calculate and display the estimated total cost of a charging session using the station's dynamic power rate before the driver confirms a reservation.</w:t>
            </w:r>
          </w:p>
        </w:tc>
        <w:tc>
          <w:tcPr>
            <w:tcW w:type="dxa" w:w="800"/>
          </w:tcPr>
          <w:p>
            <w:r>
              <w:t xml:space="preserve">Medium</w:t>
            </w:r>
          </w:p>
        </w:tc>
        <w:tc>
          <w:tcPr>
            <w:tcW w:type="dxa" w:w="2340"/>
          </w:tcPr>
          <w:p>
            <w:r>
              <w:t xml:space="preserve">When a driver selects a slot, an estimated cost (rate x expected duration) is shown before the "Confirm" button is enabled.</w:t>
            </w:r>
          </w:p>
        </w:tc>
        <w:tc>
          <w:tcPr>
            <w:tcW w:type="dxa" w:w="2000"/>
          </w:tcPr>
          <w:p>
            <w:r>
              <w:t xml:space="preserve">Enables informed decision-making and price transparency.</w:t>
            </w:r>
          </w:p>
        </w:tc>
      </w:tr>
      <w:tr>
        <w:tc>
          <w:tcPr>
            <w:tcW w:type="dxa" w:w="800"/>
          </w:tcPr>
          <w:p>
            <w:r>
              <w:t xml:space="preserve">FR-004</w:t>
            </w:r>
          </w:p>
        </w:tc>
        <w:tc>
          <w:tcPr>
            <w:tcW w:type="dxa" w:w="1300"/>
          </w:tcPr>
          <w:p>
            <w:r>
              <w:t xml:space="preserve">Functional</w:t>
            </w:r>
          </w:p>
        </w:tc>
        <w:tc>
          <w:tcPr>
            <w:tcW w:type="dxa" w:w="3200"/>
          </w:tcPr>
          <w:p>
            <w:r>
              <w:t xml:space="preserve">The system shall allow a Station Operator to mark a specific socket as "Out of Service" and remove it from driver search results.</w:t>
            </w:r>
          </w:p>
        </w:tc>
        <w:tc>
          <w:tcPr>
            <w:tcW w:type="dxa" w:w="800"/>
          </w:tcPr>
          <w:p>
            <w:r>
              <w:t xml:space="preserve">Medium</w:t>
            </w:r>
          </w:p>
        </w:tc>
        <w:tc>
          <w:tcPr>
            <w:tcW w:type="dxa" w:w="2340"/>
          </w:tcPr>
          <w:p>
            <w:r>
              <w:t xml:space="preserve">Within 1 minute of an operator flagging a socket, it no longer appears in driver availability searches.</w:t>
            </w:r>
          </w:p>
        </w:tc>
        <w:tc>
          <w:tcPr>
            <w:tcW w:type="dxa" w:w="2000"/>
          </w:tcPr>
          <w:p>
            <w:r>
              <w:t xml:space="preserve">Prevents drivers from reserving broken equipment.</w:t>
            </w:r>
          </w:p>
        </w:tc>
      </w:tr>
      <w:tr>
        <w:tc>
          <w:tcPr>
            <w:tcW w:type="dxa" w:w="800"/>
          </w:tcPr>
          <w:p>
            <w:r>
              <w:t xml:space="preserve">FR-005</w:t>
            </w:r>
          </w:p>
        </w:tc>
        <w:tc>
          <w:tcPr>
            <w:tcW w:type="dxa" w:w="1300"/>
          </w:tcPr>
          <w:p>
            <w:r>
              <w:t xml:space="preserve">Functional</w:t>
            </w:r>
          </w:p>
        </w:tc>
        <w:tc>
          <w:tcPr>
            <w:tcW w:type="dxa" w:w="3200"/>
          </w:tcPr>
          <w:p>
            <w:r>
              <w:t xml:space="preserve">The system shall send the EV Driver a confirmation notification (push/SMS/email) containing station location, socket ID, and reserved time window immediately after a successful reservation.</w:t>
            </w:r>
          </w:p>
        </w:tc>
        <w:tc>
          <w:tcPr>
            <w:tcW w:type="dxa" w:w="800"/>
          </w:tcPr>
          <w:p>
            <w:r>
              <w:t xml:space="preserve">High</w:t>
            </w:r>
          </w:p>
        </w:tc>
        <w:tc>
          <w:tcPr>
            <w:tcW w:type="dxa" w:w="2340"/>
          </w:tcPr>
          <w:p>
            <w:r>
              <w:t xml:space="preserve">Within 30 seconds of booking confirmation, a notification is received containing all three required fields.</w:t>
            </w:r>
          </w:p>
        </w:tc>
        <w:tc>
          <w:tcPr>
            <w:tcW w:type="dxa" w:w="2000"/>
          </w:tcPr>
          <w:p>
            <w:r>
              <w:t xml:space="preserve">Reduces no-shows and gives drivers a reference for navigation.</w:t>
            </w:r>
          </w:p>
        </w:tc>
      </w:tr>
      <w:tr>
        <w:tc>
          <w:tcPr>
            <w:tcW w:type="dxa" w:w="800"/>
          </w:tcPr>
          <w:p>
            <w:r>
              <w:t xml:space="preserve">NFR-001</w:t>
            </w:r>
          </w:p>
        </w:tc>
        <w:tc>
          <w:tcPr>
            <w:tcW w:type="dxa" w:w="1300"/>
          </w:tcPr>
          <w:p>
            <w:r>
              <w:t xml:space="preserve">Nonfunctional (Performance &amp; Security)</w:t>
            </w:r>
          </w:p>
        </w:tc>
        <w:tc>
          <w:tcPr>
            <w:tcW w:type="dxa" w:w="3200"/>
          </w:tcPr>
          <w:p>
            <w:r>
              <w:t xml:space="preserve">The system shall automatically release locked sockets and apply a penalty if the driver fails to plug in within 10 minutes of slot start.</w:t>
            </w:r>
          </w:p>
        </w:tc>
        <w:tc>
          <w:tcPr>
            <w:tcW w:type="dxa" w:w="800"/>
          </w:tcPr>
          <w:p>
            <w:r>
              <w:t xml:space="preserve">High</w:t>
            </w:r>
          </w:p>
        </w:tc>
        <w:tc>
          <w:tcPr>
            <w:tcW w:type="dxa" w:w="2340"/>
          </w:tcPr>
          <w:p>
            <w:r>
              <w:t xml:space="preserve">Pass: Benchmarking tests confirm target latency and security standards under simulated peak load.</w:t>
            </w:r>
          </w:p>
        </w:tc>
        <w:tc>
          <w:tcPr>
            <w:tcW w:type="dxa" w:w="2000"/>
          </w:tcPr>
          <w:p>
            <w:r>
              <w:t xml:space="preserve">Maximizes socket utilization and discourages no-shows.</w:t>
            </w:r>
          </w:p>
        </w:tc>
      </w:tr>
      <w:tr>
        <w:tc>
          <w:tcPr>
            <w:tcW w:type="dxa" w:w="800"/>
          </w:tcPr>
          <w:p>
            <w:r>
              <w:t xml:space="preserve">NFR-002</w:t>
            </w:r>
          </w:p>
        </w:tc>
        <w:tc>
          <w:tcPr>
            <w:tcW w:type="dxa" w:w="1300"/>
          </w:tcPr>
          <w:p>
            <w:r>
              <w:t xml:space="preserve">Nonfunctional (Reliability)</w:t>
            </w:r>
          </w:p>
        </w:tc>
        <w:tc>
          <w:tcPr>
            <w:tcW w:type="dxa" w:w="3200"/>
          </w:tcPr>
          <w:p>
            <w:r>
              <w:t xml:space="preserve">The system shall maintain 99.5% uptime for the reservation and payment services, measured monthly.</w:t>
            </w:r>
          </w:p>
        </w:tc>
        <w:tc>
          <w:tcPr>
            <w:tcW w:type="dxa" w:w="800"/>
          </w:tcPr>
          <w:p>
            <w:r>
              <w:t xml:space="preserve">High</w:t>
            </w:r>
          </w:p>
        </w:tc>
        <w:tc>
          <w:tcPr>
            <w:tcW w:type="dxa" w:w="2340"/>
          </w:tcPr>
          <w:p>
            <w:r>
              <w:t xml:space="preserve">A monthly uptime log shows &lt;= ~3.6 hours of unplanned downtime, verified via monitoring dashboard.</w:t>
            </w:r>
          </w:p>
        </w:tc>
        <w:tc>
          <w:tcPr>
            <w:tcW w:type="dxa" w:w="2000"/>
          </w:tcPr>
          <w:p>
            <w:r>
              <w:t xml:space="preserve">Drivers depend on the system for time-sensitive trip planning; downtime causes real-world stranding risk.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2026-08-27T09:11:09.741Z</dcterms:created>
  <dcterms:modified xsi:type="dcterms:W3CDTF">2026-08-27T09:11:09.742Z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