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rPr>
        <w:t>Department of Artificial Intelligence &amp; Machine Learning</w:t>
      </w:r>
    </w:p>
    <w:p>
      <w:pPr>
        <w:spacing w:before="0" w:after="360"/>
        <w:jc w:val="center"/>
      </w:pPr>
      <w:r>
        <w:rPr>
          <w:rFonts w:ascii="Times New Roman" w:hAnsi="Times New Roman"/>
          <w:b w:val="0"/>
          <w:i w:val="0"/>
          <w:sz w:val="24"/>
        </w:rPr>
        <w:t>Academic Year 2024-25 (EVEN)</w:t>
      </w:r>
    </w:p>
    <w:p>
      <w:pPr>
        <w:spacing w:before="0" w:after="40"/>
        <w:jc w:val="center"/>
      </w:pPr>
      <w:r>
        <w:rPr>
          <w:rFonts w:ascii="Times New Roman" w:hAnsi="Times New Roman"/>
          <w:b/>
          <w:i w:val="0"/>
          <w:sz w:val="26"/>
        </w:rPr>
        <w:t>Report</w:t>
      </w:r>
    </w:p>
    <w:p>
      <w:pPr>
        <w:spacing w:before="0" w:after="40"/>
        <w:jc w:val="center"/>
      </w:pPr>
      <w:r>
        <w:rPr>
          <w:rFonts w:ascii="Times New Roman" w:hAnsi="Times New Roman"/>
          <w:b w:val="0"/>
          <w:i w:val="0"/>
          <w:sz w:val="24"/>
        </w:rPr>
        <w:t>for</w:t>
      </w:r>
    </w:p>
    <w:p>
      <w:pPr>
        <w:spacing w:before="0" w:after="240"/>
        <w:jc w:val="center"/>
      </w:pPr>
      <w:r>
        <w:rPr>
          <w:rFonts w:ascii="Times New Roman" w:hAnsi="Times New Roman"/>
          <w:b/>
          <w:i w:val="0"/>
          <w:sz w:val="26"/>
        </w:rPr>
        <w:t>Mini Project-I (24AIM48)</w:t>
      </w:r>
    </w:p>
    <w:p>
      <w:pPr>
        <w:spacing w:before="0" w:after="120"/>
        <w:jc w:val="center"/>
      </w:pPr>
      <w:r>
        <w:rPr>
          <w:rFonts w:ascii="Times New Roman" w:hAnsi="Times New Roman"/>
          <w:b w:val="0"/>
          <w:i w:val="0"/>
          <w:sz w:val="24"/>
        </w:rPr>
        <w:t>On</w:t>
      </w:r>
    </w:p>
    <w:p>
      <w:pPr>
        <w:spacing w:before="120" w:after="360"/>
        <w:jc w:val="center"/>
      </w:pPr>
      <w:r>
        <w:rPr>
          <w:rFonts w:ascii="Times New Roman" w:hAnsi="Times New Roman"/>
          <w:b/>
          <w:i w:val="0"/>
          <w:color w:val="00467F"/>
          <w:sz w:val="32"/>
        </w:rPr>
        <w:t>MediAssist AI: A Safety-Aware Healthcare Triage and Assistance Framework</w:t>
      </w:r>
    </w:p>
    <w:p>
      <w:pPr>
        <w:spacing w:before="0" w:after="200"/>
        <w:jc w:val="center"/>
      </w:pPr>
      <w:r>
        <w:rPr>
          <w:rFonts w:ascii="Times New Roman" w:hAnsi="Times New Roman"/>
          <w:b w:val="0"/>
          <w:i w:val="0"/>
          <w:sz w:val="24"/>
        </w:rPr>
        <w:t>By</w:t>
      </w:r>
    </w:p>
    <w:tbl>
      <w:tblPr>
        <w:tblStyle w:val="TableGrid"/>
        <w:tblW w:type="auto" w:w="0"/>
        <w:tblLook w:firstColumn="1" w:firstRow="1" w:lastColumn="0" w:lastRow="0" w:noHBand="0" w:noVBand="1" w:val="04A0"/>
      </w:tblPr>
      <w:tblGrid>
        <w:gridCol w:w="4334"/>
        <w:gridCol w:w="4334"/>
      </w:tblGrid>
      <w:tr>
        <w:tc>
          <w:tcPr>
            <w:tcW w:type="dxa" w:w="4334"/>
          </w:tcPr>
          <w:p>
            <w:pPr>
              <w:jc w:val="center"/>
            </w:pPr>
            <w:r>
              <w:rPr>
                <w:rFonts w:ascii="Times New Roman" w:hAnsi="Times New Roman"/>
                <w:b/>
                <w:i w:val="0"/>
                <w:sz w:val="24"/>
              </w:rPr>
              <w:t>Name</w:t>
            </w:r>
          </w:p>
        </w:tc>
        <w:tc>
          <w:tcPr>
            <w:tcW w:type="dxa" w:w="4334"/>
          </w:tcPr>
          <w:p>
            <w:pPr>
              <w:jc w:val="center"/>
            </w:pPr>
            <w:r>
              <w:rPr>
                <w:rFonts w:ascii="Times New Roman" w:hAnsi="Times New Roman"/>
                <w:b/>
                <w:i w:val="0"/>
                <w:sz w:val="24"/>
              </w:rPr>
              <w:t>USN</w:t>
            </w:r>
          </w:p>
        </w:tc>
      </w:tr>
      <w:tr>
        <w:tc>
          <w:tcPr>
            <w:tcW w:type="dxa" w:w="4334"/>
          </w:tcPr>
          <w:p>
            <w:pPr>
              <w:jc w:val="center"/>
            </w:pPr>
            <w:r>
              <w:rPr>
                <w:rFonts w:ascii="Times New Roman" w:hAnsi="Times New Roman"/>
                <w:b w:val="0"/>
                <w:i w:val="0"/>
                <w:sz w:val="24"/>
              </w:rPr>
              <w:t>Adithya K</w:t>
            </w:r>
          </w:p>
        </w:tc>
        <w:tc>
          <w:tcPr>
            <w:tcW w:type="dxa" w:w="4334"/>
          </w:tcPr>
          <w:p>
            <w:pPr>
              <w:jc w:val="center"/>
            </w:pPr>
            <w:r>
              <w:rPr>
                <w:rFonts w:ascii="Times New Roman" w:hAnsi="Times New Roman"/>
                <w:b w:val="0"/>
                <w:i w:val="0"/>
                <w:sz w:val="24"/>
              </w:rPr>
              <w:t>1NH22AI006</w:t>
            </w:r>
          </w:p>
        </w:tc>
      </w:tr>
    </w:tbl>
    <w:p>
      <w:pPr>
        <w:spacing w:before="0" w:after="240"/>
        <w:jc w:val="both"/>
      </w:pPr>
    </w:p>
    <w:p>
      <w:pPr>
        <w:spacing w:before="0" w:after="80"/>
        <w:jc w:val="center"/>
      </w:pPr>
      <w:r>
        <w:rPr>
          <w:rFonts w:ascii="Times New Roman" w:hAnsi="Times New Roman"/>
          <w:b w:val="0"/>
          <w:i w:val="0"/>
          <w:sz w:val="24"/>
        </w:rPr>
        <w:t>Under the Guidance of</w:t>
      </w:r>
    </w:p>
    <w:p>
      <w:pPr>
        <w:spacing w:before="0" w:after="40"/>
        <w:jc w:val="center"/>
      </w:pPr>
      <w:r>
        <w:rPr>
          <w:rFonts w:ascii="Times New Roman" w:hAnsi="Times New Roman"/>
          <w:b/>
          <w:i w:val="0"/>
          <w:sz w:val="26"/>
        </w:rPr>
        <w:t>Prof. [Guide Name]</w:t>
      </w:r>
    </w:p>
    <w:p>
      <w:pPr>
        <w:spacing w:before="0" w:after="40"/>
        <w:jc w:val="center"/>
      </w:pPr>
      <w:r>
        <w:rPr>
          <w:rFonts w:ascii="Times New Roman" w:hAnsi="Times New Roman"/>
          <w:b w:val="0"/>
          <w:i w:val="0"/>
          <w:sz w:val="24"/>
        </w:rPr>
        <w:t>Assistant Professor</w:t>
      </w:r>
    </w:p>
    <w:p>
      <w:pPr>
        <w:spacing w:before="0" w:after="40"/>
        <w:jc w:val="center"/>
      </w:pPr>
      <w:r>
        <w:rPr>
          <w:rFonts w:ascii="Times New Roman" w:hAnsi="Times New Roman"/>
          <w:b w:val="0"/>
          <w:i w:val="0"/>
          <w:sz w:val="24"/>
        </w:rPr>
        <w:t>Dept. of Artificial Intelligence &amp; Machine Learning</w:t>
      </w:r>
    </w:p>
    <w:p>
      <w:pPr>
        <w:spacing w:before="0" w:after="480"/>
        <w:jc w:val="center"/>
      </w:pPr>
      <w:r>
        <w:rPr>
          <w:rFonts w:ascii="Times New Roman" w:hAnsi="Times New Roman"/>
          <w:b w:val="0"/>
          <w:i w:val="0"/>
          <w:sz w:val="24"/>
        </w:rPr>
        <w:t>New Horizon College of Engineering, Bangalore – 560103</w:t>
      </w:r>
    </w:p>
    <w:p>
      <w:pPr>
        <w:jc w:val="center"/>
        <w:pBdr>
          <w:bottom w:val="single" w:sz="6" w:space="1" w:color="000000"/>
        </w:pBdr>
      </w:pPr>
    </w:p>
    <w:p>
      <w:pPr>
        <w:spacing w:before="120" w:after="40"/>
        <w:jc w:val="center"/>
      </w:pPr>
      <w:r>
        <w:rPr>
          <w:rFonts w:ascii="Times New Roman" w:hAnsi="Times New Roman"/>
          <w:b/>
          <w:i w:val="0"/>
          <w:sz w:val="24"/>
        </w:rPr>
        <w:t>Department of Artificial Intelligence &amp; Machine Learning</w:t>
      </w:r>
    </w:p>
    <w:p>
      <w:pPr>
        <w:spacing w:before="0" w:after="40"/>
        <w:jc w:val="center"/>
      </w:pPr>
      <w:r>
        <w:rPr>
          <w:rFonts w:ascii="Times New Roman" w:hAnsi="Times New Roman"/>
          <w:b w:val="0"/>
          <w:i w:val="0"/>
          <w:sz w:val="24"/>
        </w:rPr>
        <w:t>New Horizon College of Engineering</w:t>
      </w:r>
    </w:p>
    <w:p>
      <w:pPr>
        <w:spacing w:before="0" w:after="0"/>
        <w:jc w:val="center"/>
      </w:pPr>
      <w:r>
        <w:rPr>
          <w:rFonts w:ascii="Times New Roman" w:hAnsi="Times New Roman"/>
          <w:b w:val="0"/>
          <w:i w:val="0"/>
          <w:sz w:val="24"/>
        </w:rPr>
        <w:t>Bangalore – 560103</w:t>
      </w:r>
    </w:p>
    <w:p>
      <w:r>
        <w:br w:type="page"/>
      </w:r>
    </w:p>
    <w:p>
      <w:pPr>
        <w:spacing w:before="0" w:after="160"/>
        <w:jc w:val="center"/>
      </w:pPr>
      <w:r>
        <w:rPr>
          <w:rFonts w:ascii="Times New Roman" w:hAnsi="Times New Roman"/>
          <w:b/>
          <w:i w:val="0"/>
          <w:sz w:val="32"/>
          <w:u w:val="single"/>
        </w:rPr>
        <w:t>CERTIFICATE</w:t>
      </w:r>
    </w:p>
    <w:p>
      <w:pPr>
        <w:spacing w:before="0" w:after="120"/>
        <w:jc w:val="both"/>
      </w:pPr>
    </w:p>
    <w:p>
      <w:pPr>
        <w:spacing w:before="120" w:after="360" w:line="360" w:lineRule="exact"/>
        <w:jc w:val="both"/>
      </w:pPr>
      <w:r>
        <w:rPr>
          <w:rFonts w:ascii="Times New Roman" w:hAnsi="Times New Roman"/>
          <w:b w:val="0"/>
          <w:i w:val="0"/>
          <w:sz w:val="24"/>
        </w:rPr>
        <w:t>Certified that the Mini Project-I with subject code 24AIM48, entitled "MediAssist AI: A Safety-Aware Healthcare Triage and Assistance Framework" is carried out by Mr. Adithya K (USN: 1NH22AI006) in partial fulfilment of the requirements for the award of the degree of Bachelor of Engineering in Artificial Intelligence &amp; Machine Learning at New Horizon College of Engineering, Bangalore, affiliated to Visvesvaraya Technological University, Belagavi, during the Academic Year 2024-25 (Even Semester). It is certified that all corrections and suggestions indicated for internal assessment have been incorporated in the report. The project report has been approved as it satisfies the academic requirements in respect of the Mini Project work prescribed for the Bachelor of Engineering degree.</w:t>
      </w:r>
    </w:p>
    <w:tbl>
      <w:tblPr>
        <w:tblW w:type="auto" w:w="0"/>
        <w:tblLook w:firstColumn="1" w:firstRow="1" w:lastColumn="0" w:lastRow="0" w:noHBand="0" w:noVBand="1" w:val="04A0"/>
      </w:tblPr>
      <w:tblGrid>
        <w:gridCol w:w="4334"/>
        <w:gridCol w:w="4334"/>
      </w:tblGrid>
      <w:tr>
        <w:tc>
          <w:tcPr>
            <w:tcW w:type="dxa" w:w="4334"/>
          </w:tcPr>
          <w:p>
            <w:r>
              <w:rPr>
                <w:rFonts w:ascii="Times New Roman" w:hAnsi="Times New Roman"/>
                <w:b/>
                <w:i w:val="0"/>
                <w:sz w:val="24"/>
              </w:rPr>
              <w:t>Prof. [Guide Name]</w:t>
            </w:r>
          </w:p>
        </w:tc>
        <w:tc>
          <w:tcPr>
            <w:tcW w:type="dxa" w:w="4334"/>
          </w:tcPr>
          <w:p>
            <w:r>
              <w:rPr>
                <w:rFonts w:ascii="Times New Roman" w:hAnsi="Times New Roman"/>
                <w:b/>
                <w:i w:val="0"/>
                <w:sz w:val="24"/>
              </w:rPr>
              <w:t>Dr. N. V. Uma Reddy</w:t>
            </w:r>
          </w:p>
        </w:tc>
      </w:tr>
      <w:tr>
        <w:tc>
          <w:tcPr>
            <w:tcW w:type="dxa" w:w="4334"/>
          </w:tcPr>
          <w:p>
            <w:r>
              <w:rPr>
                <w:rFonts w:ascii="Times New Roman" w:hAnsi="Times New Roman"/>
                <w:b w:val="0"/>
                <w:i w:val="0"/>
                <w:sz w:val="24"/>
              </w:rPr>
              <w:t>Internal Guide</w:t>
            </w:r>
          </w:p>
        </w:tc>
        <w:tc>
          <w:tcPr>
            <w:tcW w:type="dxa" w:w="4334"/>
          </w:tcPr>
          <w:p>
            <w:r>
              <w:rPr>
                <w:rFonts w:ascii="Times New Roman" w:hAnsi="Times New Roman"/>
                <w:b w:val="0"/>
                <w:i w:val="0"/>
                <w:sz w:val="24"/>
              </w:rPr>
              <w:t>Professor &amp; Head of Department</w:t>
            </w:r>
          </w:p>
        </w:tc>
      </w:tr>
      <w:tr>
        <w:tc>
          <w:tcPr>
            <w:tcW w:type="dxa" w:w="4334"/>
          </w:tcPr>
          <w:p>
            <w:r>
              <w:rPr>
                <w:rFonts w:ascii="Times New Roman" w:hAnsi="Times New Roman"/>
                <w:b w:val="0"/>
                <w:i w:val="0"/>
                <w:sz w:val="24"/>
              </w:rPr>
              <w:t>Dept. of AI &amp; ML, NHCE</w:t>
            </w:r>
          </w:p>
        </w:tc>
        <w:tc>
          <w:tcPr>
            <w:tcW w:type="dxa" w:w="4334"/>
          </w:tcPr>
          <w:p>
            <w:r>
              <w:rPr>
                <w:rFonts w:ascii="Times New Roman" w:hAnsi="Times New Roman"/>
                <w:b w:val="0"/>
                <w:i w:val="0"/>
                <w:sz w:val="24"/>
              </w:rPr>
              <w:t>Dept. of AI &amp; ML, NHCE</w:t>
            </w:r>
          </w:p>
        </w:tc>
      </w:tr>
    </w:tbl>
    <w:p>
      <w:pPr>
        <w:spacing w:before="0" w:after="400"/>
        <w:jc w:val="both"/>
      </w:pPr>
    </w:p>
    <w:p>
      <w:pPr>
        <w:spacing w:before="0" w:after="120"/>
        <w:jc w:val="both"/>
      </w:pPr>
      <w:r>
        <w:rPr>
          <w:rFonts w:ascii="Times New Roman" w:hAnsi="Times New Roman"/>
          <w:b/>
          <w:i w:val="0"/>
          <w:sz w:val="24"/>
        </w:rPr>
        <w:t>External Viva Examiner:</w:t>
      </w:r>
    </w:p>
    <w:p>
      <w:pPr>
        <w:spacing w:before="0" w:after="120"/>
        <w:jc w:val="both"/>
      </w:pPr>
      <w:r>
        <w:rPr>
          <w:rFonts w:ascii="Times New Roman" w:hAnsi="Times New Roman"/>
          <w:b w:val="0"/>
          <w:i w:val="0"/>
          <w:sz w:val="24"/>
        </w:rPr>
        <w:t>1.  ____________________________       Signature with Date: ____________</w:t>
      </w:r>
    </w:p>
    <w:p>
      <w:pPr>
        <w:spacing w:before="0" w:after="0"/>
        <w:jc w:val="both"/>
      </w:pPr>
      <w:r>
        <w:rPr>
          <w:rFonts w:ascii="Times New Roman" w:hAnsi="Times New Roman"/>
          <w:b w:val="0"/>
          <w:i w:val="0"/>
          <w:sz w:val="24"/>
        </w:rPr>
        <w:t>2.  ____________________________       Signature with Date: ____________</w:t>
      </w:r>
    </w:p>
    <w:p>
      <w:r>
        <w:br w:type="page"/>
      </w:r>
    </w:p>
    <w:p>
      <w:pPr>
        <w:spacing w:before="0" w:after="160"/>
        <w:jc w:val="center"/>
      </w:pPr>
      <w:r>
        <w:rPr>
          <w:rFonts w:ascii="Times New Roman" w:hAnsi="Times New Roman"/>
          <w:b/>
          <w:i w:val="0"/>
          <w:sz w:val="32"/>
          <w:u w:val="single"/>
        </w:rPr>
        <w:t>ACKNOWLEDGEMENT</w:t>
      </w:r>
    </w:p>
    <w:p>
      <w:pPr>
        <w:spacing w:before="0" w:after="120"/>
        <w:jc w:val="both"/>
      </w:pPr>
    </w:p>
    <w:p>
      <w:pPr>
        <w:spacing w:before="0" w:after="200" w:line="360" w:lineRule="exact"/>
        <w:jc w:val="both"/>
      </w:pPr>
      <w:r>
        <w:rPr>
          <w:rFonts w:ascii="Times New Roman" w:hAnsi="Times New Roman"/>
          <w:b w:val="0"/>
          <w:i w:val="0"/>
          <w:sz w:val="24"/>
        </w:rPr>
        <w:t>The satisfaction that accompanies the successful completion of any task would be incomplete without mentioning the people whose constant guidance and encouragement made it possible. I feel privileged to express my gratitude to everyone who contributed to this project.</w:t>
      </w:r>
    </w:p>
    <w:p>
      <w:pPr>
        <w:spacing w:before="0" w:after="200" w:line="360" w:lineRule="exact"/>
        <w:jc w:val="both"/>
      </w:pPr>
      <w:r>
        <w:rPr>
          <w:rFonts w:ascii="Times New Roman" w:hAnsi="Times New Roman"/>
          <w:b w:val="0"/>
          <w:i w:val="0"/>
          <w:sz w:val="24"/>
        </w:rPr>
        <w:t>I am deeply grateful to Dr. Mohan Manghnani, Chairman, New Horizon Educational Institutions, for providing the infrastructure and academic environment necessary for conducting this work.</w:t>
      </w:r>
    </w:p>
    <w:p>
      <w:pPr>
        <w:spacing w:before="0" w:after="200" w:line="360" w:lineRule="exact"/>
        <w:jc w:val="both"/>
      </w:pPr>
      <w:r>
        <w:rPr>
          <w:rFonts w:ascii="Times New Roman" w:hAnsi="Times New Roman"/>
          <w:b w:val="0"/>
          <w:i w:val="0"/>
          <w:sz w:val="24"/>
        </w:rPr>
        <w:t>I sincerely thank Dr. Manjunatha, Principal, New Horizon College of Engineering, for his leadership and for fostering a culture of innovation and technical excellence within the institution.</w:t>
      </w:r>
    </w:p>
    <w:p>
      <w:pPr>
        <w:spacing w:before="0" w:after="200" w:line="360" w:lineRule="exact"/>
        <w:jc w:val="both"/>
      </w:pPr>
      <w:r>
        <w:rPr>
          <w:rFonts w:ascii="Times New Roman" w:hAnsi="Times New Roman"/>
          <w:b w:val="0"/>
          <w:i w:val="0"/>
          <w:sz w:val="24"/>
        </w:rPr>
        <w:t>I extend my heartfelt appreciation to Dr. N. V. Uma Reddy, Professor and Head of Department, Dept. of AI &amp; ML, for her continuous academic guidance, constructive feedback, and encouragement throughout this project.</w:t>
      </w:r>
    </w:p>
    <w:p>
      <w:pPr>
        <w:spacing w:before="0" w:after="200" w:line="360" w:lineRule="exact"/>
        <w:jc w:val="both"/>
      </w:pPr>
      <w:r>
        <w:rPr>
          <w:rFonts w:ascii="Times New Roman" w:hAnsi="Times New Roman"/>
          <w:b w:val="0"/>
          <w:i w:val="0"/>
          <w:sz w:val="24"/>
        </w:rPr>
        <w:t>I would like to express my profound gratitude to my project guide, Prof. [Guide Name], Department of AI &amp; ML, New Horizon College of Engineering, for providing invaluable technical direction, reviewing progress at each stage, and helping me refine the safety-aware design philosophy that forms the core of this project.</w:t>
      </w:r>
    </w:p>
    <w:p>
      <w:pPr>
        <w:spacing w:before="0" w:after="200" w:line="360" w:lineRule="exact"/>
        <w:jc w:val="both"/>
      </w:pPr>
      <w:r>
        <w:rPr>
          <w:rFonts w:ascii="Times New Roman" w:hAnsi="Times New Roman"/>
          <w:b w:val="0"/>
          <w:i w:val="0"/>
          <w:sz w:val="24"/>
        </w:rPr>
        <w:t>I am also thankful to all the faculty members of the Department of Artificial Intelligence &amp; Machine Learning for their support and helpful discussions. Their insights into healthcare AI, responsible design, and machine learning evaluation contributed meaningfully to the depth of this work.</w:t>
      </w:r>
    </w:p>
    <w:p>
      <w:pPr>
        <w:spacing w:before="0" w:after="200" w:line="360" w:lineRule="exact"/>
        <w:jc w:val="both"/>
      </w:pPr>
      <w:r>
        <w:rPr>
          <w:rFonts w:ascii="Times New Roman" w:hAnsi="Times New Roman"/>
          <w:b w:val="0"/>
          <w:i w:val="0"/>
          <w:sz w:val="24"/>
        </w:rPr>
        <w:t>Finally, I am grateful to my family and peers for their patience and moral support during the course of this project.</w:t>
      </w:r>
    </w:p>
    <w:p>
      <w:pPr>
        <w:spacing w:before="0" w:after="200" w:line="360" w:lineRule="exact"/>
        <w:jc w:val="both"/>
      </w:pPr>
      <w:r>
        <w:rPr>
          <w:rFonts w:ascii="Times New Roman" w:hAnsi="Times New Roman"/>
          <w:b w:val="0"/>
          <w:i w:val="0"/>
          <w:sz w:val="24"/>
        </w:rPr>
        <w:t xml:space="preserve">                                                                        Adithya K</w:t>
        <w:br/>
        <w:t xml:space="preserve">                                                                 1NH22AI006</w:t>
        <w:br/>
        <w:t xml:space="preserve">                                                     Dept. of AI &amp; ML, NHCE</w:t>
      </w:r>
    </w:p>
    <w:p>
      <w:r>
        <w:br w:type="page"/>
      </w:r>
    </w:p>
    <w:p>
      <w:pPr>
        <w:spacing w:before="0" w:after="160"/>
        <w:jc w:val="center"/>
      </w:pPr>
      <w:r>
        <w:rPr>
          <w:rFonts w:ascii="Times New Roman" w:hAnsi="Times New Roman"/>
          <w:b/>
          <w:i w:val="0"/>
          <w:sz w:val="32"/>
          <w:u w:val="single"/>
        </w:rPr>
        <w:t>ABSTRACT</w:t>
      </w:r>
    </w:p>
    <w:p>
      <w:pPr>
        <w:spacing w:before="0" w:after="120"/>
        <w:jc w:val="both"/>
      </w:pPr>
    </w:p>
    <w:p>
      <w:pPr>
        <w:spacing w:before="0" w:after="200" w:line="360" w:lineRule="exact"/>
        <w:jc w:val="both"/>
      </w:pPr>
      <w:r>
        <w:rPr>
          <w:rFonts w:ascii="Times New Roman" w:hAnsi="Times New Roman"/>
          <w:b w:val="0"/>
          <w:i w:val="0"/>
          <w:sz w:val="24"/>
        </w:rPr>
        <w:t>Healthcare AI systems that rely purely on probabilistic machine learning models carry an inherent risk when deployed for symptom analysis: the statistical nature of such models can produce medically unsafe outputs, particularly when life-threatening symptoms are statistically similar to benign conditions in the training data. This project presents MediAssist AI, a safety-aware healthcare triage and assistance framework designed to address this limitation through a hybrid, defence-in-depth architecture.</w:t>
        <w:br/>
        <w:br/>
        <w:t>MediAssist AI combines classical machine learning—specifically TF-IDF vectorisation paired with Logistic Regression and Naive Bayes—with a deterministic Emergency Safety Override Layer and a Medical Consistency Validator that operates as a post-prediction safety gate. The core thesis of this work is that healthcare AI must treat safety and predictive accuracy as separate, independently verifiable architectural layers rather than conflating them into a single statistical model.</w:t>
        <w:br/>
        <w:br/>
        <w:t>The Emergency Safety Override Layer intercepts critical symptom patterns—such as stroke indicators, respiratory distress, hemorrhagic warnings, and cardiac emergencies—before any machine learning inference occurs, ensuring that life-threatening conditions are always escalated to professional medical attention regardless of model confidence. The Medical Consistency Validator then applies category-aware confidence penalties to suppress predictions that are medically implausible given the user's stated symptoms.</w:t>
        <w:br/>
        <w:br/>
        <w:t>A 500-case validation suite was developed to quantify system performance using healthcare-specific safety metrics: Emergency Escalation Accuracy (EEA), Missed Emergency Rate (MER), and Unsafe Prediction Rate (UPR). The system achieved an EEA of 100%, MER of 0%, and UPR of 0% across all test cases. The Logistic Regression model achieved 84.36% Top-1 accuracy and 95.78% Top-3 accuracy on a dataset of 163,727 symptom-disease instances spanning over 260 disease categories.</w:t>
        <w:br/>
        <w:br/>
        <w:t>The frontend is implemented using Streamlit with a glassmorphism design language, providing severity-aware UI elements, confidence normalisation displays, and high-contrast emergency escalation banners. The system is designed as a preliminary triage assistant and explicitly positions itself as a guide for seeking professional medical care, not as a diagnostic replacement.</w:t>
      </w:r>
    </w:p>
    <w:p>
      <w:pPr>
        <w:spacing w:before="0" w:after="200"/>
        <w:jc w:val="both"/>
      </w:pPr>
    </w:p>
    <w:p>
      <w:pPr>
        <w:spacing w:before="0" w:after="120"/>
        <w:jc w:val="both"/>
      </w:pPr>
      <w:r>
        <w:rPr>
          <w:rFonts w:ascii="Times New Roman" w:hAnsi="Times New Roman"/>
          <w:b w:val="0"/>
          <w:i/>
          <w:sz w:val="22"/>
        </w:rPr>
        <w:t>Keywords: Healthcare AI, Safety-Aware Triage, Emergency Detection, TF-IDF, Logistic Regression, Medical Consistency Validation, Uncertainty Estimation, Responsible AI</w:t>
      </w:r>
    </w:p>
    <w:p>
      <w:r>
        <w:br w:type="page"/>
      </w:r>
    </w:p>
    <w:p>
      <w:pPr>
        <w:spacing w:before="0" w:after="160"/>
        <w:jc w:val="center"/>
      </w:pPr>
      <w:r>
        <w:rPr>
          <w:rFonts w:ascii="Times New Roman" w:hAnsi="Times New Roman"/>
          <w:b/>
          <w:i w:val="0"/>
          <w:sz w:val="32"/>
          <w:u w:val="single"/>
        </w:rPr>
        <w:t>TABLE OF CONTENTS</w:t>
      </w:r>
    </w:p>
    <w:p>
      <w:pPr>
        <w:spacing w:before="0" w:after="120"/>
        <w:jc w:val="both"/>
      </w:pPr>
    </w:p>
    <w:p>
      <w:pPr>
        <w:tabs>
          <w:tab w:pos="7920" w:val="right"/>
        </w:tabs>
        <w:spacing w:before="40" w:after="80"/>
      </w:pPr>
      <w:r>
        <w:rPr>
          <w:rFonts w:ascii="Times New Roman" w:hAnsi="Times New Roman"/>
          <w:b/>
          <w:i w:val="0"/>
          <w:sz w:val="24"/>
        </w:rPr>
        <w:t>Chapter / Section</w:t>
      </w:r>
      <w:r>
        <w:rPr>
          <w:rFonts w:ascii="Times New Roman" w:hAnsi="Times New Roman"/>
          <w:b/>
          <w:i w:val="0"/>
          <w:sz w:val="24"/>
        </w:rPr>
        <w:tab/>
        <w:t>Page No.</w:t>
      </w:r>
    </w:p>
    <w:p>
      <w:pPr>
        <w:jc w:val="center"/>
        <w:pBdr>
          <w:bottom w:val="single" w:sz="6" w:space="1" w:color="000000"/>
        </w:pBdr>
      </w:pPr>
    </w:p>
    <w:p>
      <w:pPr>
        <w:tabs>
          <w:tab w:pos="7920" w:val="right"/>
        </w:tabs>
        <w:spacing w:before="20" w:after="60"/>
        <w:ind w:left="0"/>
      </w:pPr>
      <w:r>
        <w:rPr>
          <w:rFonts w:ascii="Times New Roman" w:hAnsi="Times New Roman"/>
          <w:b/>
          <w:i w:val="0"/>
          <w:sz w:val="24"/>
        </w:rPr>
        <w:t>Title Page</w:t>
      </w:r>
      <w:r>
        <w:rPr>
          <w:rFonts w:ascii="Times New Roman" w:hAnsi="Times New Roman"/>
          <w:b w:val="0"/>
          <w:i w:val="0"/>
          <w:sz w:val="24"/>
        </w:rPr>
        <w:tab/>
        <w:t>i</w:t>
      </w:r>
    </w:p>
    <w:p>
      <w:pPr>
        <w:tabs>
          <w:tab w:pos="7920" w:val="right"/>
        </w:tabs>
        <w:spacing w:before="20" w:after="60"/>
        <w:ind w:left="0"/>
      </w:pPr>
      <w:r>
        <w:rPr>
          <w:rFonts w:ascii="Times New Roman" w:hAnsi="Times New Roman"/>
          <w:b/>
          <w:i w:val="0"/>
          <w:sz w:val="24"/>
        </w:rPr>
        <w:t>Certificate</w:t>
      </w:r>
      <w:r>
        <w:rPr>
          <w:rFonts w:ascii="Times New Roman" w:hAnsi="Times New Roman"/>
          <w:b w:val="0"/>
          <w:i w:val="0"/>
          <w:sz w:val="24"/>
        </w:rPr>
        <w:tab/>
        <w:t>ii</w:t>
      </w:r>
    </w:p>
    <w:p>
      <w:pPr>
        <w:tabs>
          <w:tab w:pos="7920" w:val="right"/>
        </w:tabs>
        <w:spacing w:before="20" w:after="60"/>
        <w:ind w:left="0"/>
      </w:pPr>
      <w:r>
        <w:rPr>
          <w:rFonts w:ascii="Times New Roman" w:hAnsi="Times New Roman"/>
          <w:b/>
          <w:i w:val="0"/>
          <w:sz w:val="24"/>
        </w:rPr>
        <w:t>Acknowledgement</w:t>
      </w:r>
      <w:r>
        <w:rPr>
          <w:rFonts w:ascii="Times New Roman" w:hAnsi="Times New Roman"/>
          <w:b w:val="0"/>
          <w:i w:val="0"/>
          <w:sz w:val="24"/>
        </w:rPr>
        <w:tab/>
        <w:t>iii</w:t>
      </w:r>
    </w:p>
    <w:p>
      <w:pPr>
        <w:tabs>
          <w:tab w:pos="7920" w:val="right"/>
        </w:tabs>
        <w:spacing w:before="20" w:after="60"/>
        <w:ind w:left="0"/>
      </w:pPr>
      <w:r>
        <w:rPr>
          <w:rFonts w:ascii="Times New Roman" w:hAnsi="Times New Roman"/>
          <w:b/>
          <w:i w:val="0"/>
          <w:sz w:val="24"/>
        </w:rPr>
        <w:t>Abstract</w:t>
      </w:r>
      <w:r>
        <w:rPr>
          <w:rFonts w:ascii="Times New Roman" w:hAnsi="Times New Roman"/>
          <w:b w:val="0"/>
          <w:i w:val="0"/>
          <w:sz w:val="24"/>
        </w:rPr>
        <w:tab/>
        <w:t>iv</w:t>
      </w:r>
    </w:p>
    <w:p>
      <w:pPr>
        <w:tabs>
          <w:tab w:pos="7920" w:val="right"/>
        </w:tabs>
        <w:spacing w:before="20" w:after="60"/>
        <w:ind w:left="0"/>
      </w:pPr>
      <w:r>
        <w:rPr>
          <w:rFonts w:ascii="Times New Roman" w:hAnsi="Times New Roman"/>
          <w:b/>
          <w:i w:val="0"/>
          <w:sz w:val="24"/>
        </w:rPr>
        <w:t>Table of Contents</w:t>
      </w:r>
      <w:r>
        <w:rPr>
          <w:rFonts w:ascii="Times New Roman" w:hAnsi="Times New Roman"/>
          <w:b w:val="0"/>
          <w:i w:val="0"/>
          <w:sz w:val="24"/>
        </w:rPr>
        <w:tab/>
        <w:t>v</w:t>
      </w:r>
    </w:p>
    <w:p>
      <w:pPr>
        <w:tabs>
          <w:tab w:pos="7920" w:val="right"/>
        </w:tabs>
        <w:spacing w:before="20" w:after="60"/>
        <w:ind w:left="0"/>
      </w:pPr>
      <w:r>
        <w:rPr>
          <w:rFonts w:ascii="Times New Roman" w:hAnsi="Times New Roman"/>
          <w:b/>
          <w:i w:val="0"/>
          <w:sz w:val="24"/>
        </w:rPr>
        <w:t>List of Figures</w:t>
      </w:r>
      <w:r>
        <w:rPr>
          <w:rFonts w:ascii="Times New Roman" w:hAnsi="Times New Roman"/>
          <w:b w:val="0"/>
          <w:i w:val="0"/>
          <w:sz w:val="24"/>
        </w:rPr>
        <w:tab/>
        <w:t>vi</w:t>
      </w:r>
    </w:p>
    <w:p>
      <w:pPr>
        <w:tabs>
          <w:tab w:pos="7920" w:val="right"/>
        </w:tabs>
        <w:spacing w:before="20" w:after="60"/>
        <w:ind w:left="0"/>
      </w:pPr>
      <w:r>
        <w:rPr>
          <w:rFonts w:ascii="Times New Roman" w:hAnsi="Times New Roman"/>
          <w:b/>
          <w:i w:val="0"/>
          <w:sz w:val="24"/>
        </w:rPr>
        <w:t>List of Tables</w:t>
      </w:r>
      <w:r>
        <w:rPr>
          <w:rFonts w:ascii="Times New Roman" w:hAnsi="Times New Roman"/>
          <w:b w:val="0"/>
          <w:i w:val="0"/>
          <w:sz w:val="24"/>
        </w:rPr>
        <w:tab/>
        <w:t>vii</w:t>
      </w:r>
    </w:p>
    <w:p>
      <w:pPr>
        <w:tabs>
          <w:tab w:pos="7920" w:val="right"/>
        </w:tabs>
        <w:spacing w:before="20" w:after="60"/>
        <w:ind w:left="0"/>
      </w:pPr>
      <w:r>
        <w:rPr>
          <w:rFonts w:ascii="Times New Roman" w:hAnsi="Times New Roman"/>
          <w:b/>
          <w:i w:val="0"/>
          <w:sz w:val="24"/>
        </w:rPr>
        <w:t>1  Introduction</w:t>
      </w:r>
      <w:r>
        <w:rPr>
          <w:rFonts w:ascii="Times New Roman" w:hAnsi="Times New Roman"/>
          <w:b w:val="0"/>
          <w:i w:val="0"/>
          <w:sz w:val="24"/>
        </w:rPr>
        <w:tab/>
        <w:t>1</w:t>
      </w:r>
    </w:p>
    <w:p>
      <w:pPr>
        <w:tabs>
          <w:tab w:pos="7920" w:val="right"/>
        </w:tabs>
        <w:spacing w:before="20" w:after="60"/>
        <w:ind w:left="360"/>
      </w:pPr>
      <w:r>
        <w:rPr>
          <w:rFonts w:ascii="Times New Roman" w:hAnsi="Times New Roman"/>
          <w:b w:val="0"/>
          <w:i w:val="0"/>
          <w:sz w:val="22"/>
        </w:rPr>
        <w:t>1.1  Background and Motivation</w:t>
      </w:r>
      <w:r>
        <w:rPr>
          <w:rFonts w:ascii="Times New Roman" w:hAnsi="Times New Roman"/>
          <w:b w:val="0"/>
          <w:i w:val="0"/>
          <w:sz w:val="22"/>
        </w:rPr>
        <w:tab/>
        <w:t>1</w:t>
      </w:r>
    </w:p>
    <w:p>
      <w:pPr>
        <w:tabs>
          <w:tab w:pos="7920" w:val="right"/>
        </w:tabs>
        <w:spacing w:before="20" w:after="60"/>
        <w:ind w:left="360"/>
      </w:pPr>
      <w:r>
        <w:rPr>
          <w:rFonts w:ascii="Times New Roman" w:hAnsi="Times New Roman"/>
          <w:b w:val="0"/>
          <w:i w:val="0"/>
          <w:sz w:val="22"/>
        </w:rPr>
        <w:t>1.2  Problem Statement Overview</w:t>
      </w:r>
      <w:r>
        <w:rPr>
          <w:rFonts w:ascii="Times New Roman" w:hAnsi="Times New Roman"/>
          <w:b w:val="0"/>
          <w:i w:val="0"/>
          <w:sz w:val="22"/>
        </w:rPr>
        <w:tab/>
        <w:t>2</w:t>
      </w:r>
    </w:p>
    <w:p>
      <w:pPr>
        <w:tabs>
          <w:tab w:pos="7920" w:val="right"/>
        </w:tabs>
        <w:spacing w:before="20" w:after="60"/>
        <w:ind w:left="360"/>
      </w:pPr>
      <w:r>
        <w:rPr>
          <w:rFonts w:ascii="Times New Roman" w:hAnsi="Times New Roman"/>
          <w:b w:val="0"/>
          <w:i w:val="0"/>
          <w:sz w:val="22"/>
        </w:rPr>
        <w:t>1.3  Project Objectives</w:t>
      </w:r>
      <w:r>
        <w:rPr>
          <w:rFonts w:ascii="Times New Roman" w:hAnsi="Times New Roman"/>
          <w:b w:val="0"/>
          <w:i w:val="0"/>
          <w:sz w:val="22"/>
        </w:rPr>
        <w:tab/>
        <w:t>3</w:t>
      </w:r>
    </w:p>
    <w:p>
      <w:pPr>
        <w:tabs>
          <w:tab w:pos="7920" w:val="right"/>
        </w:tabs>
        <w:spacing w:before="20" w:after="60"/>
        <w:ind w:left="360"/>
      </w:pPr>
      <w:r>
        <w:rPr>
          <w:rFonts w:ascii="Times New Roman" w:hAnsi="Times New Roman"/>
          <w:b w:val="0"/>
          <w:i w:val="0"/>
          <w:sz w:val="22"/>
        </w:rPr>
        <w:t>1.4  Report Organisation</w:t>
      </w:r>
      <w:r>
        <w:rPr>
          <w:rFonts w:ascii="Times New Roman" w:hAnsi="Times New Roman"/>
          <w:b w:val="0"/>
          <w:i w:val="0"/>
          <w:sz w:val="22"/>
        </w:rPr>
        <w:tab/>
        <w:t>3</w:t>
      </w:r>
    </w:p>
    <w:p>
      <w:pPr>
        <w:tabs>
          <w:tab w:pos="7920" w:val="right"/>
        </w:tabs>
        <w:spacing w:before="20" w:after="60"/>
        <w:ind w:left="0"/>
      </w:pPr>
      <w:r>
        <w:rPr>
          <w:rFonts w:ascii="Times New Roman" w:hAnsi="Times New Roman"/>
          <w:b/>
          <w:i w:val="0"/>
          <w:sz w:val="24"/>
        </w:rPr>
        <w:t>2  Literature Survey</w:t>
      </w:r>
      <w:r>
        <w:rPr>
          <w:rFonts w:ascii="Times New Roman" w:hAnsi="Times New Roman"/>
          <w:b w:val="0"/>
          <w:i w:val="0"/>
          <w:sz w:val="24"/>
        </w:rPr>
        <w:tab/>
        <w:t>5</w:t>
      </w:r>
    </w:p>
    <w:p>
      <w:pPr>
        <w:tabs>
          <w:tab w:pos="7920" w:val="right"/>
        </w:tabs>
        <w:spacing w:before="20" w:after="60"/>
        <w:ind w:left="360"/>
      </w:pPr>
      <w:r>
        <w:rPr>
          <w:rFonts w:ascii="Times New Roman" w:hAnsi="Times New Roman"/>
          <w:b w:val="0"/>
          <w:i w:val="0"/>
          <w:sz w:val="22"/>
        </w:rPr>
        <w:t>2.1  Traditional Symptom Checkers</w:t>
      </w:r>
      <w:r>
        <w:rPr>
          <w:rFonts w:ascii="Times New Roman" w:hAnsi="Times New Roman"/>
          <w:b w:val="0"/>
          <w:i w:val="0"/>
          <w:sz w:val="22"/>
        </w:rPr>
        <w:tab/>
        <w:t>5</w:t>
      </w:r>
    </w:p>
    <w:p>
      <w:pPr>
        <w:tabs>
          <w:tab w:pos="7920" w:val="right"/>
        </w:tabs>
        <w:spacing w:before="20" w:after="60"/>
        <w:ind w:left="360"/>
      </w:pPr>
      <w:r>
        <w:rPr>
          <w:rFonts w:ascii="Times New Roman" w:hAnsi="Times New Roman"/>
          <w:b w:val="0"/>
          <w:i w:val="0"/>
          <w:sz w:val="22"/>
        </w:rPr>
        <w:t>2.2  Machine Learning in Healthcare</w:t>
      </w:r>
      <w:r>
        <w:rPr>
          <w:rFonts w:ascii="Times New Roman" w:hAnsi="Times New Roman"/>
          <w:b w:val="0"/>
          <w:i w:val="0"/>
          <w:sz w:val="22"/>
        </w:rPr>
        <w:tab/>
        <w:t>6</w:t>
      </w:r>
    </w:p>
    <w:p>
      <w:pPr>
        <w:tabs>
          <w:tab w:pos="7920" w:val="right"/>
        </w:tabs>
        <w:spacing w:before="20" w:after="60"/>
        <w:ind w:left="360"/>
      </w:pPr>
      <w:r>
        <w:rPr>
          <w:rFonts w:ascii="Times New Roman" w:hAnsi="Times New Roman"/>
          <w:b w:val="0"/>
          <w:i w:val="0"/>
          <w:sz w:val="22"/>
        </w:rPr>
        <w:t>2.3  Transformer-Based Medical NLP</w:t>
      </w:r>
      <w:r>
        <w:rPr>
          <w:rFonts w:ascii="Times New Roman" w:hAnsi="Times New Roman"/>
          <w:b w:val="0"/>
          <w:i w:val="0"/>
          <w:sz w:val="22"/>
        </w:rPr>
        <w:tab/>
        <w:t>7</w:t>
      </w:r>
    </w:p>
    <w:p>
      <w:pPr>
        <w:tabs>
          <w:tab w:pos="7920" w:val="right"/>
        </w:tabs>
        <w:spacing w:before="20" w:after="60"/>
        <w:ind w:left="360"/>
      </w:pPr>
      <w:r>
        <w:rPr>
          <w:rFonts w:ascii="Times New Roman" w:hAnsi="Times New Roman"/>
          <w:b w:val="0"/>
          <w:i w:val="0"/>
          <w:sz w:val="22"/>
        </w:rPr>
        <w:t>2.4  Gaps and Limitations in Existing Work</w:t>
      </w:r>
      <w:r>
        <w:rPr>
          <w:rFonts w:ascii="Times New Roman" w:hAnsi="Times New Roman"/>
          <w:b w:val="0"/>
          <w:i w:val="0"/>
          <w:sz w:val="22"/>
        </w:rPr>
        <w:tab/>
        <w:t>8</w:t>
      </w:r>
    </w:p>
    <w:p>
      <w:pPr>
        <w:tabs>
          <w:tab w:pos="7920" w:val="right"/>
        </w:tabs>
        <w:spacing w:before="20" w:after="60"/>
        <w:ind w:left="0"/>
      </w:pPr>
      <w:r>
        <w:rPr>
          <w:rFonts w:ascii="Times New Roman" w:hAnsi="Times New Roman"/>
          <w:b/>
          <w:i w:val="0"/>
          <w:sz w:val="24"/>
        </w:rPr>
        <w:t>3  Problem Statement</w:t>
      </w:r>
      <w:r>
        <w:rPr>
          <w:rFonts w:ascii="Times New Roman" w:hAnsi="Times New Roman"/>
          <w:b w:val="0"/>
          <w:i w:val="0"/>
          <w:sz w:val="24"/>
        </w:rPr>
        <w:tab/>
        <w:t>10</w:t>
      </w:r>
    </w:p>
    <w:p>
      <w:pPr>
        <w:tabs>
          <w:tab w:pos="7920" w:val="right"/>
        </w:tabs>
        <w:spacing w:before="20" w:after="60"/>
        <w:ind w:left="0"/>
      </w:pPr>
      <w:r>
        <w:rPr>
          <w:rFonts w:ascii="Times New Roman" w:hAnsi="Times New Roman"/>
          <w:b/>
          <w:i w:val="0"/>
          <w:sz w:val="24"/>
        </w:rPr>
        <w:t>4  System Architecture</w:t>
      </w:r>
      <w:r>
        <w:rPr>
          <w:rFonts w:ascii="Times New Roman" w:hAnsi="Times New Roman"/>
          <w:b w:val="0"/>
          <w:i w:val="0"/>
          <w:sz w:val="24"/>
        </w:rPr>
        <w:tab/>
        <w:t>12</w:t>
      </w:r>
    </w:p>
    <w:p>
      <w:pPr>
        <w:tabs>
          <w:tab w:pos="7920" w:val="right"/>
        </w:tabs>
        <w:spacing w:before="20" w:after="60"/>
        <w:ind w:left="360"/>
      </w:pPr>
      <w:r>
        <w:rPr>
          <w:rFonts w:ascii="Times New Roman" w:hAnsi="Times New Roman"/>
          <w:b w:val="0"/>
          <w:i w:val="0"/>
          <w:sz w:val="22"/>
        </w:rPr>
        <w:t>4.1  Overall Pipeline Design</w:t>
      </w:r>
      <w:r>
        <w:rPr>
          <w:rFonts w:ascii="Times New Roman" w:hAnsi="Times New Roman"/>
          <w:b w:val="0"/>
          <w:i w:val="0"/>
          <w:sz w:val="22"/>
        </w:rPr>
        <w:tab/>
        <w:t>12</w:t>
      </w:r>
    </w:p>
    <w:p>
      <w:pPr>
        <w:tabs>
          <w:tab w:pos="7920" w:val="right"/>
        </w:tabs>
        <w:spacing w:before="20" w:after="60"/>
        <w:ind w:left="360"/>
      </w:pPr>
      <w:r>
        <w:rPr>
          <w:rFonts w:ascii="Times New Roman" w:hAnsi="Times New Roman"/>
          <w:b w:val="0"/>
          <w:i w:val="0"/>
          <w:sz w:val="22"/>
        </w:rPr>
        <w:t>4.2  Emergency Override Architecture</w:t>
      </w:r>
      <w:r>
        <w:rPr>
          <w:rFonts w:ascii="Times New Roman" w:hAnsi="Times New Roman"/>
          <w:b w:val="0"/>
          <w:i w:val="0"/>
          <w:sz w:val="22"/>
        </w:rPr>
        <w:tab/>
        <w:t>13</w:t>
      </w:r>
    </w:p>
    <w:p>
      <w:pPr>
        <w:tabs>
          <w:tab w:pos="7920" w:val="right"/>
        </w:tabs>
        <w:spacing w:before="20" w:after="60"/>
        <w:ind w:left="360"/>
      </w:pPr>
      <w:r>
        <w:rPr>
          <w:rFonts w:ascii="Times New Roman" w:hAnsi="Times New Roman"/>
          <w:b w:val="0"/>
          <w:i w:val="0"/>
          <w:sz w:val="22"/>
        </w:rPr>
        <w:t>4.3  Medical Consistency Validator</w:t>
      </w:r>
      <w:r>
        <w:rPr>
          <w:rFonts w:ascii="Times New Roman" w:hAnsi="Times New Roman"/>
          <w:b w:val="0"/>
          <w:i w:val="0"/>
          <w:sz w:val="22"/>
        </w:rPr>
        <w:tab/>
        <w:t>14</w:t>
      </w:r>
    </w:p>
    <w:p>
      <w:pPr>
        <w:tabs>
          <w:tab w:pos="7920" w:val="right"/>
        </w:tabs>
        <w:spacing w:before="20" w:after="60"/>
        <w:ind w:left="360"/>
      </w:pPr>
      <w:r>
        <w:rPr>
          <w:rFonts w:ascii="Times New Roman" w:hAnsi="Times New Roman"/>
          <w:b w:val="0"/>
          <w:i w:val="0"/>
          <w:sz w:val="22"/>
        </w:rPr>
        <w:t>4.4  Frontend Architecture</w:t>
      </w:r>
      <w:r>
        <w:rPr>
          <w:rFonts w:ascii="Times New Roman" w:hAnsi="Times New Roman"/>
          <w:b w:val="0"/>
          <w:i w:val="0"/>
          <w:sz w:val="22"/>
        </w:rPr>
        <w:tab/>
        <w:t>15</w:t>
      </w:r>
    </w:p>
    <w:p>
      <w:pPr>
        <w:tabs>
          <w:tab w:pos="7920" w:val="right"/>
        </w:tabs>
        <w:spacing w:before="20" w:after="60"/>
        <w:ind w:left="0"/>
      </w:pPr>
      <w:r>
        <w:rPr>
          <w:rFonts w:ascii="Times New Roman" w:hAnsi="Times New Roman"/>
          <w:b/>
          <w:i w:val="0"/>
          <w:sz w:val="24"/>
        </w:rPr>
        <w:t>5  Dataset Description</w:t>
      </w:r>
      <w:r>
        <w:rPr>
          <w:rFonts w:ascii="Times New Roman" w:hAnsi="Times New Roman"/>
          <w:b w:val="0"/>
          <w:i w:val="0"/>
          <w:sz w:val="24"/>
        </w:rPr>
        <w:tab/>
        <w:t>16</w:t>
      </w:r>
    </w:p>
    <w:p>
      <w:pPr>
        <w:tabs>
          <w:tab w:pos="7920" w:val="right"/>
        </w:tabs>
        <w:spacing w:before="20" w:after="60"/>
        <w:ind w:left="360"/>
      </w:pPr>
      <w:r>
        <w:rPr>
          <w:rFonts w:ascii="Times New Roman" w:hAnsi="Times New Roman"/>
          <w:b w:val="0"/>
          <w:i w:val="0"/>
          <w:sz w:val="22"/>
        </w:rPr>
        <w:t>5.1  Symptom-Disease Dataset</w:t>
      </w:r>
      <w:r>
        <w:rPr>
          <w:rFonts w:ascii="Times New Roman" w:hAnsi="Times New Roman"/>
          <w:b w:val="0"/>
          <w:i w:val="0"/>
          <w:sz w:val="22"/>
        </w:rPr>
        <w:tab/>
        <w:t>16</w:t>
      </w:r>
    </w:p>
    <w:p>
      <w:pPr>
        <w:tabs>
          <w:tab w:pos="7920" w:val="right"/>
        </w:tabs>
        <w:spacing w:before="20" w:after="60"/>
        <w:ind w:left="360"/>
      </w:pPr>
      <w:r>
        <w:rPr>
          <w:rFonts w:ascii="Times New Roman" w:hAnsi="Times New Roman"/>
          <w:b w:val="0"/>
          <w:i w:val="0"/>
          <w:sz w:val="22"/>
        </w:rPr>
        <w:t>5.2  Healthcare Conversation Dataset</w:t>
      </w:r>
      <w:r>
        <w:rPr>
          <w:rFonts w:ascii="Times New Roman" w:hAnsi="Times New Roman"/>
          <w:b w:val="0"/>
          <w:i w:val="0"/>
          <w:sz w:val="22"/>
        </w:rPr>
        <w:tab/>
        <w:t>17</w:t>
      </w:r>
    </w:p>
    <w:p>
      <w:pPr>
        <w:tabs>
          <w:tab w:pos="7920" w:val="right"/>
        </w:tabs>
        <w:spacing w:before="20" w:after="60"/>
        <w:ind w:left="360"/>
      </w:pPr>
      <w:r>
        <w:rPr>
          <w:rFonts w:ascii="Times New Roman" w:hAnsi="Times New Roman"/>
          <w:b w:val="0"/>
          <w:i w:val="0"/>
          <w:sz w:val="22"/>
        </w:rPr>
        <w:t>5.3  Hospital Infrastructure Dataset</w:t>
      </w:r>
      <w:r>
        <w:rPr>
          <w:rFonts w:ascii="Times New Roman" w:hAnsi="Times New Roman"/>
          <w:b w:val="0"/>
          <w:i w:val="0"/>
          <w:sz w:val="22"/>
        </w:rPr>
        <w:tab/>
        <w:t>17</w:t>
      </w:r>
    </w:p>
    <w:p>
      <w:pPr>
        <w:tabs>
          <w:tab w:pos="7920" w:val="right"/>
        </w:tabs>
        <w:spacing w:before="20" w:after="60"/>
        <w:ind w:left="360"/>
      </w:pPr>
      <w:r>
        <w:rPr>
          <w:rFonts w:ascii="Times New Roman" w:hAnsi="Times New Roman"/>
          <w:b w:val="0"/>
          <w:i w:val="0"/>
          <w:sz w:val="22"/>
        </w:rPr>
        <w:t>5.4  Preprocessing Pipeline</w:t>
      </w:r>
      <w:r>
        <w:rPr>
          <w:rFonts w:ascii="Times New Roman" w:hAnsi="Times New Roman"/>
          <w:b w:val="0"/>
          <w:i w:val="0"/>
          <w:sz w:val="22"/>
        </w:rPr>
        <w:tab/>
        <w:t>18</w:t>
      </w:r>
    </w:p>
    <w:p>
      <w:pPr>
        <w:tabs>
          <w:tab w:pos="7920" w:val="right"/>
        </w:tabs>
        <w:spacing w:before="20" w:after="60"/>
        <w:ind w:left="0"/>
      </w:pPr>
      <w:r>
        <w:rPr>
          <w:rFonts w:ascii="Times New Roman" w:hAnsi="Times New Roman"/>
          <w:b/>
          <w:i w:val="0"/>
          <w:sz w:val="24"/>
        </w:rPr>
        <w:t>6  Methodology</w:t>
      </w:r>
      <w:r>
        <w:rPr>
          <w:rFonts w:ascii="Times New Roman" w:hAnsi="Times New Roman"/>
          <w:b w:val="0"/>
          <w:i w:val="0"/>
          <w:sz w:val="24"/>
        </w:rPr>
        <w:tab/>
        <w:t>20</w:t>
      </w:r>
    </w:p>
    <w:p>
      <w:pPr>
        <w:tabs>
          <w:tab w:pos="7920" w:val="right"/>
        </w:tabs>
        <w:spacing w:before="20" w:after="60"/>
        <w:ind w:left="360"/>
      </w:pPr>
      <w:r>
        <w:rPr>
          <w:rFonts w:ascii="Times New Roman" w:hAnsi="Times New Roman"/>
          <w:b w:val="0"/>
          <w:i w:val="0"/>
          <w:sz w:val="22"/>
        </w:rPr>
        <w:t>6.1  TF-IDF Vectorisation</w:t>
      </w:r>
      <w:r>
        <w:rPr>
          <w:rFonts w:ascii="Times New Roman" w:hAnsi="Times New Roman"/>
          <w:b w:val="0"/>
          <w:i w:val="0"/>
          <w:sz w:val="22"/>
        </w:rPr>
        <w:tab/>
        <w:t>20</w:t>
      </w:r>
    </w:p>
    <w:p>
      <w:pPr>
        <w:tabs>
          <w:tab w:pos="7920" w:val="right"/>
        </w:tabs>
        <w:spacing w:before="20" w:after="60"/>
        <w:ind w:left="360"/>
      </w:pPr>
      <w:r>
        <w:rPr>
          <w:rFonts w:ascii="Times New Roman" w:hAnsi="Times New Roman"/>
          <w:b w:val="0"/>
          <w:i w:val="0"/>
          <w:sz w:val="22"/>
        </w:rPr>
        <w:t>6.2  Logistic Regression and Naive Bayes</w:t>
      </w:r>
      <w:r>
        <w:rPr>
          <w:rFonts w:ascii="Times New Roman" w:hAnsi="Times New Roman"/>
          <w:b w:val="0"/>
          <w:i w:val="0"/>
          <w:sz w:val="22"/>
        </w:rPr>
        <w:tab/>
        <w:t>21</w:t>
      </w:r>
    </w:p>
    <w:p>
      <w:pPr>
        <w:tabs>
          <w:tab w:pos="7920" w:val="right"/>
        </w:tabs>
        <w:spacing w:before="20" w:after="60"/>
        <w:ind w:left="360"/>
      </w:pPr>
      <w:r>
        <w:rPr>
          <w:rFonts w:ascii="Times New Roman" w:hAnsi="Times New Roman"/>
          <w:b w:val="0"/>
          <w:i w:val="0"/>
          <w:sz w:val="22"/>
        </w:rPr>
        <w:t>6.3  Top-K Prediction Logic</w:t>
      </w:r>
      <w:r>
        <w:rPr>
          <w:rFonts w:ascii="Times New Roman" w:hAnsi="Times New Roman"/>
          <w:b w:val="0"/>
          <w:i w:val="0"/>
          <w:sz w:val="22"/>
        </w:rPr>
        <w:tab/>
        <w:t>22</w:t>
      </w:r>
    </w:p>
    <w:p>
      <w:pPr>
        <w:tabs>
          <w:tab w:pos="7920" w:val="right"/>
        </w:tabs>
        <w:spacing w:before="20" w:after="60"/>
        <w:ind w:left="360"/>
      </w:pPr>
      <w:r>
        <w:rPr>
          <w:rFonts w:ascii="Times New Roman" w:hAnsi="Times New Roman"/>
          <w:b w:val="0"/>
          <w:i w:val="0"/>
          <w:sz w:val="22"/>
        </w:rPr>
        <w:t>6.4  Uncertainty Estimation</w:t>
      </w:r>
      <w:r>
        <w:rPr>
          <w:rFonts w:ascii="Times New Roman" w:hAnsi="Times New Roman"/>
          <w:b w:val="0"/>
          <w:i w:val="0"/>
          <w:sz w:val="22"/>
        </w:rPr>
        <w:tab/>
        <w:t>22</w:t>
      </w:r>
    </w:p>
    <w:p>
      <w:pPr>
        <w:tabs>
          <w:tab w:pos="7920" w:val="right"/>
        </w:tabs>
        <w:spacing w:before="20" w:after="60"/>
        <w:ind w:left="360"/>
      </w:pPr>
      <w:r>
        <w:rPr>
          <w:rFonts w:ascii="Times New Roman" w:hAnsi="Times New Roman"/>
          <w:b w:val="0"/>
          <w:i w:val="0"/>
          <w:sz w:val="22"/>
        </w:rPr>
        <w:t>6.5  Why Decision Trees and XGBoost Failed</w:t>
      </w:r>
      <w:r>
        <w:rPr>
          <w:rFonts w:ascii="Times New Roman" w:hAnsi="Times New Roman"/>
          <w:b w:val="0"/>
          <w:i w:val="0"/>
          <w:sz w:val="22"/>
        </w:rPr>
        <w:tab/>
        <w:t>23</w:t>
      </w:r>
    </w:p>
    <w:p>
      <w:pPr>
        <w:tabs>
          <w:tab w:pos="7920" w:val="right"/>
        </w:tabs>
        <w:spacing w:before="20" w:after="60"/>
        <w:ind w:left="0"/>
      </w:pPr>
      <w:r>
        <w:rPr>
          <w:rFonts w:ascii="Times New Roman" w:hAnsi="Times New Roman"/>
          <w:b/>
          <w:i w:val="0"/>
          <w:sz w:val="24"/>
        </w:rPr>
        <w:t>7  Safety Architecture</w:t>
      </w:r>
      <w:r>
        <w:rPr>
          <w:rFonts w:ascii="Times New Roman" w:hAnsi="Times New Roman"/>
          <w:b w:val="0"/>
          <w:i w:val="0"/>
          <w:sz w:val="24"/>
        </w:rPr>
        <w:tab/>
        <w:t>25</w:t>
      </w:r>
    </w:p>
    <w:p>
      <w:pPr>
        <w:tabs>
          <w:tab w:pos="7920" w:val="right"/>
        </w:tabs>
        <w:spacing w:before="20" w:after="60"/>
        <w:ind w:left="360"/>
      </w:pPr>
      <w:r>
        <w:rPr>
          <w:rFonts w:ascii="Times New Roman" w:hAnsi="Times New Roman"/>
          <w:b w:val="0"/>
          <w:i w:val="0"/>
          <w:sz w:val="22"/>
        </w:rPr>
        <w:t>7.1  Emergency Safety Override Layer</w:t>
      </w:r>
      <w:r>
        <w:rPr>
          <w:rFonts w:ascii="Times New Roman" w:hAnsi="Times New Roman"/>
          <w:b w:val="0"/>
          <w:i w:val="0"/>
          <w:sz w:val="22"/>
        </w:rPr>
        <w:tab/>
        <w:t>25</w:t>
      </w:r>
    </w:p>
    <w:p>
      <w:pPr>
        <w:tabs>
          <w:tab w:pos="7920" w:val="right"/>
        </w:tabs>
        <w:spacing w:before="20" w:after="60"/>
        <w:ind w:left="360"/>
      </w:pPr>
      <w:r>
        <w:rPr>
          <w:rFonts w:ascii="Times New Roman" w:hAnsi="Times New Roman"/>
          <w:b w:val="0"/>
          <w:i w:val="0"/>
          <w:sz w:val="22"/>
        </w:rPr>
        <w:t>7.2  Medical Consistency Validation and Reranking</w:t>
      </w:r>
      <w:r>
        <w:rPr>
          <w:rFonts w:ascii="Times New Roman" w:hAnsi="Times New Roman"/>
          <w:b w:val="0"/>
          <w:i w:val="0"/>
          <w:sz w:val="22"/>
        </w:rPr>
        <w:tab/>
        <w:t>26</w:t>
      </w:r>
    </w:p>
    <w:p>
      <w:pPr>
        <w:tabs>
          <w:tab w:pos="7920" w:val="right"/>
        </w:tabs>
        <w:spacing w:before="20" w:after="60"/>
        <w:ind w:left="360"/>
      </w:pPr>
      <w:r>
        <w:rPr>
          <w:rFonts w:ascii="Times New Roman" w:hAnsi="Times New Roman"/>
          <w:b w:val="0"/>
          <w:i w:val="0"/>
          <w:sz w:val="22"/>
        </w:rPr>
        <w:t>7.3  Safety Metrics: EEA, MER, UPR</w:t>
      </w:r>
      <w:r>
        <w:rPr>
          <w:rFonts w:ascii="Times New Roman" w:hAnsi="Times New Roman"/>
          <w:b w:val="0"/>
          <w:i w:val="0"/>
          <w:sz w:val="22"/>
        </w:rPr>
        <w:tab/>
        <w:t>27</w:t>
      </w:r>
    </w:p>
    <w:p>
      <w:pPr>
        <w:tabs>
          <w:tab w:pos="7920" w:val="right"/>
        </w:tabs>
        <w:spacing w:before="20" w:after="60"/>
        <w:ind w:left="360"/>
      </w:pPr>
      <w:r>
        <w:rPr>
          <w:rFonts w:ascii="Times New Roman" w:hAnsi="Times New Roman"/>
          <w:b w:val="0"/>
          <w:i w:val="0"/>
          <w:sz w:val="22"/>
        </w:rPr>
        <w:t>7.4  Before vs. After Comparison</w:t>
      </w:r>
      <w:r>
        <w:rPr>
          <w:rFonts w:ascii="Times New Roman" w:hAnsi="Times New Roman"/>
          <w:b w:val="0"/>
          <w:i w:val="0"/>
          <w:sz w:val="22"/>
        </w:rPr>
        <w:tab/>
        <w:t>28</w:t>
      </w:r>
    </w:p>
    <w:p>
      <w:pPr>
        <w:tabs>
          <w:tab w:pos="7920" w:val="right"/>
        </w:tabs>
        <w:spacing w:before="20" w:after="60"/>
        <w:ind w:left="0"/>
      </w:pPr>
      <w:r>
        <w:rPr>
          <w:rFonts w:ascii="Times New Roman" w:hAnsi="Times New Roman"/>
          <w:b/>
          <w:i w:val="0"/>
          <w:sz w:val="24"/>
        </w:rPr>
        <w:t>8  Frontend and UX Design</w:t>
      </w:r>
      <w:r>
        <w:rPr>
          <w:rFonts w:ascii="Times New Roman" w:hAnsi="Times New Roman"/>
          <w:b w:val="0"/>
          <w:i w:val="0"/>
          <w:sz w:val="24"/>
        </w:rPr>
        <w:tab/>
        <w:t>30</w:t>
      </w:r>
    </w:p>
    <w:p>
      <w:pPr>
        <w:tabs>
          <w:tab w:pos="7920" w:val="right"/>
        </w:tabs>
        <w:spacing w:before="20" w:after="60"/>
        <w:ind w:left="0"/>
      </w:pPr>
      <w:r>
        <w:rPr>
          <w:rFonts w:ascii="Times New Roman" w:hAnsi="Times New Roman"/>
          <w:b/>
          <w:i w:val="0"/>
          <w:sz w:val="24"/>
        </w:rPr>
        <w:t>9  Implementation Details</w:t>
      </w:r>
      <w:r>
        <w:rPr>
          <w:rFonts w:ascii="Times New Roman" w:hAnsi="Times New Roman"/>
          <w:b w:val="0"/>
          <w:i w:val="0"/>
          <w:sz w:val="24"/>
        </w:rPr>
        <w:tab/>
        <w:t>32</w:t>
      </w:r>
    </w:p>
    <w:p>
      <w:pPr>
        <w:tabs>
          <w:tab w:pos="7920" w:val="right"/>
        </w:tabs>
        <w:spacing w:before="20" w:after="60"/>
        <w:ind w:left="0"/>
      </w:pPr>
      <w:r>
        <w:rPr>
          <w:rFonts w:ascii="Times New Roman" w:hAnsi="Times New Roman"/>
          <w:b/>
          <w:i w:val="0"/>
          <w:sz w:val="24"/>
        </w:rPr>
        <w:t>10  Testing and Validation</w:t>
      </w:r>
      <w:r>
        <w:rPr>
          <w:rFonts w:ascii="Times New Roman" w:hAnsi="Times New Roman"/>
          <w:b w:val="0"/>
          <w:i w:val="0"/>
          <w:sz w:val="24"/>
        </w:rPr>
        <w:tab/>
        <w:t>35</w:t>
      </w:r>
    </w:p>
    <w:p>
      <w:pPr>
        <w:tabs>
          <w:tab w:pos="7920" w:val="right"/>
        </w:tabs>
        <w:spacing w:before="20" w:after="60"/>
        <w:ind w:left="0"/>
      </w:pPr>
      <w:r>
        <w:rPr>
          <w:rFonts w:ascii="Times New Roman" w:hAnsi="Times New Roman"/>
          <w:b/>
          <w:i w:val="0"/>
          <w:sz w:val="24"/>
        </w:rPr>
        <w:t>11  Results and Analysis</w:t>
      </w:r>
      <w:r>
        <w:rPr>
          <w:rFonts w:ascii="Times New Roman" w:hAnsi="Times New Roman"/>
          <w:b w:val="0"/>
          <w:i w:val="0"/>
          <w:sz w:val="24"/>
        </w:rPr>
        <w:tab/>
        <w:t>38</w:t>
      </w:r>
    </w:p>
    <w:p>
      <w:pPr>
        <w:tabs>
          <w:tab w:pos="7920" w:val="right"/>
        </w:tabs>
        <w:spacing w:before="20" w:after="60"/>
        <w:ind w:left="0"/>
      </w:pPr>
      <w:r>
        <w:rPr>
          <w:rFonts w:ascii="Times New Roman" w:hAnsi="Times New Roman"/>
          <w:b/>
          <w:i w:val="0"/>
          <w:sz w:val="24"/>
        </w:rPr>
        <w:t>12  Limitations</w:t>
      </w:r>
      <w:r>
        <w:rPr>
          <w:rFonts w:ascii="Times New Roman" w:hAnsi="Times New Roman"/>
          <w:b w:val="0"/>
          <w:i w:val="0"/>
          <w:sz w:val="24"/>
        </w:rPr>
        <w:tab/>
        <w:t>42</w:t>
      </w:r>
    </w:p>
    <w:p>
      <w:pPr>
        <w:tabs>
          <w:tab w:pos="7920" w:val="right"/>
        </w:tabs>
        <w:spacing w:before="20" w:after="60"/>
        <w:ind w:left="0"/>
      </w:pPr>
      <w:r>
        <w:rPr>
          <w:rFonts w:ascii="Times New Roman" w:hAnsi="Times New Roman"/>
          <w:b/>
          <w:i w:val="0"/>
          <w:sz w:val="24"/>
        </w:rPr>
        <w:t>13  Future Work</w:t>
      </w:r>
      <w:r>
        <w:rPr>
          <w:rFonts w:ascii="Times New Roman" w:hAnsi="Times New Roman"/>
          <w:b w:val="0"/>
          <w:i w:val="0"/>
          <w:sz w:val="24"/>
        </w:rPr>
        <w:tab/>
        <w:t>43</w:t>
      </w:r>
    </w:p>
    <w:p>
      <w:pPr>
        <w:tabs>
          <w:tab w:pos="7920" w:val="right"/>
        </w:tabs>
        <w:spacing w:before="20" w:after="60"/>
        <w:ind w:left="0"/>
      </w:pPr>
      <w:r>
        <w:rPr>
          <w:rFonts w:ascii="Times New Roman" w:hAnsi="Times New Roman"/>
          <w:b/>
          <w:i w:val="0"/>
          <w:sz w:val="24"/>
        </w:rPr>
        <w:t>14  Conclusion</w:t>
      </w:r>
      <w:r>
        <w:rPr>
          <w:rFonts w:ascii="Times New Roman" w:hAnsi="Times New Roman"/>
          <w:b w:val="0"/>
          <w:i w:val="0"/>
          <w:sz w:val="24"/>
        </w:rPr>
        <w:tab/>
        <w:t>45</w:t>
      </w:r>
    </w:p>
    <w:p>
      <w:pPr>
        <w:tabs>
          <w:tab w:pos="7920" w:val="right"/>
        </w:tabs>
        <w:spacing w:before="20" w:after="60"/>
        <w:ind w:left="0"/>
      </w:pPr>
      <w:r>
        <w:rPr>
          <w:rFonts w:ascii="Times New Roman" w:hAnsi="Times New Roman"/>
          <w:b/>
          <w:i w:val="0"/>
          <w:sz w:val="24"/>
        </w:rPr>
        <w:t>References</w:t>
      </w:r>
      <w:r>
        <w:rPr>
          <w:rFonts w:ascii="Times New Roman" w:hAnsi="Times New Roman"/>
          <w:b w:val="0"/>
          <w:i w:val="0"/>
          <w:sz w:val="24"/>
        </w:rPr>
        <w:tab/>
        <w:t>46</w:t>
      </w:r>
    </w:p>
    <w:p>
      <w:r>
        <w:br w:type="page"/>
      </w:r>
    </w:p>
    <w:p>
      <w:pPr>
        <w:spacing w:before="0" w:after="160"/>
        <w:jc w:val="center"/>
      </w:pPr>
      <w:r>
        <w:rPr>
          <w:rFonts w:ascii="Times New Roman" w:hAnsi="Times New Roman"/>
          <w:b/>
          <w:i w:val="0"/>
          <w:sz w:val="32"/>
          <w:u w:val="single"/>
        </w:rPr>
        <w:t>LIST OF FIGURES</w:t>
      </w:r>
    </w:p>
    <w:p>
      <w:pPr>
        <w:spacing w:before="0" w:after="80"/>
        <w:jc w:val="both"/>
      </w:pPr>
    </w:p>
    <w:p>
      <w:pPr>
        <w:tabs>
          <w:tab w:pos="7920" w:val="right"/>
        </w:tabs>
      </w:pPr>
      <w:r>
        <w:rPr>
          <w:rFonts w:ascii="Times New Roman" w:hAnsi="Times New Roman"/>
          <w:b/>
          <w:i w:val="0"/>
          <w:sz w:val="24"/>
        </w:rPr>
        <w:t>Figure No.   Title</w:t>
      </w:r>
      <w:r>
        <w:rPr>
          <w:rFonts w:ascii="Times New Roman" w:hAnsi="Times New Roman"/>
          <w:b/>
          <w:i w:val="0"/>
          <w:sz w:val="24"/>
        </w:rPr>
        <w:tab/>
        <w:t>Page No.</w:t>
      </w:r>
    </w:p>
    <w:p>
      <w:pPr>
        <w:jc w:val="center"/>
        <w:pBdr>
          <w:bottom w:val="single" w:sz="6" w:space="1" w:color="000000"/>
        </w:pBdr>
      </w:pPr>
    </w:p>
    <w:p>
      <w:pPr>
        <w:tabs>
          <w:tab w:pos="7920" w:val="right"/>
        </w:tabs>
        <w:spacing w:before="20" w:after="60"/>
      </w:pPr>
      <w:r>
        <w:rPr>
          <w:rFonts w:ascii="Times New Roman" w:hAnsi="Times New Roman"/>
          <w:b w:val="0"/>
          <w:i w:val="0"/>
          <w:sz w:val="22"/>
        </w:rPr>
        <w:t>Figure 4.1   MediAssist AI – End-to-End System Pipeline</w:t>
      </w:r>
      <w:r>
        <w:rPr>
          <w:rFonts w:ascii="Times New Roman" w:hAnsi="Times New Roman"/>
          <w:b w:val="0"/>
          <w:i w:val="0"/>
          <w:sz w:val="22"/>
        </w:rPr>
        <w:tab/>
        <w:t>12</w:t>
      </w:r>
    </w:p>
    <w:p>
      <w:pPr>
        <w:tabs>
          <w:tab w:pos="7920" w:val="right"/>
        </w:tabs>
        <w:spacing w:before="20" w:after="60"/>
      </w:pPr>
      <w:r>
        <w:rPr>
          <w:rFonts w:ascii="Times New Roman" w:hAnsi="Times New Roman"/>
          <w:b w:val="0"/>
          <w:i w:val="0"/>
          <w:sz w:val="22"/>
        </w:rPr>
        <w:t>Figure 4.2   Emergency Safety Override Layer – Decision Flow</w:t>
      </w:r>
      <w:r>
        <w:rPr>
          <w:rFonts w:ascii="Times New Roman" w:hAnsi="Times New Roman"/>
          <w:b w:val="0"/>
          <w:i w:val="0"/>
          <w:sz w:val="22"/>
        </w:rPr>
        <w:tab/>
        <w:t>13</w:t>
      </w:r>
    </w:p>
    <w:p>
      <w:pPr>
        <w:tabs>
          <w:tab w:pos="7920" w:val="right"/>
        </w:tabs>
        <w:spacing w:before="20" w:after="60"/>
      </w:pPr>
      <w:r>
        <w:rPr>
          <w:rFonts w:ascii="Times New Roman" w:hAnsi="Times New Roman"/>
          <w:b w:val="0"/>
          <w:i w:val="0"/>
          <w:sz w:val="22"/>
        </w:rPr>
        <w:t>Figure 4.3   Medical Consistency Validation – Reranking Pipeline</w:t>
      </w:r>
      <w:r>
        <w:rPr>
          <w:rFonts w:ascii="Times New Roman" w:hAnsi="Times New Roman"/>
          <w:b w:val="0"/>
          <w:i w:val="0"/>
          <w:sz w:val="22"/>
        </w:rPr>
        <w:tab/>
        <w:t>14</w:t>
      </w:r>
    </w:p>
    <w:p>
      <w:pPr>
        <w:tabs>
          <w:tab w:pos="7920" w:val="right"/>
        </w:tabs>
        <w:spacing w:before="20" w:after="60"/>
      </w:pPr>
      <w:r>
        <w:rPr>
          <w:rFonts w:ascii="Times New Roman" w:hAnsi="Times New Roman"/>
          <w:b w:val="0"/>
          <w:i w:val="0"/>
          <w:sz w:val="22"/>
        </w:rPr>
        <w:t>Figure 5.1   Top-20 Disease Frequency Distribution</w:t>
      </w:r>
      <w:r>
        <w:rPr>
          <w:rFonts w:ascii="Times New Roman" w:hAnsi="Times New Roman"/>
          <w:b w:val="0"/>
          <w:i w:val="0"/>
          <w:sz w:val="22"/>
        </w:rPr>
        <w:tab/>
        <w:t>16</w:t>
      </w:r>
    </w:p>
    <w:p>
      <w:pPr>
        <w:tabs>
          <w:tab w:pos="7920" w:val="right"/>
        </w:tabs>
        <w:spacing w:before="20" w:after="60"/>
      </w:pPr>
      <w:r>
        <w:rPr>
          <w:rFonts w:ascii="Times New Roman" w:hAnsi="Times New Roman"/>
          <w:b w:val="0"/>
          <w:i w:val="0"/>
          <w:sz w:val="22"/>
        </w:rPr>
        <w:t>Figure 5.2   Symptom Co-occurrence Heatmap</w:t>
      </w:r>
      <w:r>
        <w:rPr>
          <w:rFonts w:ascii="Times New Roman" w:hAnsi="Times New Roman"/>
          <w:b w:val="0"/>
          <w:i w:val="0"/>
          <w:sz w:val="22"/>
        </w:rPr>
        <w:tab/>
        <w:t>17</w:t>
      </w:r>
    </w:p>
    <w:p>
      <w:pPr>
        <w:tabs>
          <w:tab w:pos="7920" w:val="right"/>
        </w:tabs>
        <w:spacing w:before="20" w:after="60"/>
      </w:pPr>
      <w:r>
        <w:rPr>
          <w:rFonts w:ascii="Times New Roman" w:hAnsi="Times New Roman"/>
          <w:b w:val="0"/>
          <w:i w:val="0"/>
          <w:sz w:val="22"/>
        </w:rPr>
        <w:t>Figure 5.3   Hospital State-wise Distribution</w:t>
      </w:r>
      <w:r>
        <w:rPr>
          <w:rFonts w:ascii="Times New Roman" w:hAnsi="Times New Roman"/>
          <w:b w:val="0"/>
          <w:i w:val="0"/>
          <w:sz w:val="22"/>
        </w:rPr>
        <w:tab/>
        <w:t>18</w:t>
      </w:r>
    </w:p>
    <w:p>
      <w:pPr>
        <w:tabs>
          <w:tab w:pos="7920" w:val="right"/>
        </w:tabs>
        <w:spacing w:before="20" w:after="60"/>
      </w:pPr>
      <w:r>
        <w:rPr>
          <w:rFonts w:ascii="Times New Roman" w:hAnsi="Times New Roman"/>
          <w:b w:val="0"/>
          <w:i w:val="0"/>
          <w:sz w:val="22"/>
        </w:rPr>
        <w:t>Figure 5.4   Patient Query Length Distribution</w:t>
      </w:r>
      <w:r>
        <w:rPr>
          <w:rFonts w:ascii="Times New Roman" w:hAnsi="Times New Roman"/>
          <w:b w:val="0"/>
          <w:i w:val="0"/>
          <w:sz w:val="22"/>
        </w:rPr>
        <w:tab/>
        <w:t>19</w:t>
      </w:r>
    </w:p>
    <w:p>
      <w:pPr>
        <w:tabs>
          <w:tab w:pos="7920" w:val="right"/>
        </w:tabs>
        <w:spacing w:before="20" w:after="60"/>
      </w:pPr>
      <w:r>
        <w:rPr>
          <w:rFonts w:ascii="Times New Roman" w:hAnsi="Times New Roman"/>
          <w:b w:val="0"/>
          <w:i w:val="0"/>
          <w:sz w:val="22"/>
        </w:rPr>
        <w:t>Figure 6.1   TF-IDF Sparse Feature Space Visualisation</w:t>
      </w:r>
      <w:r>
        <w:rPr>
          <w:rFonts w:ascii="Times New Roman" w:hAnsi="Times New Roman"/>
          <w:b w:val="0"/>
          <w:i w:val="0"/>
          <w:sz w:val="22"/>
        </w:rPr>
        <w:tab/>
        <w:t>20</w:t>
      </w:r>
    </w:p>
    <w:p>
      <w:pPr>
        <w:tabs>
          <w:tab w:pos="7920" w:val="right"/>
        </w:tabs>
        <w:spacing w:before="20" w:after="60"/>
      </w:pPr>
      <w:r>
        <w:rPr>
          <w:rFonts w:ascii="Times New Roman" w:hAnsi="Times New Roman"/>
          <w:b w:val="0"/>
          <w:i w:val="0"/>
          <w:sz w:val="22"/>
        </w:rPr>
        <w:t>Figure 6.2   Model F1-Score Comparison – All Classifiers</w:t>
      </w:r>
      <w:r>
        <w:rPr>
          <w:rFonts w:ascii="Times New Roman" w:hAnsi="Times New Roman"/>
          <w:b w:val="0"/>
          <w:i w:val="0"/>
          <w:sz w:val="22"/>
        </w:rPr>
        <w:tab/>
        <w:t>23</w:t>
      </w:r>
    </w:p>
    <w:p>
      <w:pPr>
        <w:tabs>
          <w:tab w:pos="7920" w:val="right"/>
        </w:tabs>
        <w:spacing w:before="20" w:after="60"/>
      </w:pPr>
      <w:r>
        <w:rPr>
          <w:rFonts w:ascii="Times New Roman" w:hAnsi="Times New Roman"/>
          <w:b w:val="0"/>
          <w:i w:val="0"/>
          <w:sz w:val="22"/>
        </w:rPr>
        <w:t>Figure 6.3   Model Inference Latency Comparison</w:t>
      </w:r>
      <w:r>
        <w:rPr>
          <w:rFonts w:ascii="Times New Roman" w:hAnsi="Times New Roman"/>
          <w:b w:val="0"/>
          <w:i w:val="0"/>
          <w:sz w:val="22"/>
        </w:rPr>
        <w:tab/>
        <w:t>24</w:t>
      </w:r>
    </w:p>
    <w:p>
      <w:pPr>
        <w:tabs>
          <w:tab w:pos="7920" w:val="right"/>
        </w:tabs>
        <w:spacing w:before="20" w:after="60"/>
      </w:pPr>
      <w:r>
        <w:rPr>
          <w:rFonts w:ascii="Times New Roman" w:hAnsi="Times New Roman"/>
          <w:b w:val="0"/>
          <w:i w:val="0"/>
          <w:sz w:val="22"/>
        </w:rPr>
        <w:t>Figure 7.1   Safety Metrics – Before vs. After Hybrid Architecture</w:t>
      </w:r>
      <w:r>
        <w:rPr>
          <w:rFonts w:ascii="Times New Roman" w:hAnsi="Times New Roman"/>
          <w:b w:val="0"/>
          <w:i w:val="0"/>
          <w:sz w:val="22"/>
        </w:rPr>
        <w:tab/>
        <w:t>28</w:t>
      </w:r>
    </w:p>
    <w:p>
      <w:pPr>
        <w:tabs>
          <w:tab w:pos="7920" w:val="right"/>
        </w:tabs>
        <w:spacing w:before="20" w:after="60"/>
      </w:pPr>
      <w:r>
        <w:rPr>
          <w:rFonts w:ascii="Times New Roman" w:hAnsi="Times New Roman"/>
          <w:b w:val="0"/>
          <w:i w:val="0"/>
          <w:sz w:val="22"/>
        </w:rPr>
        <w:t>Figure 7.2   Emergency Detection Confusion Matrix</w:t>
      </w:r>
      <w:r>
        <w:rPr>
          <w:rFonts w:ascii="Times New Roman" w:hAnsi="Times New Roman"/>
          <w:b w:val="0"/>
          <w:i w:val="0"/>
          <w:sz w:val="22"/>
        </w:rPr>
        <w:tab/>
        <w:t>29</w:t>
      </w:r>
    </w:p>
    <w:p>
      <w:pPr>
        <w:tabs>
          <w:tab w:pos="7920" w:val="right"/>
        </w:tabs>
        <w:spacing w:before="20" w:after="60"/>
      </w:pPr>
      <w:r>
        <w:rPr>
          <w:rFonts w:ascii="Times New Roman" w:hAnsi="Times New Roman"/>
          <w:b w:val="0"/>
          <w:i w:val="0"/>
          <w:sz w:val="22"/>
        </w:rPr>
        <w:t>Figure 7.3   Escalation Action Heatmap by Symptom Category</w:t>
      </w:r>
      <w:r>
        <w:rPr>
          <w:rFonts w:ascii="Times New Roman" w:hAnsi="Times New Roman"/>
          <w:b w:val="0"/>
          <w:i w:val="0"/>
          <w:sz w:val="22"/>
        </w:rPr>
        <w:tab/>
        <w:t>29</w:t>
      </w:r>
    </w:p>
    <w:p>
      <w:pPr>
        <w:tabs>
          <w:tab w:pos="7920" w:val="right"/>
        </w:tabs>
        <w:spacing w:before="20" w:after="60"/>
      </w:pPr>
      <w:r>
        <w:rPr>
          <w:rFonts w:ascii="Times New Roman" w:hAnsi="Times New Roman"/>
          <w:b w:val="0"/>
          <w:i w:val="0"/>
          <w:sz w:val="22"/>
        </w:rPr>
        <w:t>Figure 7.4   Medical Consistency Penalty Impact</w:t>
      </w:r>
      <w:r>
        <w:rPr>
          <w:rFonts w:ascii="Times New Roman" w:hAnsi="Times New Roman"/>
          <w:b w:val="0"/>
          <w:i w:val="0"/>
          <w:sz w:val="22"/>
        </w:rPr>
        <w:tab/>
        <w:t>30</w:t>
      </w:r>
    </w:p>
    <w:p>
      <w:pPr>
        <w:tabs>
          <w:tab w:pos="7920" w:val="right"/>
        </w:tabs>
        <w:spacing w:before="20" w:after="60"/>
      </w:pPr>
      <w:r>
        <w:rPr>
          <w:rFonts w:ascii="Times New Roman" w:hAnsi="Times New Roman"/>
          <w:b w:val="0"/>
          <w:i w:val="0"/>
          <w:sz w:val="22"/>
        </w:rPr>
        <w:t>Figure 10.1   Logistic Regression – Normalised Confusion Matrix</w:t>
      </w:r>
      <w:r>
        <w:rPr>
          <w:rFonts w:ascii="Times New Roman" w:hAnsi="Times New Roman"/>
          <w:b w:val="0"/>
          <w:i w:val="0"/>
          <w:sz w:val="22"/>
        </w:rPr>
        <w:tab/>
        <w:t>36</w:t>
      </w:r>
    </w:p>
    <w:p>
      <w:pPr>
        <w:tabs>
          <w:tab w:pos="7920" w:val="right"/>
        </w:tabs>
        <w:spacing w:before="20" w:after="60"/>
      </w:pPr>
      <w:r>
        <w:rPr>
          <w:rFonts w:ascii="Times New Roman" w:hAnsi="Times New Roman"/>
          <w:b w:val="0"/>
          <w:i w:val="0"/>
          <w:sz w:val="22"/>
        </w:rPr>
        <w:t>Figure 10.2   Logistic Regression – Confidence Distribution</w:t>
      </w:r>
      <w:r>
        <w:rPr>
          <w:rFonts w:ascii="Times New Roman" w:hAnsi="Times New Roman"/>
          <w:b w:val="0"/>
          <w:i w:val="0"/>
          <w:sz w:val="22"/>
        </w:rPr>
        <w:tab/>
        <w:t>36</w:t>
      </w:r>
    </w:p>
    <w:p>
      <w:pPr>
        <w:tabs>
          <w:tab w:pos="7920" w:val="right"/>
        </w:tabs>
        <w:spacing w:before="20" w:after="60"/>
      </w:pPr>
      <w:r>
        <w:rPr>
          <w:rFonts w:ascii="Times New Roman" w:hAnsi="Times New Roman"/>
          <w:b w:val="0"/>
          <w:i w:val="0"/>
          <w:sz w:val="22"/>
        </w:rPr>
        <w:t>Figure 10.3   Logistic Regression – Uncertainty Entropy Histogram</w:t>
      </w:r>
      <w:r>
        <w:rPr>
          <w:rFonts w:ascii="Times New Roman" w:hAnsi="Times New Roman"/>
          <w:b w:val="0"/>
          <w:i w:val="0"/>
          <w:sz w:val="22"/>
        </w:rPr>
        <w:tab/>
        <w:t>37</w:t>
      </w:r>
    </w:p>
    <w:p>
      <w:pPr>
        <w:tabs>
          <w:tab w:pos="7920" w:val="right"/>
        </w:tabs>
        <w:spacing w:before="20" w:after="60"/>
      </w:pPr>
      <w:r>
        <w:rPr>
          <w:rFonts w:ascii="Times New Roman" w:hAnsi="Times New Roman"/>
          <w:b w:val="0"/>
          <w:i w:val="0"/>
          <w:sz w:val="22"/>
        </w:rPr>
        <w:t>Figure 10.4   Naive Bayes – Normalised Confusion Matrix</w:t>
      </w:r>
      <w:r>
        <w:rPr>
          <w:rFonts w:ascii="Times New Roman" w:hAnsi="Times New Roman"/>
          <w:b w:val="0"/>
          <w:i w:val="0"/>
          <w:sz w:val="22"/>
        </w:rPr>
        <w:tab/>
        <w:t>37</w:t>
      </w:r>
    </w:p>
    <w:p>
      <w:pPr>
        <w:tabs>
          <w:tab w:pos="7920" w:val="right"/>
        </w:tabs>
        <w:spacing w:before="20" w:after="60"/>
      </w:pPr>
      <w:r>
        <w:rPr>
          <w:rFonts w:ascii="Times New Roman" w:hAnsi="Times New Roman"/>
          <w:b w:val="0"/>
          <w:i w:val="0"/>
          <w:sz w:val="22"/>
        </w:rPr>
        <w:t>Figure 11.1   Confidence Score Distribution – Validation Suite</w:t>
      </w:r>
      <w:r>
        <w:rPr>
          <w:rFonts w:ascii="Times New Roman" w:hAnsi="Times New Roman"/>
          <w:b w:val="0"/>
          <w:i w:val="0"/>
          <w:sz w:val="22"/>
        </w:rPr>
        <w:tab/>
        <w:t>39</w:t>
      </w:r>
    </w:p>
    <w:p>
      <w:pPr>
        <w:tabs>
          <w:tab w:pos="7920" w:val="right"/>
        </w:tabs>
        <w:spacing w:before="20" w:after="60"/>
      </w:pPr>
      <w:r>
        <w:rPr>
          <w:rFonts w:ascii="Times New Roman" w:hAnsi="Times New Roman"/>
          <w:b w:val="0"/>
          <w:i w:val="0"/>
          <w:sz w:val="22"/>
        </w:rPr>
        <w:t>Figure 11.2   Severity Category Distribution – Test Cases</w:t>
      </w:r>
      <w:r>
        <w:rPr>
          <w:rFonts w:ascii="Times New Roman" w:hAnsi="Times New Roman"/>
          <w:b w:val="0"/>
          <w:i w:val="0"/>
          <w:sz w:val="22"/>
        </w:rPr>
        <w:tab/>
        <w:t>40</w:t>
      </w:r>
    </w:p>
    <w:p>
      <w:r>
        <w:br w:type="page"/>
      </w:r>
    </w:p>
    <w:p>
      <w:pPr>
        <w:spacing w:before="0" w:after="160"/>
        <w:jc w:val="center"/>
      </w:pPr>
      <w:r>
        <w:rPr>
          <w:rFonts w:ascii="Times New Roman" w:hAnsi="Times New Roman"/>
          <w:b/>
          <w:i w:val="0"/>
          <w:sz w:val="32"/>
          <w:u w:val="single"/>
        </w:rPr>
        <w:t>LIST OF TABLES</w:t>
      </w:r>
    </w:p>
    <w:p>
      <w:pPr>
        <w:spacing w:before="0" w:after="80"/>
        <w:jc w:val="both"/>
      </w:pPr>
    </w:p>
    <w:p>
      <w:pPr>
        <w:tabs>
          <w:tab w:pos="7920" w:val="right"/>
        </w:tabs>
      </w:pPr>
      <w:r>
        <w:rPr>
          <w:rFonts w:ascii="Times New Roman" w:hAnsi="Times New Roman"/>
          <w:b/>
          <w:i w:val="0"/>
          <w:sz w:val="24"/>
        </w:rPr>
        <w:t>Table No.   Title</w:t>
      </w:r>
      <w:r>
        <w:rPr>
          <w:rFonts w:ascii="Times New Roman" w:hAnsi="Times New Roman"/>
          <w:b/>
          <w:i w:val="0"/>
          <w:sz w:val="24"/>
        </w:rPr>
        <w:tab/>
        <w:t>Page No.</w:t>
      </w:r>
    </w:p>
    <w:p>
      <w:pPr>
        <w:jc w:val="center"/>
        <w:pBdr>
          <w:bottom w:val="single" w:sz="6" w:space="1" w:color="000000"/>
        </w:pBdr>
      </w:pPr>
    </w:p>
    <w:p>
      <w:pPr>
        <w:tabs>
          <w:tab w:pos="7920" w:val="right"/>
        </w:tabs>
        <w:spacing w:before="20" w:after="60"/>
      </w:pPr>
      <w:r>
        <w:rPr>
          <w:rFonts w:ascii="Times New Roman" w:hAnsi="Times New Roman"/>
          <w:b w:val="0"/>
          <w:i w:val="0"/>
          <w:sz w:val="22"/>
        </w:rPr>
        <w:t>Table 5.1   Dataset Summary – Size, Format, and Source</w:t>
      </w:r>
      <w:r>
        <w:rPr>
          <w:rFonts w:ascii="Times New Roman" w:hAnsi="Times New Roman"/>
          <w:b w:val="0"/>
          <w:i w:val="0"/>
          <w:sz w:val="22"/>
        </w:rPr>
        <w:tab/>
        <w:t>16</w:t>
      </w:r>
    </w:p>
    <w:p>
      <w:pPr>
        <w:tabs>
          <w:tab w:pos="7920" w:val="right"/>
        </w:tabs>
        <w:spacing w:before="20" w:after="60"/>
      </w:pPr>
      <w:r>
        <w:rPr>
          <w:rFonts w:ascii="Times New Roman" w:hAnsi="Times New Roman"/>
          <w:b w:val="0"/>
          <w:i w:val="0"/>
          <w:sz w:val="22"/>
        </w:rPr>
        <w:t>Table 5.2   Preprocessing Steps Applied to Each Dataset</w:t>
      </w:r>
      <w:r>
        <w:rPr>
          <w:rFonts w:ascii="Times New Roman" w:hAnsi="Times New Roman"/>
          <w:b w:val="0"/>
          <w:i w:val="0"/>
          <w:sz w:val="22"/>
        </w:rPr>
        <w:tab/>
        <w:t>19</w:t>
      </w:r>
    </w:p>
    <w:p>
      <w:pPr>
        <w:tabs>
          <w:tab w:pos="7920" w:val="right"/>
        </w:tabs>
        <w:spacing w:before="20" w:after="60"/>
      </w:pPr>
      <w:r>
        <w:rPr>
          <w:rFonts w:ascii="Times New Roman" w:hAnsi="Times New Roman"/>
          <w:b w:val="0"/>
          <w:i w:val="0"/>
          <w:sz w:val="22"/>
        </w:rPr>
        <w:t>Table 6.1   TF-IDF Configuration Parameters</w:t>
      </w:r>
      <w:r>
        <w:rPr>
          <w:rFonts w:ascii="Times New Roman" w:hAnsi="Times New Roman"/>
          <w:b w:val="0"/>
          <w:i w:val="0"/>
          <w:sz w:val="22"/>
        </w:rPr>
        <w:tab/>
        <w:t>21</w:t>
      </w:r>
    </w:p>
    <w:p>
      <w:pPr>
        <w:tabs>
          <w:tab w:pos="7920" w:val="right"/>
        </w:tabs>
        <w:spacing w:before="20" w:after="60"/>
      </w:pPr>
      <w:r>
        <w:rPr>
          <w:rFonts w:ascii="Times New Roman" w:hAnsi="Times New Roman"/>
          <w:b w:val="0"/>
          <w:i w:val="0"/>
          <w:sz w:val="22"/>
        </w:rPr>
        <w:t>Table 7.1   Emergency Symptom Categories and Trigger Keywords</w:t>
      </w:r>
      <w:r>
        <w:rPr>
          <w:rFonts w:ascii="Times New Roman" w:hAnsi="Times New Roman"/>
          <w:b w:val="0"/>
          <w:i w:val="0"/>
          <w:sz w:val="22"/>
        </w:rPr>
        <w:tab/>
        <w:t>25</w:t>
      </w:r>
    </w:p>
    <w:p>
      <w:pPr>
        <w:tabs>
          <w:tab w:pos="7920" w:val="right"/>
        </w:tabs>
        <w:spacing w:before="20" w:after="60"/>
      </w:pPr>
      <w:r>
        <w:rPr>
          <w:rFonts w:ascii="Times New Roman" w:hAnsi="Times New Roman"/>
          <w:b w:val="0"/>
          <w:i w:val="0"/>
          <w:sz w:val="22"/>
        </w:rPr>
        <w:t>Table 7.2   Medical Consistency Penalty Scheme</w:t>
      </w:r>
      <w:r>
        <w:rPr>
          <w:rFonts w:ascii="Times New Roman" w:hAnsi="Times New Roman"/>
          <w:b w:val="0"/>
          <w:i w:val="0"/>
          <w:sz w:val="22"/>
        </w:rPr>
        <w:tab/>
        <w:t>27</w:t>
      </w:r>
    </w:p>
    <w:p>
      <w:pPr>
        <w:tabs>
          <w:tab w:pos="7920" w:val="right"/>
        </w:tabs>
        <w:spacing w:before="20" w:after="60"/>
      </w:pPr>
      <w:r>
        <w:rPr>
          <w:rFonts w:ascii="Times New Roman" w:hAnsi="Times New Roman"/>
          <w:b w:val="0"/>
          <w:i w:val="0"/>
          <w:sz w:val="22"/>
        </w:rPr>
        <w:t>Table 7.3   Safety Metric Definitions</w:t>
      </w:r>
      <w:r>
        <w:rPr>
          <w:rFonts w:ascii="Times New Roman" w:hAnsi="Times New Roman"/>
          <w:b w:val="0"/>
          <w:i w:val="0"/>
          <w:sz w:val="22"/>
        </w:rPr>
        <w:tab/>
        <w:t>27</w:t>
      </w:r>
    </w:p>
    <w:p>
      <w:pPr>
        <w:tabs>
          <w:tab w:pos="7920" w:val="right"/>
        </w:tabs>
        <w:spacing w:before="20" w:after="60"/>
      </w:pPr>
      <w:r>
        <w:rPr>
          <w:rFonts w:ascii="Times New Roman" w:hAnsi="Times New Roman"/>
          <w:b w:val="0"/>
          <w:i w:val="0"/>
          <w:sz w:val="22"/>
        </w:rPr>
        <w:t>Table 11.1   Model Performance Comparison – All Classifiers</w:t>
      </w:r>
      <w:r>
        <w:rPr>
          <w:rFonts w:ascii="Times New Roman" w:hAnsi="Times New Roman"/>
          <w:b w:val="0"/>
          <w:i w:val="0"/>
          <w:sz w:val="22"/>
        </w:rPr>
        <w:tab/>
        <w:t>38</w:t>
      </w:r>
    </w:p>
    <w:p>
      <w:pPr>
        <w:tabs>
          <w:tab w:pos="7920" w:val="right"/>
        </w:tabs>
        <w:spacing w:before="20" w:after="60"/>
      </w:pPr>
      <w:r>
        <w:rPr>
          <w:rFonts w:ascii="Times New Roman" w:hAnsi="Times New Roman"/>
          <w:b w:val="0"/>
          <w:i w:val="0"/>
          <w:sz w:val="22"/>
        </w:rPr>
        <w:t>Table 11.2   Final Safety Metrics – Validation Suite Results</w:t>
      </w:r>
      <w:r>
        <w:rPr>
          <w:rFonts w:ascii="Times New Roman" w:hAnsi="Times New Roman"/>
          <w:b w:val="0"/>
          <w:i w:val="0"/>
          <w:sz w:val="22"/>
        </w:rPr>
        <w:tab/>
        <w:t>39</w:t>
      </w:r>
    </w:p>
    <w:p>
      <w:pPr>
        <w:tabs>
          <w:tab w:pos="7920" w:val="right"/>
        </w:tabs>
        <w:spacing w:before="20" w:after="60"/>
      </w:pPr>
      <w:r>
        <w:rPr>
          <w:rFonts w:ascii="Times New Roman" w:hAnsi="Times New Roman"/>
          <w:b w:val="0"/>
          <w:i w:val="0"/>
          <w:sz w:val="22"/>
        </w:rPr>
        <w:t>Table 11.3   Before vs. After Safety Layer – Failure Reduction</w:t>
      </w:r>
      <w:r>
        <w:rPr>
          <w:rFonts w:ascii="Times New Roman" w:hAnsi="Times New Roman"/>
          <w:b w:val="0"/>
          <w:i w:val="0"/>
          <w:sz w:val="22"/>
        </w:rPr>
        <w:tab/>
        <w:t>40</w:t>
      </w:r>
    </w:p>
    <w:p>
      <w:pPr>
        <w:tabs>
          <w:tab w:pos="7920" w:val="right"/>
        </w:tabs>
        <w:spacing w:before="20" w:after="60"/>
      </w:pPr>
      <w:r>
        <w:rPr>
          <w:rFonts w:ascii="Times New Roman" w:hAnsi="Times New Roman"/>
          <w:b w:val="0"/>
          <w:i w:val="0"/>
          <w:sz w:val="22"/>
        </w:rPr>
        <w:t>Table 11.4   Top Confused Disease Pairs – Logistic Regression</w:t>
      </w:r>
      <w:r>
        <w:rPr>
          <w:rFonts w:ascii="Times New Roman" w:hAnsi="Times New Roman"/>
          <w:b w:val="0"/>
          <w:i w:val="0"/>
          <w:sz w:val="22"/>
        </w:rPr>
        <w:tab/>
        <w:t>41</w:t>
      </w:r>
    </w:p>
    <w:p>
      <w:pPr>
        <w:tabs>
          <w:tab w:pos="7920" w:val="right"/>
        </w:tabs>
        <w:spacing w:before="20" w:after="60"/>
      </w:pPr>
      <w:r>
        <w:rPr>
          <w:rFonts w:ascii="Times New Roman" w:hAnsi="Times New Roman"/>
          <w:b w:val="0"/>
          <w:i w:val="0"/>
          <w:sz w:val="22"/>
        </w:rPr>
        <w:t>Table 11.5   Hardest Disease Classes – Low F1-Score</w:t>
      </w:r>
      <w:r>
        <w:rPr>
          <w:rFonts w:ascii="Times New Roman" w:hAnsi="Times New Roman"/>
          <w:b w:val="0"/>
          <w:i w:val="0"/>
          <w:sz w:val="22"/>
        </w:rPr>
        <w:tab/>
        <w:t>41</w:t>
      </w:r>
    </w:p>
    <w:p>
      <w:pPr>
        <w:spacing w:before="0" w:after="120" w:line="400" w:lineRule="exact"/>
        <w:jc w:val="left"/>
      </w:pPr>
      <w:r>
        <w:rPr>
          <w:rFonts w:ascii="Times New Roman" w:hAnsi="Times New Roman"/>
          <w:b/>
          <w:i w:val="0"/>
          <w:sz w:val="32"/>
          <w:u w:val="single"/>
        </w:rPr>
        <w:t>Chapter 1: Introduction</w:t>
      </w:r>
    </w:p>
    <w:p>
      <w:pPr>
        <w:pBdr>
          <w:bottom w:val="single" w:sz="6" w:space="1" w:color="4472C4"/>
        </w:pBdr>
      </w:pPr>
    </w:p>
    <w:p>
      <w:pPr>
        <w:spacing w:before="200" w:after="80" w:line="360" w:lineRule="exact"/>
        <w:jc w:val="left"/>
      </w:pPr>
      <w:r>
        <w:rPr>
          <w:rFonts w:ascii="Times New Roman" w:hAnsi="Times New Roman"/>
          <w:b/>
          <w:i w:val="0"/>
          <w:sz w:val="26"/>
          <w:u w:val="none"/>
        </w:rPr>
        <w:t>1.1  Background and Motivation</w:t>
      </w:r>
    </w:p>
    <w:p>
      <w:pPr>
        <w:spacing w:before="0" w:after="160" w:line="360" w:lineRule="exact"/>
        <w:ind w:firstLine="432"/>
        <w:jc w:val="both"/>
      </w:pPr>
      <w:r>
        <w:rPr>
          <w:rFonts w:ascii="Times New Roman" w:hAnsi="Times New Roman"/>
          <w:b w:val="0"/>
          <w:i w:val="0"/>
          <w:sz w:val="24"/>
          <w:u w:val="none"/>
        </w:rPr>
        <w:t>Access to reliable preliminary medical guidance remains a significant challenge in many parts of the world, particularly in low-resource and rural settings where qualified healthcare professionals may be scarce or difficult to reach. India alone has an estimated doctor-to-patient ratio well below the WHO-recommended standard of 1:1000, with rural regions disproportionately affected. In this context, there is a genuine and growing need for AI-assisted triage tools that can help patients understand the urgency of their symptoms and make informed decisions about seeking professional care.</w:t>
      </w:r>
    </w:p>
    <w:p>
      <w:pPr>
        <w:spacing w:before="0" w:after="160" w:line="360" w:lineRule="exact"/>
        <w:ind w:firstLine="432"/>
        <w:jc w:val="both"/>
      </w:pPr>
      <w:r>
        <w:rPr>
          <w:rFonts w:ascii="Times New Roman" w:hAnsi="Times New Roman"/>
          <w:b w:val="0"/>
          <w:i w:val="0"/>
          <w:sz w:val="24"/>
          <w:u w:val="none"/>
        </w:rPr>
        <w:t>Over the last decade, machine learning has shown considerable promise in medical applications, ranging from diagnostic imaging to drug discovery. For symptom-based triage, approaches built on classical classification algorithms—particularly those using bag-of-words or TF-IDF feature representations—have demonstrated reasonable predictive accuracy on curated datasets. However, a fundamental problem has persisted: these systems are statistically driven and therefore do not inherently differentiate between the clinical urgency of different conditions. A purely probabilistic model might assign a high confidence score to a benign diagnosis even when the input symptoms describe a life-threatening emergency.</w:t>
      </w:r>
    </w:p>
    <w:p>
      <w:pPr>
        <w:spacing w:before="0" w:after="160" w:line="360" w:lineRule="exact"/>
        <w:ind w:firstLine="432"/>
        <w:jc w:val="both"/>
      </w:pPr>
      <w:r>
        <w:rPr>
          <w:rFonts w:ascii="Times New Roman" w:hAnsi="Times New Roman"/>
          <w:b w:val="0"/>
          <w:i w:val="0"/>
          <w:sz w:val="24"/>
          <w:u w:val="none"/>
        </w:rPr>
        <w:t>This issue is not merely academic. During exploratory testing conducted as part of this project, a TF-IDF-based Logistic Regression classifier—trained on over 163,000 labelled symptom records—produced outputs such as predicting 'Bell Palsy' for stroke symptoms and 'Asthma' for hemoptysis combined with acute respiratory distress. These are precisely the kind of failures that would be catastrophic in a real-world triage setting. The problem is not the machine learning model itself, but the architectural assumption that a single statistical pipeline is sufficient for healthcare decisions.</w:t>
      </w:r>
    </w:p>
    <w:p>
      <w:pPr>
        <w:spacing w:before="0" w:after="160" w:line="360" w:lineRule="exact"/>
        <w:ind w:firstLine="432"/>
        <w:jc w:val="both"/>
      </w:pPr>
      <w:r>
        <w:rPr>
          <w:rFonts w:ascii="Times New Roman" w:hAnsi="Times New Roman"/>
          <w:b w:val="0"/>
          <w:i w:val="0"/>
          <w:sz w:val="24"/>
          <w:u w:val="none"/>
        </w:rPr>
        <w:t>MediAssist AI was designed in direct response to this observation. The project's central thesis is that in healthcare triage AI, safety and responsible escalation must always supersede raw prediction accuracy. This requires treating safety and statistical inference as separate, independently verifiable architectural layers rather than combining them into a single end-to-end model.</w:t>
      </w:r>
    </w:p>
    <w:p>
      <w:pPr>
        <w:spacing w:before="280" w:after="80" w:line="360" w:lineRule="exact"/>
        <w:jc w:val="left"/>
      </w:pPr>
      <w:r>
        <w:rPr>
          <w:rFonts w:ascii="Times New Roman" w:hAnsi="Times New Roman"/>
          <w:b/>
          <w:i w:val="0"/>
          <w:sz w:val="26"/>
          <w:u w:val="none"/>
        </w:rPr>
        <w:t>1.2  Scope of the Project</w:t>
      </w:r>
    </w:p>
    <w:p>
      <w:pPr>
        <w:spacing w:before="0" w:after="160" w:line="360" w:lineRule="exact"/>
        <w:ind w:firstLine="432"/>
        <w:jc w:val="both"/>
      </w:pPr>
      <w:r>
        <w:rPr>
          <w:rFonts w:ascii="Times New Roman" w:hAnsi="Times New Roman"/>
          <w:b w:val="0"/>
          <w:i w:val="0"/>
          <w:sz w:val="24"/>
          <w:u w:val="none"/>
        </w:rPr>
        <w:t>MediAssist AI is explicitly positioned as a preliminary symptom analysis and triage assistance tool. It is not intended to replace professional medical consultation, and this distinction is made clear to the user throughout the interface. The system is designed to:</w:t>
      </w:r>
    </w:p>
    <w:p>
      <w:pPr>
        <w:pStyle w:val="ListBullet"/>
        <w:spacing w:before="40" w:after="40" w:line="320" w:lineRule="exact"/>
        <w:ind w:left="576"/>
      </w:pPr>
      <w:r>
        <w:rPr>
          <w:rFonts w:ascii="Times New Roman" w:hAnsi="Times New Roman"/>
          <w:b w:val="0"/>
          <w:i w:val="0"/>
          <w:sz w:val="24"/>
          <w:u w:val="none"/>
        </w:rPr>
        <w:t>Accept natural language symptom descriptions from users.</w:t>
      </w:r>
    </w:p>
    <w:p>
      <w:pPr>
        <w:pStyle w:val="ListBullet"/>
        <w:spacing w:before="40" w:after="40" w:line="320" w:lineRule="exact"/>
        <w:ind w:left="576"/>
      </w:pPr>
      <w:r>
        <w:rPr>
          <w:rFonts w:ascii="Times New Roman" w:hAnsi="Times New Roman"/>
          <w:b w:val="0"/>
          <w:i w:val="0"/>
          <w:sz w:val="24"/>
          <w:u w:val="none"/>
        </w:rPr>
        <w:t>Detect life-threatening emergency symptom patterns and escalate them immediately, bypassing any statistical inference.</w:t>
      </w:r>
    </w:p>
    <w:p>
      <w:pPr>
        <w:pStyle w:val="ListBullet"/>
        <w:spacing w:before="40" w:after="40" w:line="320" w:lineRule="exact"/>
        <w:ind w:left="576"/>
      </w:pPr>
      <w:r>
        <w:rPr>
          <w:rFonts w:ascii="Times New Roman" w:hAnsi="Times New Roman"/>
          <w:b w:val="0"/>
          <w:i w:val="0"/>
          <w:sz w:val="24"/>
          <w:u w:val="none"/>
        </w:rPr>
        <w:t>Provide Top-K disease probability estimates for non-emergency inputs, accompanied by uncertainty indicators.</w:t>
      </w:r>
    </w:p>
    <w:p>
      <w:pPr>
        <w:pStyle w:val="ListBullet"/>
        <w:spacing w:before="40" w:after="40" w:line="320" w:lineRule="exact"/>
        <w:ind w:left="576"/>
      </w:pPr>
      <w:r>
        <w:rPr>
          <w:rFonts w:ascii="Times New Roman" w:hAnsi="Times New Roman"/>
          <w:b w:val="0"/>
          <w:i w:val="0"/>
          <w:sz w:val="24"/>
          <w:u w:val="none"/>
        </w:rPr>
        <w:t>Validate the medical plausibility of predictions using category-aware consistency checking.</w:t>
      </w:r>
    </w:p>
    <w:p>
      <w:pPr>
        <w:pStyle w:val="ListBullet"/>
        <w:spacing w:before="40" w:after="40" w:line="320" w:lineRule="exact"/>
        <w:ind w:left="576"/>
      </w:pPr>
      <w:r>
        <w:rPr>
          <w:rFonts w:ascii="Times New Roman" w:hAnsi="Times New Roman"/>
          <w:b w:val="0"/>
          <w:i w:val="0"/>
          <w:sz w:val="24"/>
          <w:u w:val="none"/>
        </w:rPr>
        <w:t>Recommend appropriate courses of action—ranging from home care for mild conditions to urgent hospital referral for severe presentations.</w:t>
      </w:r>
    </w:p>
    <w:p>
      <w:pPr>
        <w:pStyle w:val="ListBullet"/>
        <w:spacing w:before="40" w:after="40" w:line="320" w:lineRule="exact"/>
        <w:ind w:left="576"/>
      </w:pPr>
      <w:r>
        <w:rPr>
          <w:rFonts w:ascii="Times New Roman" w:hAnsi="Times New Roman"/>
          <w:b w:val="0"/>
          <w:i w:val="0"/>
          <w:sz w:val="24"/>
          <w:u w:val="none"/>
        </w:rPr>
        <w:t>Present outputs through a clean, severity-aware interface that communicates confidence levels, escalation status, and follow-up guidance clearly.</w:t>
      </w:r>
    </w:p>
    <w:p>
      <w:pPr>
        <w:spacing w:before="0" w:after="160" w:line="360" w:lineRule="exact"/>
        <w:ind w:firstLine="432"/>
        <w:jc w:val="both"/>
      </w:pPr>
      <w:r>
        <w:rPr>
          <w:rFonts w:ascii="Times New Roman" w:hAnsi="Times New Roman"/>
          <w:b w:val="0"/>
          <w:i w:val="0"/>
          <w:sz w:val="24"/>
          <w:u w:val="none"/>
        </w:rPr>
        <w:t>The system is built entirely on classical machine learning, making it lightweight, interpretable, and deployable without specialised GPU hardware—an important practical consideration for resource-constrained environments.</w:t>
      </w:r>
    </w:p>
    <w:p>
      <w:pPr>
        <w:spacing w:before="280" w:after="80" w:line="360" w:lineRule="exact"/>
        <w:jc w:val="left"/>
      </w:pPr>
      <w:r>
        <w:rPr>
          <w:rFonts w:ascii="Times New Roman" w:hAnsi="Times New Roman"/>
          <w:b/>
          <w:i w:val="0"/>
          <w:sz w:val="26"/>
          <w:u w:val="none"/>
        </w:rPr>
        <w:t>1.3  Project Objectives</w:t>
      </w:r>
    </w:p>
    <w:p>
      <w:pPr>
        <w:spacing w:before="0" w:after="160" w:line="360" w:lineRule="exact"/>
        <w:ind w:firstLine="432"/>
        <w:jc w:val="both"/>
      </w:pPr>
      <w:r>
        <w:rPr>
          <w:rFonts w:ascii="Times New Roman" w:hAnsi="Times New Roman"/>
          <w:b w:val="0"/>
          <w:i w:val="0"/>
          <w:sz w:val="24"/>
          <w:u w:val="none"/>
        </w:rPr>
        <w:t>The following objectives were established at the outset of this project and guided every design and implementation decision:</w:t>
      </w:r>
    </w:p>
    <w:p>
      <w:pPr>
        <w:spacing w:before="40" w:after="80" w:line="320" w:lineRule="exact"/>
        <w:ind w:left="576"/>
      </w:pPr>
      <w:r>
        <w:rPr>
          <w:rFonts w:ascii="Times New Roman" w:hAnsi="Times New Roman"/>
          <w:b w:val="0"/>
          <w:i w:val="0"/>
          <w:sz w:val="24"/>
          <w:u w:val="none"/>
        </w:rPr>
        <w:t>O1.  Design and implement a pre-ML Emergency Safety Override Layer that deterministically detects critical symptom combinations and triggers immediate escalation.</w:t>
      </w:r>
    </w:p>
    <w:p>
      <w:pPr>
        <w:spacing w:before="40" w:after="80" w:line="320" w:lineRule="exact"/>
        <w:ind w:left="576"/>
      </w:pPr>
      <w:r>
        <w:rPr>
          <w:rFonts w:ascii="Times New Roman" w:hAnsi="Times New Roman"/>
          <w:b w:val="0"/>
          <w:i w:val="0"/>
          <w:sz w:val="24"/>
          <w:u w:val="none"/>
        </w:rPr>
        <w:t>O2.  Train and evaluate classical machine learning classifiers (Logistic Regression, Naive Bayes) on a large, multi-class symptom-disease dataset and identify the best-performing model for sparse TF-IDF feature representations.</w:t>
      </w:r>
    </w:p>
    <w:p>
      <w:pPr>
        <w:spacing w:before="40" w:after="80" w:line="320" w:lineRule="exact"/>
        <w:ind w:left="576"/>
      </w:pPr>
      <w:r>
        <w:rPr>
          <w:rFonts w:ascii="Times New Roman" w:hAnsi="Times New Roman"/>
          <w:b w:val="0"/>
          <w:i w:val="0"/>
          <w:sz w:val="24"/>
          <w:u w:val="none"/>
        </w:rPr>
        <w:t>O3.  Implement Top-K prediction logic with uncertainty estimation to avoid overconfident single-label outputs for ambiguous symptom presentations.</w:t>
      </w:r>
    </w:p>
    <w:p>
      <w:pPr>
        <w:spacing w:before="40" w:after="80" w:line="320" w:lineRule="exact"/>
        <w:ind w:left="576"/>
      </w:pPr>
      <w:r>
        <w:rPr>
          <w:rFonts w:ascii="Times New Roman" w:hAnsi="Times New Roman"/>
          <w:b w:val="0"/>
          <w:i w:val="0"/>
          <w:sz w:val="24"/>
          <w:u w:val="none"/>
        </w:rPr>
        <w:t>O4.  Develop a Medical Consistency Validator that cross-references predicted disease categories with input symptom categories and applies confidence penalties to medically implausible predictions.</w:t>
      </w:r>
    </w:p>
    <w:p>
      <w:pPr>
        <w:spacing w:before="40" w:after="80" w:line="320" w:lineRule="exact"/>
        <w:ind w:left="576"/>
      </w:pPr>
      <w:r>
        <w:rPr>
          <w:rFonts w:ascii="Times New Roman" w:hAnsi="Times New Roman"/>
          <w:b w:val="0"/>
          <w:i w:val="0"/>
          <w:sz w:val="24"/>
          <w:u w:val="none"/>
        </w:rPr>
        <w:t>O5.  Build a safety-aware evaluation framework using healthcare-specific metrics: Emergency Escalation Accuracy (EEA), Missed Emergency Rate (MER), and Unsafe Prediction Rate (UPR).</w:t>
      </w:r>
    </w:p>
    <w:p>
      <w:pPr>
        <w:spacing w:before="40" w:after="80" w:line="320" w:lineRule="exact"/>
        <w:ind w:left="576"/>
      </w:pPr>
      <w:r>
        <w:rPr>
          <w:rFonts w:ascii="Times New Roman" w:hAnsi="Times New Roman"/>
          <w:b w:val="0"/>
          <w:i w:val="0"/>
          <w:sz w:val="24"/>
          <w:u w:val="none"/>
        </w:rPr>
        <w:t>O6.  Design a severity-aware Streamlit frontend with a glassmorphism aesthetic that communicates prediction confidence, escalation status, and home care guidance in a user-friendly manner.</w:t>
      </w:r>
    </w:p>
    <w:p>
      <w:pPr>
        <w:spacing w:before="40" w:after="80" w:line="320" w:lineRule="exact"/>
        <w:ind w:left="576"/>
      </w:pPr>
      <w:r>
        <w:rPr>
          <w:rFonts w:ascii="Times New Roman" w:hAnsi="Times New Roman"/>
          <w:b w:val="0"/>
          <w:i w:val="0"/>
          <w:sz w:val="24"/>
          <w:u w:val="none"/>
        </w:rPr>
        <w:t>O7.  Conduct a comprehensive 500-case validation study and document all findings in a reproducible research framework.</w:t>
      </w:r>
    </w:p>
    <w:p>
      <w:pPr>
        <w:spacing w:before="280" w:after="80" w:line="360" w:lineRule="exact"/>
        <w:jc w:val="left"/>
      </w:pPr>
      <w:r>
        <w:rPr>
          <w:rFonts w:ascii="Times New Roman" w:hAnsi="Times New Roman"/>
          <w:b/>
          <w:i w:val="0"/>
          <w:sz w:val="26"/>
          <w:u w:val="none"/>
        </w:rPr>
        <w:t>1.4  Report Organisation</w:t>
      </w:r>
    </w:p>
    <w:p>
      <w:pPr>
        <w:spacing w:before="0" w:after="160" w:line="360" w:lineRule="exact"/>
        <w:ind w:firstLine="432"/>
        <w:jc w:val="both"/>
      </w:pPr>
      <w:r>
        <w:rPr>
          <w:rFonts w:ascii="Times New Roman" w:hAnsi="Times New Roman"/>
          <w:b w:val="0"/>
          <w:i w:val="0"/>
          <w:sz w:val="24"/>
          <w:u w:val="none"/>
        </w:rPr>
        <w:t>The remainder of this report is organised as follows. Chapter 2 reviews existing work on symptom-checking systems, ML-based healthcare assistants, and the identified gaps that motivated this project. Chapter 3 formally states the problem. Chapters 4 through 9 detail the system architecture, dataset, methodology, safety design, frontend, and implementation. Chapters 10 and 11 cover the testing strategy and results. Chapters 12 through 14 discuss limitations, future directions, and conclusions.</w:t>
      </w:r>
    </w:p>
    <w:p>
      <w:r>
        <w:br w:type="page"/>
      </w:r>
    </w:p>
    <w:p>
      <w:pPr>
        <w:spacing w:before="0" w:after="120" w:line="400" w:lineRule="exact"/>
        <w:jc w:val="left"/>
      </w:pPr>
      <w:r>
        <w:rPr>
          <w:rFonts w:ascii="Times New Roman" w:hAnsi="Times New Roman"/>
          <w:b/>
          <w:i w:val="0"/>
          <w:sz w:val="32"/>
          <w:u w:val="single"/>
        </w:rPr>
        <w:t>Chapter 2: Literature Survey</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This chapter surveys existing approaches to AI-assisted medical symptom checking, healthcare natural language processing, and uncertainty-aware classification. It identifies the key limitations in current work that this project directly addresses.</w:t>
      </w:r>
    </w:p>
    <w:p>
      <w:pPr>
        <w:spacing w:before="280" w:after="80" w:line="360" w:lineRule="exact"/>
        <w:jc w:val="left"/>
      </w:pPr>
      <w:r>
        <w:rPr>
          <w:rFonts w:ascii="Times New Roman" w:hAnsi="Times New Roman"/>
          <w:b/>
          <w:i w:val="0"/>
          <w:sz w:val="26"/>
          <w:u w:val="none"/>
        </w:rPr>
        <w:t>2.1  Rule-Based and Symptom Checker Systems</w:t>
      </w:r>
    </w:p>
    <w:p>
      <w:pPr>
        <w:spacing w:before="0" w:after="160" w:line="360" w:lineRule="exact"/>
        <w:ind w:firstLine="432"/>
        <w:jc w:val="both"/>
      </w:pPr>
      <w:r>
        <w:rPr>
          <w:rFonts w:ascii="Times New Roman" w:hAnsi="Times New Roman"/>
          <w:b w:val="0"/>
          <w:i w:val="0"/>
          <w:sz w:val="24"/>
          <w:u w:val="none"/>
        </w:rPr>
        <w:t>The earliest computer-assisted diagnostic tools were entirely rule-based—expert systems that encoded clinical decision trees constructed by domain specialists. Systems such as MYCIN [1] and Internist-1 [2], developed in the 1970s and 1980s, demonstrated that structured clinical knowledge could be represented computationally. However, these systems required enormous manual effort to build and were brittle: any symptom pattern outside the manually encoded rules was unhandled.</w:t>
      </w:r>
    </w:p>
    <w:p>
      <w:pPr>
        <w:spacing w:before="0" w:after="160" w:line="360" w:lineRule="exact"/>
        <w:ind w:firstLine="432"/>
        <w:jc w:val="both"/>
      </w:pPr>
      <w:r>
        <w:rPr>
          <w:rFonts w:ascii="Times New Roman" w:hAnsi="Times New Roman"/>
          <w:b w:val="0"/>
          <w:i w:val="0"/>
          <w:sz w:val="24"/>
          <w:u w:val="none"/>
        </w:rPr>
        <w:t>Modern consumer-facing symptom checkers, such as Ada Health, Babylon Health, and WebMD's Symptom Checker, typically combine probabilistic Bayesian networks with curated medical ontologies. Studies assessing these tools have found significant variability in their accuracy [3]. Semigran et al. (2015) evaluated 23 symptom checkers and found that the correct diagnosis appeared first in only 34% of cases, though it appeared in the top-20 results 58% of the time [4]. Critically, most of these systems lacked explicit emergency detection mechanisms, raising patient safety concerns for high-acuity presentations.</w:t>
      </w:r>
    </w:p>
    <w:p>
      <w:pPr>
        <w:spacing w:before="0" w:after="160" w:line="360" w:lineRule="exact"/>
        <w:ind w:firstLine="432"/>
        <w:jc w:val="both"/>
      </w:pPr>
      <w:r>
        <w:rPr>
          <w:rFonts w:ascii="Times New Roman" w:hAnsi="Times New Roman"/>
          <w:b w:val="0"/>
          <w:i w:val="0"/>
          <w:sz w:val="24"/>
          <w:u w:val="none"/>
        </w:rPr>
        <w:t>The fundamental limitation of purely rule-based approaches is their inability to generalise to unseen symptom combinations. This motivated the shift toward data-driven machine learning methods in healthcare NLP research.</w:t>
      </w:r>
    </w:p>
    <w:p>
      <w:pPr>
        <w:spacing w:before="280" w:after="80" w:line="360" w:lineRule="exact"/>
        <w:jc w:val="left"/>
      </w:pPr>
      <w:r>
        <w:rPr>
          <w:rFonts w:ascii="Times New Roman" w:hAnsi="Times New Roman"/>
          <w:b/>
          <w:i w:val="0"/>
          <w:sz w:val="26"/>
          <w:u w:val="none"/>
        </w:rPr>
        <w:t>2.2  Machine Learning Approaches in Healthcare Symptom Analysis</w:t>
      </w:r>
    </w:p>
    <w:p>
      <w:pPr>
        <w:spacing w:before="0" w:after="160" w:line="360" w:lineRule="exact"/>
        <w:ind w:firstLine="432"/>
        <w:jc w:val="both"/>
      </w:pPr>
      <w:r>
        <w:rPr>
          <w:rFonts w:ascii="Times New Roman" w:hAnsi="Times New Roman"/>
          <w:b w:val="0"/>
          <w:i w:val="0"/>
          <w:sz w:val="24"/>
          <w:u w:val="none"/>
        </w:rPr>
        <w:t>Text-based symptom classification using machine learning was explored as early as the 2000s. Chapman et al. (2001) demonstrated that simple NLP pipelines could extract meaningful clinical features from patient records [5]. The subsequent decade saw TF-IDF vectorisation become the de facto baseline for medical text classification due to its simplicity, interpretability, and effectiveness on sparse, domain-specific vocabulary [6].</w:t>
      </w:r>
    </w:p>
    <w:p>
      <w:pPr>
        <w:spacing w:before="0" w:after="160" w:line="360" w:lineRule="exact"/>
        <w:ind w:firstLine="432"/>
        <w:jc w:val="both"/>
      </w:pPr>
      <w:r>
        <w:rPr>
          <w:rFonts w:ascii="Times New Roman" w:hAnsi="Times New Roman"/>
          <w:b w:val="0"/>
          <w:i w:val="0"/>
          <w:sz w:val="24"/>
          <w:u w:val="none"/>
        </w:rPr>
        <w:t>Logistic Regression has consistently been a strong performer in multi-class text classification tasks, including medical symptom prediction. Wang and Manning (2012) showed that for high-dimensional sparse features—precisely the setting produced by TF-IDF on medical text—Logistic Regression often outperforms more complex models including Support Vector Machines and ensemble methods [7]. This finding is directly relevant to MediAssist AI and is empirically confirmed by the results presented in Chapter 11.</w:t>
      </w:r>
    </w:p>
    <w:p>
      <w:pPr>
        <w:spacing w:before="0" w:after="160" w:line="360" w:lineRule="exact"/>
        <w:ind w:firstLine="432"/>
        <w:jc w:val="both"/>
      </w:pPr>
      <w:r>
        <w:rPr>
          <w:rFonts w:ascii="Times New Roman" w:hAnsi="Times New Roman"/>
          <w:b w:val="0"/>
          <w:i w:val="0"/>
          <w:sz w:val="24"/>
          <w:u w:val="none"/>
        </w:rPr>
        <w:t>Random Forest classifiers have been applied to symptom-based diagnosis by several researchers [8]. While Random Forests can capture non-linear interactions between features, they tend to perform poorly when features are highly sparse—the typical case with TF-IDF vectors over a large symptom vocabulary. Each tree in the forest sees only a random subset of features per split, which in sparse spaces results in most splits being uninformative. The experimental results in this project confirmed this behaviour, with Random Forest performing 2–3% below Logistic Regression on the primary evaluation metrics.</w:t>
      </w:r>
    </w:p>
    <w:p>
      <w:pPr>
        <w:spacing w:before="0" w:after="160" w:line="360" w:lineRule="exact"/>
        <w:ind w:firstLine="432"/>
        <w:jc w:val="both"/>
      </w:pPr>
      <w:r>
        <w:rPr>
          <w:rFonts w:ascii="Times New Roman" w:hAnsi="Times New Roman"/>
          <w:b w:val="0"/>
          <w:i w:val="0"/>
          <w:sz w:val="24"/>
          <w:u w:val="none"/>
        </w:rPr>
        <w:t>Naive Bayes classifiers have a long history in text classification and have been applied to medical symptom analysis as well [9]. Despite their independence assumption—which is rarely satisfied in practice—Naive Bayes often performs surprisingly well on sparse text features, and was retained as a secondary classifier in MediAssist AI for comparison purposes.</w:t>
      </w:r>
    </w:p>
    <w:p>
      <w:pPr>
        <w:spacing w:before="280" w:after="80" w:line="360" w:lineRule="exact"/>
        <w:jc w:val="left"/>
      </w:pPr>
      <w:r>
        <w:rPr>
          <w:rFonts w:ascii="Times New Roman" w:hAnsi="Times New Roman"/>
          <w:b/>
          <w:i w:val="0"/>
          <w:sz w:val="26"/>
          <w:u w:val="none"/>
        </w:rPr>
        <w:t>2.3  Transformer-Based Healthcare NLP</w:t>
      </w:r>
    </w:p>
    <w:p>
      <w:pPr>
        <w:spacing w:before="0" w:after="160" w:line="360" w:lineRule="exact"/>
        <w:ind w:firstLine="432"/>
        <w:jc w:val="both"/>
      </w:pPr>
      <w:r>
        <w:rPr>
          <w:rFonts w:ascii="Times New Roman" w:hAnsi="Times New Roman"/>
          <w:b w:val="0"/>
          <w:i w:val="0"/>
          <w:sz w:val="24"/>
          <w:u w:val="none"/>
        </w:rPr>
        <w:t>The introduction of transformer architectures [10] and pre-trained language models such as BERT [11] significantly advanced the state of the art in clinical NLP. BioBERT [12], trained on biomedical literature, demonstrated strong performance on named entity recognition and relation extraction tasks in clinical text. ClinicalBERT [13] extended this to patient notes, achieving notable improvements in mortality prediction and hospital readmission tasks.</w:t>
      </w:r>
    </w:p>
    <w:p>
      <w:pPr>
        <w:spacing w:before="0" w:after="160" w:line="360" w:lineRule="exact"/>
        <w:ind w:firstLine="432"/>
        <w:jc w:val="both"/>
      </w:pPr>
      <w:r>
        <w:rPr>
          <w:rFonts w:ascii="Times New Roman" w:hAnsi="Times New Roman"/>
          <w:b w:val="0"/>
          <w:i w:val="0"/>
          <w:sz w:val="24"/>
          <w:u w:val="none"/>
        </w:rPr>
        <w:t>For conversational symptom checking, models such as MedPaLM [14] and GPT-4 [15] have been evaluated in clinical Q&amp;A contexts with promising results. However, these large language models introduce substantial challenges for the kind of deployment targeted by MediAssist AI: they require significant computational resources, their reasoning is opaque and difficult to audit, and they can produce plausible-sounding but medically incorrect outputs without any inherent safety guardrail.</w:t>
      </w:r>
    </w:p>
    <w:p>
      <w:pPr>
        <w:spacing w:before="0" w:after="160" w:line="360" w:lineRule="exact"/>
        <w:ind w:firstLine="432"/>
        <w:jc w:val="both"/>
      </w:pPr>
      <w:r>
        <w:rPr>
          <w:rFonts w:ascii="Times New Roman" w:hAnsi="Times New Roman"/>
          <w:b w:val="0"/>
          <w:i w:val="0"/>
          <w:sz w:val="24"/>
          <w:u w:val="none"/>
        </w:rPr>
        <w:t>Crucially, no existing transformer-based symptom checker, to the best of our knowledge, implements a deterministic emergency override layer that bypasses model inference entirely when life-threatening symptoms are detected. This represents a fundamental architectural gap that MediAssist AI is designed to address.</w:t>
      </w:r>
    </w:p>
    <w:p>
      <w:pPr>
        <w:spacing w:before="280" w:after="80" w:line="360" w:lineRule="exact"/>
        <w:jc w:val="left"/>
      </w:pPr>
      <w:r>
        <w:rPr>
          <w:rFonts w:ascii="Times New Roman" w:hAnsi="Times New Roman"/>
          <w:b/>
          <w:i w:val="0"/>
          <w:sz w:val="26"/>
          <w:u w:val="none"/>
        </w:rPr>
        <w:t>2.4  Uncertainty Estimation in Medical AI</w:t>
      </w:r>
    </w:p>
    <w:p>
      <w:pPr>
        <w:spacing w:before="0" w:after="160" w:line="360" w:lineRule="exact"/>
        <w:ind w:firstLine="432"/>
        <w:jc w:val="both"/>
      </w:pPr>
      <w:r>
        <w:rPr>
          <w:rFonts w:ascii="Times New Roman" w:hAnsi="Times New Roman"/>
          <w:b w:val="0"/>
          <w:i w:val="0"/>
          <w:sz w:val="24"/>
          <w:u w:val="none"/>
        </w:rPr>
        <w:t>The importance of uncertainty quantification in healthcare AI has been recognised in several recent works. Begoli et al. (2019) argued that uncertainty awareness is a prerequisite for trustworthy medical AI, noting that overconfident predictions in clinical settings can actively harm patients [16]. Leibig et al. (2017) applied Monte Carlo dropout to retinal imaging models and showed that uncertainty estimates correlated with clinically meaningful error rates [17].</w:t>
      </w:r>
    </w:p>
    <w:p>
      <w:pPr>
        <w:spacing w:before="0" w:after="160" w:line="360" w:lineRule="exact"/>
        <w:ind w:firstLine="432"/>
        <w:jc w:val="both"/>
      </w:pPr>
      <w:r>
        <w:rPr>
          <w:rFonts w:ascii="Times New Roman" w:hAnsi="Times New Roman"/>
          <w:b w:val="0"/>
          <w:i w:val="0"/>
          <w:sz w:val="24"/>
          <w:u w:val="none"/>
        </w:rPr>
        <w:t>For classical classifiers, the softmax probability distribution provides a natural uncertainty signal, though it is known to be poorly calibrated—models often assign high probabilities to incorrect predictions. Guo et al. (2017) demonstrated that temperature scaling can significantly improve calibration of deep classifiers [18], though this technique is less commonly applied to classical ML models. MediAssist AI uses entropy of the softmax distribution and the gap between the top-1 and top-2 probabilities as practical uncertainty indicators, an approach consistent with the recommendations of Hendrycks and Gimpel (2017) [19].</w:t>
      </w:r>
    </w:p>
    <w:p>
      <w:pPr>
        <w:spacing w:before="280" w:after="80" w:line="360" w:lineRule="exact"/>
        <w:jc w:val="left"/>
      </w:pPr>
      <w:r>
        <w:rPr>
          <w:rFonts w:ascii="Times New Roman" w:hAnsi="Times New Roman"/>
          <w:b/>
          <w:i w:val="0"/>
          <w:sz w:val="26"/>
          <w:u w:val="none"/>
        </w:rPr>
        <w:t>2.5  Medical Plausibility and Consistency Validation</w:t>
      </w:r>
    </w:p>
    <w:p>
      <w:pPr>
        <w:spacing w:before="0" w:after="160" w:line="360" w:lineRule="exact"/>
        <w:ind w:firstLine="432"/>
        <w:jc w:val="both"/>
      </w:pPr>
      <w:r>
        <w:rPr>
          <w:rFonts w:ascii="Times New Roman" w:hAnsi="Times New Roman"/>
          <w:b w:val="0"/>
          <w:i w:val="0"/>
          <w:sz w:val="24"/>
          <w:u w:val="none"/>
        </w:rPr>
        <w:t>Medical plausibility checking—verifying that an AI prediction is consistent with the clinical category of the user's symptoms—has received relatively little attention in the symptom-checker literature. Topaz et al. (2016) discussed the importance of clinical decision support alerts being contextually appropriate, noting that alert fatigue from medically implausible suggestions reduces clinical utility [20].</w:t>
      </w:r>
    </w:p>
    <w:p>
      <w:pPr>
        <w:spacing w:before="0" w:after="160" w:line="360" w:lineRule="exact"/>
        <w:ind w:firstLine="432"/>
        <w:jc w:val="both"/>
      </w:pPr>
      <w:r>
        <w:rPr>
          <w:rFonts w:ascii="Times New Roman" w:hAnsi="Times New Roman"/>
          <w:b w:val="0"/>
          <w:i w:val="0"/>
          <w:sz w:val="24"/>
          <w:u w:val="none"/>
        </w:rPr>
        <w:t>The approach taken in MediAssist AI—mapping symptoms and diseases to predefined clinical categories and applying multiplicative confidence penalties for category mismatches—is a novel lightweight alternative to full medical ontology integration. It does not require SNOMED-CT or ICD-10 database access at inference time, making it practical for resource-constrained deployments.</w:t>
      </w:r>
    </w:p>
    <w:p>
      <w:pPr>
        <w:spacing w:before="280" w:after="80" w:line="360" w:lineRule="exact"/>
        <w:jc w:val="left"/>
      </w:pPr>
      <w:r>
        <w:rPr>
          <w:rFonts w:ascii="Times New Roman" w:hAnsi="Times New Roman"/>
          <w:b/>
          <w:i w:val="0"/>
          <w:sz w:val="26"/>
          <w:u w:val="none"/>
        </w:rPr>
        <w:t>2.6  Comparative Summary</w:t>
      </w:r>
    </w:p>
    <w:p>
      <w:pPr>
        <w:spacing w:before="0" w:after="120" w:line="360" w:lineRule="exact"/>
        <w:ind w:firstLine="0"/>
        <w:jc w:val="both"/>
      </w:pPr>
      <w:r>
        <w:rPr>
          <w:rFonts w:ascii="Times New Roman" w:hAnsi="Times New Roman"/>
          <w:b w:val="0"/>
          <w:i w:val="0"/>
          <w:sz w:val="24"/>
          <w:u w:val="none"/>
        </w:rPr>
        <w:t>Table 2.1 summarises the key characteristics of existing approaches in relation to the design requirements of MediAssist AI.</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jc w:val="center"/>
            </w:pPr>
            <w:r>
              <w:rPr>
                <w:rFonts w:ascii="Times New Roman" w:hAnsi="Times New Roman"/>
                <w:b/>
                <w:i w:val="0"/>
                <w:sz w:val="22"/>
                <w:u w:val="none"/>
              </w:rPr>
              <w:t>System Type</w:t>
            </w:r>
          </w:p>
        </w:tc>
        <w:tc>
          <w:tcPr>
            <w:tcW w:type="dxa" w:w="1734"/>
          </w:tcPr>
          <w:p>
            <w:pPr>
              <w:jc w:val="center"/>
            </w:pPr>
            <w:r>
              <w:rPr>
                <w:rFonts w:ascii="Times New Roman" w:hAnsi="Times New Roman"/>
                <w:b/>
                <w:i w:val="0"/>
                <w:sz w:val="22"/>
                <w:u w:val="none"/>
              </w:rPr>
              <w:t>Accuracy</w:t>
            </w:r>
          </w:p>
        </w:tc>
        <w:tc>
          <w:tcPr>
            <w:tcW w:type="dxa" w:w="1734"/>
          </w:tcPr>
          <w:p>
            <w:pPr>
              <w:jc w:val="center"/>
            </w:pPr>
            <w:r>
              <w:rPr>
                <w:rFonts w:ascii="Times New Roman" w:hAnsi="Times New Roman"/>
                <w:b/>
                <w:i w:val="0"/>
                <w:sz w:val="22"/>
                <w:u w:val="none"/>
              </w:rPr>
              <w:t>Uncertainty</w:t>
              <w:br/>
              <w:t>Aware</w:t>
            </w:r>
          </w:p>
        </w:tc>
        <w:tc>
          <w:tcPr>
            <w:tcW w:type="dxa" w:w="1734"/>
          </w:tcPr>
          <w:p>
            <w:pPr>
              <w:jc w:val="center"/>
            </w:pPr>
            <w:r>
              <w:rPr>
                <w:rFonts w:ascii="Times New Roman" w:hAnsi="Times New Roman"/>
                <w:b/>
                <w:i w:val="0"/>
                <w:sz w:val="22"/>
                <w:u w:val="none"/>
              </w:rPr>
              <w:t>Emergency</w:t>
              <w:br/>
              <w:t>Detection</w:t>
            </w:r>
          </w:p>
        </w:tc>
        <w:tc>
          <w:tcPr>
            <w:tcW w:type="dxa" w:w="1734"/>
          </w:tcPr>
          <w:p>
            <w:pPr>
              <w:jc w:val="center"/>
            </w:pPr>
            <w:r>
              <w:rPr>
                <w:rFonts w:ascii="Times New Roman" w:hAnsi="Times New Roman"/>
                <w:b/>
                <w:i w:val="0"/>
                <w:sz w:val="22"/>
                <w:u w:val="none"/>
              </w:rPr>
              <w:t>Lightweight</w:t>
            </w:r>
          </w:p>
        </w:tc>
      </w:tr>
      <w:tr>
        <w:tc>
          <w:tcPr>
            <w:tcW w:type="dxa" w:w="1734"/>
          </w:tcPr>
          <w:p>
            <w:pPr>
              <w:jc w:val="center"/>
            </w:pPr>
            <w:r>
              <w:rPr>
                <w:rFonts w:ascii="Times New Roman" w:hAnsi="Times New Roman"/>
                <w:b w:val="0"/>
                <w:i w:val="0"/>
                <w:sz w:val="22"/>
                <w:u w:val="none"/>
              </w:rPr>
              <w:t>Rule-Based Systems</w:t>
            </w:r>
          </w:p>
        </w:tc>
        <w:tc>
          <w:tcPr>
            <w:tcW w:type="dxa" w:w="1734"/>
          </w:tcPr>
          <w:p>
            <w:pPr>
              <w:jc w:val="center"/>
            </w:pPr>
            <w:r>
              <w:rPr>
                <w:rFonts w:ascii="Times New Roman" w:hAnsi="Times New Roman"/>
                <w:b w:val="0"/>
                <w:i w:val="0"/>
                <w:color w:val="B40000"/>
                <w:sz w:val="22"/>
                <w:u w:val="none"/>
              </w:rPr>
              <w:t>Low</w:t>
            </w:r>
          </w:p>
        </w:tc>
        <w:tc>
          <w:tcPr>
            <w:tcW w:type="dxa" w:w="1734"/>
          </w:tcPr>
          <w:p>
            <w:pPr>
              <w:jc w:val="center"/>
            </w:pPr>
            <w:r>
              <w:rPr>
                <w:rFonts w:ascii="Times New Roman" w:hAnsi="Times New Roman"/>
                <w:b w:val="0"/>
                <w:i w:val="0"/>
                <w:color w:val="B40000"/>
                <w:sz w:val="22"/>
                <w:u w:val="none"/>
              </w:rPr>
              <w:t>No</w:t>
            </w:r>
          </w:p>
        </w:tc>
        <w:tc>
          <w:tcPr>
            <w:tcW w:type="dxa" w:w="1734"/>
          </w:tcPr>
          <w:p>
            <w:pPr>
              <w:jc w:val="center"/>
            </w:pPr>
            <w:r>
              <w:rPr>
                <w:rFonts w:ascii="Times New Roman" w:hAnsi="Times New Roman"/>
                <w:b w:val="0"/>
                <w:i w:val="0"/>
                <w:sz w:val="22"/>
                <w:u w:val="none"/>
              </w:rPr>
              <w:t>Partial</w:t>
            </w:r>
          </w:p>
        </w:tc>
        <w:tc>
          <w:tcPr>
            <w:tcW w:type="dxa" w:w="1734"/>
          </w:tcPr>
          <w:p>
            <w:pPr>
              <w:jc w:val="center"/>
            </w:pPr>
            <w:r>
              <w:rPr>
                <w:rFonts w:ascii="Times New Roman" w:hAnsi="Times New Roman"/>
                <w:b w:val="0"/>
                <w:i w:val="0"/>
                <w:color w:val="007000"/>
                <w:sz w:val="22"/>
                <w:u w:val="none"/>
              </w:rPr>
              <w:t>Yes</w:t>
            </w:r>
          </w:p>
        </w:tc>
      </w:tr>
      <w:tr>
        <w:tc>
          <w:tcPr>
            <w:tcW w:type="dxa" w:w="1734"/>
          </w:tcPr>
          <w:p>
            <w:pPr>
              <w:jc w:val="center"/>
            </w:pPr>
            <w:r>
              <w:rPr>
                <w:rFonts w:ascii="Times New Roman" w:hAnsi="Times New Roman"/>
                <w:b w:val="0"/>
                <w:i w:val="0"/>
                <w:sz w:val="22"/>
                <w:u w:val="none"/>
              </w:rPr>
              <w:t>Naive Bayes / LR (TF-IDF)</w:t>
            </w:r>
          </w:p>
        </w:tc>
        <w:tc>
          <w:tcPr>
            <w:tcW w:type="dxa" w:w="1734"/>
          </w:tcPr>
          <w:p>
            <w:pPr>
              <w:jc w:val="center"/>
            </w:pPr>
            <w:r>
              <w:rPr>
                <w:rFonts w:ascii="Times New Roman" w:hAnsi="Times New Roman"/>
                <w:b w:val="0"/>
                <w:i w:val="0"/>
                <w:sz w:val="22"/>
                <w:u w:val="none"/>
              </w:rPr>
              <w:t>Moderate</w:t>
            </w:r>
          </w:p>
        </w:tc>
        <w:tc>
          <w:tcPr>
            <w:tcW w:type="dxa" w:w="1734"/>
          </w:tcPr>
          <w:p>
            <w:pPr>
              <w:jc w:val="center"/>
            </w:pPr>
            <w:r>
              <w:rPr>
                <w:rFonts w:ascii="Times New Roman" w:hAnsi="Times New Roman"/>
                <w:b w:val="0"/>
                <w:i w:val="0"/>
                <w:sz w:val="22"/>
                <w:u w:val="none"/>
              </w:rPr>
              <w:t>Partial</w:t>
            </w:r>
          </w:p>
        </w:tc>
        <w:tc>
          <w:tcPr>
            <w:tcW w:type="dxa" w:w="1734"/>
          </w:tcPr>
          <w:p>
            <w:pPr>
              <w:jc w:val="center"/>
            </w:pPr>
            <w:r>
              <w:rPr>
                <w:rFonts w:ascii="Times New Roman" w:hAnsi="Times New Roman"/>
                <w:b w:val="0"/>
                <w:i w:val="0"/>
                <w:color w:val="B40000"/>
                <w:sz w:val="22"/>
                <w:u w:val="none"/>
              </w:rPr>
              <w:t>No</w:t>
            </w:r>
          </w:p>
        </w:tc>
        <w:tc>
          <w:tcPr>
            <w:tcW w:type="dxa" w:w="1734"/>
          </w:tcPr>
          <w:p>
            <w:pPr>
              <w:jc w:val="center"/>
            </w:pPr>
            <w:r>
              <w:rPr>
                <w:rFonts w:ascii="Times New Roman" w:hAnsi="Times New Roman"/>
                <w:b w:val="0"/>
                <w:i w:val="0"/>
                <w:color w:val="007000"/>
                <w:sz w:val="22"/>
                <w:u w:val="none"/>
              </w:rPr>
              <w:t>Yes</w:t>
            </w:r>
          </w:p>
        </w:tc>
      </w:tr>
      <w:tr>
        <w:tc>
          <w:tcPr>
            <w:tcW w:type="dxa" w:w="1734"/>
          </w:tcPr>
          <w:p>
            <w:pPr>
              <w:jc w:val="center"/>
            </w:pPr>
            <w:r>
              <w:rPr>
                <w:rFonts w:ascii="Times New Roman" w:hAnsi="Times New Roman"/>
                <w:b w:val="0"/>
                <w:i w:val="0"/>
                <w:sz w:val="22"/>
                <w:u w:val="none"/>
              </w:rPr>
              <w:t>Random Forest / XGBoost</w:t>
            </w:r>
          </w:p>
        </w:tc>
        <w:tc>
          <w:tcPr>
            <w:tcW w:type="dxa" w:w="1734"/>
          </w:tcPr>
          <w:p>
            <w:pPr>
              <w:jc w:val="center"/>
            </w:pPr>
            <w:r>
              <w:rPr>
                <w:rFonts w:ascii="Times New Roman" w:hAnsi="Times New Roman"/>
                <w:b w:val="0"/>
                <w:i w:val="0"/>
                <w:sz w:val="22"/>
                <w:u w:val="none"/>
              </w:rPr>
              <w:t>Moderate</w:t>
            </w:r>
          </w:p>
        </w:tc>
        <w:tc>
          <w:tcPr>
            <w:tcW w:type="dxa" w:w="1734"/>
          </w:tcPr>
          <w:p>
            <w:pPr>
              <w:jc w:val="center"/>
            </w:pPr>
            <w:r>
              <w:rPr>
                <w:rFonts w:ascii="Times New Roman" w:hAnsi="Times New Roman"/>
                <w:b w:val="0"/>
                <w:i w:val="0"/>
                <w:sz w:val="22"/>
                <w:u w:val="none"/>
              </w:rPr>
              <w:t>Partial</w:t>
            </w:r>
          </w:p>
        </w:tc>
        <w:tc>
          <w:tcPr>
            <w:tcW w:type="dxa" w:w="1734"/>
          </w:tcPr>
          <w:p>
            <w:pPr>
              <w:jc w:val="center"/>
            </w:pPr>
            <w:r>
              <w:rPr>
                <w:rFonts w:ascii="Times New Roman" w:hAnsi="Times New Roman"/>
                <w:b w:val="0"/>
                <w:i w:val="0"/>
                <w:color w:val="B40000"/>
                <w:sz w:val="22"/>
                <w:u w:val="none"/>
              </w:rPr>
              <w:t>No</w:t>
            </w:r>
          </w:p>
        </w:tc>
        <w:tc>
          <w:tcPr>
            <w:tcW w:type="dxa" w:w="1734"/>
          </w:tcPr>
          <w:p>
            <w:pPr>
              <w:jc w:val="center"/>
            </w:pPr>
            <w:r>
              <w:rPr>
                <w:rFonts w:ascii="Times New Roman" w:hAnsi="Times New Roman"/>
                <w:b w:val="0"/>
                <w:i w:val="0"/>
                <w:color w:val="B40000"/>
                <w:sz w:val="22"/>
                <w:u w:val="none"/>
              </w:rPr>
              <w:t>No</w:t>
            </w:r>
          </w:p>
        </w:tc>
      </w:tr>
      <w:tr>
        <w:tc>
          <w:tcPr>
            <w:tcW w:type="dxa" w:w="1734"/>
          </w:tcPr>
          <w:p>
            <w:pPr>
              <w:jc w:val="center"/>
            </w:pPr>
            <w:r>
              <w:rPr>
                <w:rFonts w:ascii="Times New Roman" w:hAnsi="Times New Roman"/>
                <w:b w:val="0"/>
                <w:i w:val="0"/>
                <w:sz w:val="22"/>
                <w:u w:val="none"/>
              </w:rPr>
              <w:t>Transformer (BERT/GPT)</w:t>
            </w:r>
          </w:p>
        </w:tc>
        <w:tc>
          <w:tcPr>
            <w:tcW w:type="dxa" w:w="1734"/>
          </w:tcPr>
          <w:p>
            <w:pPr>
              <w:jc w:val="center"/>
            </w:pPr>
            <w:r>
              <w:rPr>
                <w:rFonts w:ascii="Times New Roman" w:hAnsi="Times New Roman"/>
                <w:b w:val="0"/>
                <w:i w:val="0"/>
                <w:color w:val="007000"/>
                <w:sz w:val="22"/>
                <w:u w:val="none"/>
              </w:rPr>
              <w:t>High</w:t>
            </w:r>
          </w:p>
        </w:tc>
        <w:tc>
          <w:tcPr>
            <w:tcW w:type="dxa" w:w="1734"/>
          </w:tcPr>
          <w:p>
            <w:pPr>
              <w:jc w:val="center"/>
            </w:pPr>
            <w:r>
              <w:rPr>
                <w:rFonts w:ascii="Times New Roman" w:hAnsi="Times New Roman"/>
                <w:b w:val="0"/>
                <w:i w:val="0"/>
                <w:sz w:val="22"/>
                <w:u w:val="none"/>
              </w:rPr>
              <w:t>Partial</w:t>
            </w:r>
          </w:p>
        </w:tc>
        <w:tc>
          <w:tcPr>
            <w:tcW w:type="dxa" w:w="1734"/>
          </w:tcPr>
          <w:p>
            <w:pPr>
              <w:jc w:val="center"/>
            </w:pPr>
            <w:r>
              <w:rPr>
                <w:rFonts w:ascii="Times New Roman" w:hAnsi="Times New Roman"/>
                <w:b w:val="0"/>
                <w:i w:val="0"/>
                <w:color w:val="B40000"/>
                <w:sz w:val="22"/>
                <w:u w:val="none"/>
              </w:rPr>
              <w:t>No</w:t>
            </w:r>
          </w:p>
        </w:tc>
        <w:tc>
          <w:tcPr>
            <w:tcW w:type="dxa" w:w="1734"/>
          </w:tcPr>
          <w:p>
            <w:pPr>
              <w:jc w:val="center"/>
            </w:pPr>
            <w:r>
              <w:rPr>
                <w:rFonts w:ascii="Times New Roman" w:hAnsi="Times New Roman"/>
                <w:b w:val="0"/>
                <w:i w:val="0"/>
                <w:color w:val="B40000"/>
                <w:sz w:val="22"/>
                <w:u w:val="none"/>
              </w:rPr>
              <w:t>No</w:t>
            </w:r>
          </w:p>
        </w:tc>
      </w:tr>
      <w:tr>
        <w:tc>
          <w:tcPr>
            <w:tcW w:type="dxa" w:w="1734"/>
          </w:tcPr>
          <w:p>
            <w:pPr>
              <w:jc w:val="center"/>
            </w:pPr>
            <w:r>
              <w:rPr>
                <w:rFonts w:ascii="Times New Roman" w:hAnsi="Times New Roman"/>
                <w:b/>
                <w:i w:val="0"/>
                <w:sz w:val="22"/>
                <w:u w:val="none"/>
              </w:rPr>
              <w:t>MediAssist AI (Proposed)</w:t>
            </w:r>
          </w:p>
        </w:tc>
        <w:tc>
          <w:tcPr>
            <w:tcW w:type="dxa" w:w="1734"/>
          </w:tcPr>
          <w:p>
            <w:pPr>
              <w:jc w:val="center"/>
            </w:pPr>
            <w:r>
              <w:rPr>
                <w:rFonts w:ascii="Times New Roman" w:hAnsi="Times New Roman"/>
                <w:b w:val="0"/>
                <w:i w:val="0"/>
                <w:color w:val="007000"/>
                <w:sz w:val="22"/>
                <w:u w:val="none"/>
              </w:rPr>
              <w:t>High</w:t>
            </w:r>
          </w:p>
        </w:tc>
        <w:tc>
          <w:tcPr>
            <w:tcW w:type="dxa" w:w="1734"/>
          </w:tcPr>
          <w:p>
            <w:pPr>
              <w:jc w:val="center"/>
            </w:pPr>
            <w:r>
              <w:rPr>
                <w:rFonts w:ascii="Times New Roman" w:hAnsi="Times New Roman"/>
                <w:b w:val="0"/>
                <w:i w:val="0"/>
                <w:color w:val="007000"/>
                <w:sz w:val="22"/>
                <w:u w:val="none"/>
              </w:rPr>
              <w:t>Yes</w:t>
            </w:r>
          </w:p>
        </w:tc>
        <w:tc>
          <w:tcPr>
            <w:tcW w:type="dxa" w:w="1734"/>
          </w:tcPr>
          <w:p>
            <w:pPr>
              <w:jc w:val="center"/>
            </w:pPr>
            <w:r>
              <w:rPr>
                <w:rFonts w:ascii="Times New Roman" w:hAnsi="Times New Roman"/>
                <w:b w:val="0"/>
                <w:i w:val="0"/>
                <w:color w:val="007000"/>
                <w:sz w:val="22"/>
                <w:u w:val="none"/>
              </w:rPr>
              <w:t>Yes</w:t>
            </w:r>
          </w:p>
        </w:tc>
        <w:tc>
          <w:tcPr>
            <w:tcW w:type="dxa" w:w="1734"/>
          </w:tcPr>
          <w:p>
            <w:pPr>
              <w:jc w:val="center"/>
            </w:pPr>
            <w:r>
              <w:rPr>
                <w:rFonts w:ascii="Times New Roman" w:hAnsi="Times New Roman"/>
                <w:b w:val="0"/>
                <w:i w:val="0"/>
                <w:color w:val="007000"/>
                <w:sz w:val="22"/>
                <w:u w:val="none"/>
              </w:rPr>
              <w:t>Yes</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2.1 – Comparative Summary of Healthcare AI Approaches</w:t>
      </w:r>
    </w:p>
    <w:p>
      <w:pPr>
        <w:spacing w:before="0" w:after="160" w:line="360" w:lineRule="exact"/>
        <w:ind w:firstLine="432"/>
        <w:jc w:val="both"/>
      </w:pPr>
      <w:r>
        <w:rPr>
          <w:rFonts w:ascii="Times New Roman" w:hAnsi="Times New Roman"/>
          <w:b w:val="0"/>
          <w:i w:val="0"/>
          <w:sz w:val="24"/>
          <w:u w:val="none"/>
        </w:rPr>
        <w:t>As the table shows, MediAssist AI is uniquely positioned as the only approach that simultaneously provides uncertainty awareness, deterministic emergency detection, and lightweight deployability. The trade-off is a reliance on classical ML rather than the highest possible accuracy achievable with large transformer models. This trade-off is a deliberate architectural decision, justified by the safety-first design philosophy of the project.</w:t>
      </w:r>
    </w:p>
    <w:p>
      <w:r>
        <w:br w:type="page"/>
      </w:r>
    </w:p>
    <w:p>
      <w:pPr>
        <w:spacing w:before="0" w:after="120" w:line="400" w:lineRule="exact"/>
        <w:jc w:val="left"/>
      </w:pPr>
      <w:r>
        <w:rPr>
          <w:rFonts w:ascii="Times New Roman" w:hAnsi="Times New Roman"/>
          <w:b/>
          <w:i w:val="0"/>
          <w:sz w:val="32"/>
          <w:u w:val="single"/>
        </w:rPr>
        <w:t>Chapter 3: Problem Statement</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The central problem addressed by this project can be stated as follows:</w:t>
      </w:r>
    </w:p>
    <w:p>
      <w:pPr>
        <w:spacing w:before="160" w:after="160" w:line="360" w:lineRule="exact"/>
        <w:ind w:left="576" w:right="576"/>
        <w:jc w:val="both"/>
      </w:pPr>
      <w:r>
        <w:rPr>
          <w:rFonts w:ascii="Times New Roman" w:hAnsi="Times New Roman"/>
          <w:b w:val="0"/>
          <w:i/>
          <w:sz w:val="24"/>
          <w:u w:val="none"/>
        </w:rPr>
        <w:t>"Purely probabilistic machine learning systems, when applied to symptom-based healthcare triage, may produce medically unsafe outputs. Specifically, statistical models trained to maximise aggregate accuracy over a large, imbalanced disease dataset lack any mechanism to prioritise the detection of low-frequency but life-threatening emergency presentations. The resulting system may assign high confidence to benign diagnoses even when the user's symptoms are indicative of a critical medical condition, leading to delayed or absent escalation to professional care."</w:t>
      </w:r>
    </w:p>
    <w:p>
      <w:pPr>
        <w:spacing w:before="0" w:after="160" w:line="360" w:lineRule="exact"/>
        <w:ind w:firstLine="432"/>
        <w:jc w:val="both"/>
      </w:pPr>
      <w:r>
        <w:rPr>
          <w:rFonts w:ascii="Times New Roman" w:hAnsi="Times New Roman"/>
          <w:b w:val="0"/>
          <w:i w:val="0"/>
          <w:sz w:val="24"/>
          <w:u w:val="none"/>
        </w:rPr>
        <w:t>This problem manifests in four specific failure modes, each observed during the preliminary validation phase of this project:</w:t>
      </w:r>
    </w:p>
    <w:p>
      <w:pPr>
        <w:spacing w:before="240" w:after="60" w:line="360" w:lineRule="exact"/>
        <w:jc w:val="left"/>
      </w:pPr>
      <w:r>
        <w:rPr>
          <w:rFonts w:ascii="Times New Roman" w:hAnsi="Times New Roman"/>
          <w:b/>
          <w:i/>
          <w:sz w:val="24"/>
          <w:u w:val="none"/>
        </w:rPr>
        <w:t>3.1  Failure Mode 1: Emergency Symptom Misclassification</w:t>
      </w:r>
    </w:p>
    <w:p>
      <w:pPr>
        <w:spacing w:before="0" w:after="160" w:line="360" w:lineRule="exact"/>
        <w:ind w:firstLine="432"/>
        <w:jc w:val="both"/>
      </w:pPr>
      <w:r>
        <w:rPr>
          <w:rFonts w:ascii="Times New Roman" w:hAnsi="Times New Roman"/>
          <w:b w:val="0"/>
          <w:i w:val="0"/>
          <w:sz w:val="24"/>
          <w:u w:val="none"/>
        </w:rPr>
        <w:t>Symptoms that are diagnostic indicators of life-threatening conditions—such as facial drooping combined with slurred speech (stroke), or coughing blood with acute respiratory distress (pulmonary emergency)—may share overlapping vocabulary features with more common, benign conditions in the training corpus. A TF-IDF model, operating on term frequency alone, will assign probability proportional to term co-occurrence statistics and may therefore rank a benign diagnosis above the correct emergency condition.</w:t>
      </w:r>
    </w:p>
    <w:p>
      <w:pPr>
        <w:spacing w:before="240" w:after="60" w:line="360" w:lineRule="exact"/>
        <w:jc w:val="left"/>
      </w:pPr>
      <w:r>
        <w:rPr>
          <w:rFonts w:ascii="Times New Roman" w:hAnsi="Times New Roman"/>
          <w:b/>
          <w:i/>
          <w:sz w:val="24"/>
          <w:u w:val="none"/>
        </w:rPr>
        <w:t>3.2  Failure Mode 2: Symptom Overlap in High-Dimensional Sparse Space</w:t>
      </w:r>
    </w:p>
    <w:p>
      <w:pPr>
        <w:spacing w:before="0" w:after="160" w:line="360" w:lineRule="exact"/>
        <w:ind w:firstLine="432"/>
        <w:jc w:val="both"/>
      </w:pPr>
      <w:r>
        <w:rPr>
          <w:rFonts w:ascii="Times New Roman" w:hAnsi="Times New Roman"/>
          <w:b w:val="0"/>
          <w:i w:val="0"/>
          <w:sz w:val="24"/>
          <w:u w:val="none"/>
        </w:rPr>
        <w:t>Medical symptoms are described using natural language, and many disease categories share considerable vocabulary. Conditions involving fever, fatigue, and pain—the most common symptom descriptors—span hundreds of disease classes. In a sparse TF-IDF feature space, this overlap creates decision boundaries that are difficult to learn reliably, particularly for rare or emergency conditions that are underrepresented in typical training datasets.</w:t>
      </w:r>
    </w:p>
    <w:p>
      <w:pPr>
        <w:spacing w:before="240" w:after="60" w:line="360" w:lineRule="exact"/>
        <w:jc w:val="left"/>
      </w:pPr>
      <w:r>
        <w:rPr>
          <w:rFonts w:ascii="Times New Roman" w:hAnsi="Times New Roman"/>
          <w:b/>
          <w:i/>
          <w:sz w:val="24"/>
          <w:u w:val="none"/>
        </w:rPr>
        <w:t>3.3  Failure Mode 3: Absence of Medical Plausibility Checking</w:t>
      </w:r>
    </w:p>
    <w:p>
      <w:pPr>
        <w:spacing w:before="0" w:after="160" w:line="360" w:lineRule="exact"/>
        <w:ind w:firstLine="432"/>
        <w:jc w:val="both"/>
      </w:pPr>
      <w:r>
        <w:rPr>
          <w:rFonts w:ascii="Times New Roman" w:hAnsi="Times New Roman"/>
          <w:b w:val="0"/>
          <w:i w:val="0"/>
          <w:sz w:val="24"/>
          <w:u w:val="none"/>
        </w:rPr>
        <w:t>Standard classification pipelines produce outputs ranked solely by posterior probability, with no mechanism to reject or penalise predictions that are clinically implausible given the stated symptoms. For example, predicting an eye condition for a patient reporting exclusively gastrointestinal symptoms, or a skin disorder for a patient describing chest pain, represents a failure of medical reasoning that pure ML systems cannot detect or correct.</w:t>
      </w:r>
    </w:p>
    <w:p>
      <w:pPr>
        <w:spacing w:before="240" w:after="60" w:line="360" w:lineRule="exact"/>
        <w:jc w:val="left"/>
      </w:pPr>
      <w:r>
        <w:rPr>
          <w:rFonts w:ascii="Times New Roman" w:hAnsi="Times New Roman"/>
          <w:b/>
          <w:i/>
          <w:sz w:val="24"/>
          <w:u w:val="none"/>
        </w:rPr>
        <w:t>3.4  Failure Mode 4: Overconfident Single-Label Outputs</w:t>
      </w:r>
    </w:p>
    <w:p>
      <w:pPr>
        <w:spacing w:before="0" w:after="160" w:line="360" w:lineRule="exact"/>
        <w:ind w:firstLine="432"/>
        <w:jc w:val="both"/>
      </w:pPr>
      <w:r>
        <w:rPr>
          <w:rFonts w:ascii="Times New Roman" w:hAnsi="Times New Roman"/>
          <w:b w:val="0"/>
          <w:i w:val="0"/>
          <w:sz w:val="24"/>
          <w:u w:val="none"/>
        </w:rPr>
        <w:t>In multi-class disease prediction, returning only the top-1 prediction with a softmax probability score creates an illusion of certainty. When symptom descriptions are ambiguous—as they frequently are in natural patient language—the difference in probability between the first and second ranked diseases may be negligible, yet the user sees only a single confident answer. This is both misleading and clinically dangerous.</w:t>
      </w:r>
    </w:p>
    <w:p>
      <w:pPr>
        <w:spacing w:before="280" w:after="80" w:line="360" w:lineRule="exact"/>
        <w:jc w:val="left"/>
      </w:pPr>
      <w:r>
        <w:rPr>
          <w:rFonts w:ascii="Times New Roman" w:hAnsi="Times New Roman"/>
          <w:b/>
          <w:i w:val="0"/>
          <w:sz w:val="26"/>
          <w:u w:val="none"/>
        </w:rPr>
        <w:t>3.5  Quantified Scope of the Problem</w:t>
      </w:r>
    </w:p>
    <w:p>
      <w:pPr>
        <w:spacing w:before="0" w:after="160" w:line="360" w:lineRule="exact"/>
        <w:ind w:firstLine="432"/>
        <w:jc w:val="both"/>
      </w:pPr>
      <w:r>
        <w:rPr>
          <w:rFonts w:ascii="Times New Roman" w:hAnsi="Times New Roman"/>
          <w:b w:val="0"/>
          <w:i w:val="0"/>
          <w:sz w:val="24"/>
          <w:u w:val="none"/>
        </w:rPr>
        <w:t>To validate that these failure modes were genuine and reproducible—not merely theoretical—a preliminary validation was conducted using 480 test cases drawn from five categories: common symptoms, ambiguous multi-symptom presentations, emergency symptom combinations, noisy natural language inputs, and adversarial cases designed to probe model boundaries. The results are documented in detail in Chapter 10 and summarised in Table 3.1.</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Failure Mode</w:t>
            </w:r>
          </w:p>
        </w:tc>
        <w:tc>
          <w:tcPr>
            <w:tcW w:type="dxa" w:w="2890"/>
          </w:tcPr>
          <w:p>
            <w:pPr>
              <w:jc w:val="center"/>
            </w:pPr>
            <w:r>
              <w:rPr>
                <w:rFonts w:ascii="Times New Roman" w:hAnsi="Times New Roman"/>
                <w:b/>
                <w:i w:val="0"/>
                <w:sz w:val="22"/>
                <w:u w:val="none"/>
              </w:rPr>
              <w:t>Inputs Tested</w:t>
            </w:r>
          </w:p>
        </w:tc>
        <w:tc>
          <w:tcPr>
            <w:tcW w:type="dxa" w:w="2890"/>
          </w:tcPr>
          <w:p>
            <w:pPr>
              <w:jc w:val="center"/>
            </w:pPr>
            <w:r>
              <w:rPr>
                <w:rFonts w:ascii="Times New Roman" w:hAnsi="Times New Roman"/>
                <w:b/>
                <w:i w:val="0"/>
                <w:sz w:val="22"/>
                <w:u w:val="none"/>
              </w:rPr>
              <w:t>Failure Rate (Before Fix)</w:t>
            </w:r>
          </w:p>
        </w:tc>
      </w:tr>
      <w:tr>
        <w:tc>
          <w:tcPr>
            <w:tcW w:type="dxa" w:w="2890"/>
          </w:tcPr>
          <w:p>
            <w:pPr>
              <w:jc w:val="center"/>
            </w:pPr>
            <w:r>
              <w:rPr>
                <w:rFonts w:ascii="Times New Roman" w:hAnsi="Times New Roman"/>
                <w:b w:val="0"/>
                <w:i w:val="0"/>
                <w:sz w:val="22"/>
                <w:u w:val="none"/>
              </w:rPr>
              <w:t>Emergency Symptom Misclassification</w:t>
            </w:r>
          </w:p>
        </w:tc>
        <w:tc>
          <w:tcPr>
            <w:tcW w:type="dxa" w:w="2890"/>
          </w:tcPr>
          <w:p>
            <w:pPr>
              <w:jc w:val="center"/>
            </w:pPr>
            <w:r>
              <w:rPr>
                <w:rFonts w:ascii="Times New Roman" w:hAnsi="Times New Roman"/>
                <w:b w:val="0"/>
                <w:i w:val="0"/>
                <w:sz w:val="22"/>
                <w:u w:val="none"/>
              </w:rPr>
              <w:t>100</w:t>
            </w:r>
          </w:p>
        </w:tc>
        <w:tc>
          <w:tcPr>
            <w:tcW w:type="dxa" w:w="2890"/>
          </w:tcPr>
          <w:p>
            <w:pPr>
              <w:jc w:val="center"/>
            </w:pPr>
            <w:r>
              <w:rPr>
                <w:rFonts w:ascii="Times New Roman" w:hAnsi="Times New Roman"/>
                <w:b w:val="0"/>
                <w:i w:val="0"/>
                <w:color w:val="B40000"/>
                <w:sz w:val="22"/>
                <w:u w:val="none"/>
              </w:rPr>
              <w:t>~34%</w:t>
            </w:r>
          </w:p>
        </w:tc>
      </w:tr>
      <w:tr>
        <w:tc>
          <w:tcPr>
            <w:tcW w:type="dxa" w:w="2890"/>
          </w:tcPr>
          <w:p>
            <w:pPr>
              <w:jc w:val="center"/>
            </w:pPr>
            <w:r>
              <w:rPr>
                <w:rFonts w:ascii="Times New Roman" w:hAnsi="Times New Roman"/>
                <w:b w:val="0"/>
                <w:i w:val="0"/>
                <w:sz w:val="22"/>
                <w:u w:val="none"/>
              </w:rPr>
              <w:t>Medically Implausible Top-1 Prediction</w:t>
            </w:r>
          </w:p>
        </w:tc>
        <w:tc>
          <w:tcPr>
            <w:tcW w:type="dxa" w:w="2890"/>
          </w:tcPr>
          <w:p>
            <w:pPr>
              <w:jc w:val="center"/>
            </w:pPr>
            <w:r>
              <w:rPr>
                <w:rFonts w:ascii="Times New Roman" w:hAnsi="Times New Roman"/>
                <w:b w:val="0"/>
                <w:i w:val="0"/>
                <w:sz w:val="22"/>
                <w:u w:val="none"/>
              </w:rPr>
              <w:t>99</w:t>
            </w:r>
          </w:p>
        </w:tc>
        <w:tc>
          <w:tcPr>
            <w:tcW w:type="dxa" w:w="2890"/>
          </w:tcPr>
          <w:p>
            <w:pPr>
              <w:jc w:val="center"/>
            </w:pPr>
            <w:r>
              <w:rPr>
                <w:rFonts w:ascii="Times New Roman" w:hAnsi="Times New Roman"/>
                <w:b w:val="0"/>
                <w:i w:val="0"/>
                <w:color w:val="B40000"/>
                <w:sz w:val="22"/>
                <w:u w:val="none"/>
              </w:rPr>
              <w:t>~28%</w:t>
            </w:r>
          </w:p>
        </w:tc>
      </w:tr>
      <w:tr>
        <w:tc>
          <w:tcPr>
            <w:tcW w:type="dxa" w:w="2890"/>
          </w:tcPr>
          <w:p>
            <w:pPr>
              <w:jc w:val="center"/>
            </w:pPr>
            <w:r>
              <w:rPr>
                <w:rFonts w:ascii="Times New Roman" w:hAnsi="Times New Roman"/>
                <w:b w:val="0"/>
                <w:i w:val="0"/>
                <w:sz w:val="22"/>
                <w:u w:val="none"/>
              </w:rPr>
              <w:t>Overconfident Incorrect Output (UPR Proxy)</w:t>
            </w:r>
          </w:p>
        </w:tc>
        <w:tc>
          <w:tcPr>
            <w:tcW w:type="dxa" w:w="2890"/>
          </w:tcPr>
          <w:p>
            <w:pPr>
              <w:jc w:val="center"/>
            </w:pPr>
            <w:r>
              <w:rPr>
                <w:rFonts w:ascii="Times New Roman" w:hAnsi="Times New Roman"/>
                <w:b w:val="0"/>
                <w:i w:val="0"/>
                <w:sz w:val="22"/>
                <w:u w:val="none"/>
              </w:rPr>
              <w:t>301</w:t>
            </w:r>
          </w:p>
        </w:tc>
        <w:tc>
          <w:tcPr>
            <w:tcW w:type="dxa" w:w="2890"/>
          </w:tcPr>
          <w:p>
            <w:pPr>
              <w:jc w:val="center"/>
            </w:pPr>
            <w:r>
              <w:rPr>
                <w:rFonts w:ascii="Times New Roman" w:hAnsi="Times New Roman"/>
                <w:b w:val="0"/>
                <w:i w:val="0"/>
                <w:sz w:val="22"/>
                <w:u w:val="none"/>
              </w:rPr>
              <w:t>~12.5%</w:t>
            </w:r>
          </w:p>
        </w:tc>
      </w:tr>
      <w:tr>
        <w:tc>
          <w:tcPr>
            <w:tcW w:type="dxa" w:w="2890"/>
          </w:tcPr>
          <w:p>
            <w:pPr>
              <w:jc w:val="center"/>
            </w:pPr>
            <w:r>
              <w:rPr>
                <w:rFonts w:ascii="Times New Roman" w:hAnsi="Times New Roman"/>
                <w:b w:val="0"/>
                <w:i w:val="0"/>
                <w:sz w:val="22"/>
                <w:u w:val="none"/>
              </w:rPr>
              <w:t>Missed Emergency Escalation (MER)</w:t>
            </w:r>
          </w:p>
        </w:tc>
        <w:tc>
          <w:tcPr>
            <w:tcW w:type="dxa" w:w="2890"/>
          </w:tcPr>
          <w:p>
            <w:pPr>
              <w:jc w:val="center"/>
            </w:pPr>
            <w:r>
              <w:rPr>
                <w:rFonts w:ascii="Times New Roman" w:hAnsi="Times New Roman"/>
                <w:b w:val="0"/>
                <w:i w:val="0"/>
                <w:sz w:val="22"/>
                <w:u w:val="none"/>
              </w:rPr>
              <w:t>100</w:t>
            </w:r>
          </w:p>
        </w:tc>
        <w:tc>
          <w:tcPr>
            <w:tcW w:type="dxa" w:w="2890"/>
          </w:tcPr>
          <w:p>
            <w:pPr>
              <w:jc w:val="center"/>
            </w:pPr>
            <w:r>
              <w:rPr>
                <w:rFonts w:ascii="Times New Roman" w:hAnsi="Times New Roman"/>
                <w:b w:val="0"/>
                <w:i w:val="0"/>
                <w:color w:val="B40000"/>
                <w:sz w:val="22"/>
                <w:u w:val="none"/>
              </w:rPr>
              <w:t>~34%</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3.1 – Preliminary Failure Rates Before Safety Architecture Implementation</w:t>
      </w:r>
    </w:p>
    <w:p>
      <w:pPr>
        <w:spacing w:before="0" w:after="160" w:line="360" w:lineRule="exact"/>
        <w:ind w:firstLine="432"/>
        <w:jc w:val="both"/>
      </w:pPr>
      <w:r>
        <w:rPr>
          <w:rFonts w:ascii="Times New Roman" w:hAnsi="Times New Roman"/>
          <w:b w:val="0"/>
          <w:i w:val="0"/>
          <w:sz w:val="24"/>
          <w:u w:val="none"/>
        </w:rPr>
        <w:t>These results confirm that the problems are systematic and quantifiable. The emergency misclassification rate of approximately 34%—meaning roughly one in three emergency symptom inputs was not escalated by the baseline ML system—is clinically unacceptable. This figure directly motivated the Emergency Safety Override Layer described in Chapter 7.</w:t>
      </w:r>
    </w:p>
    <w:p>
      <w:pPr>
        <w:spacing w:before="0" w:after="160" w:line="360" w:lineRule="exact"/>
        <w:ind w:firstLine="432"/>
        <w:jc w:val="both"/>
      </w:pPr>
      <w:r>
        <w:rPr>
          <w:rFonts w:ascii="Times New Roman" w:hAnsi="Times New Roman"/>
          <w:b w:val="0"/>
          <w:i w:val="0"/>
          <w:sz w:val="24"/>
          <w:u w:val="none"/>
        </w:rPr>
        <w:t>It is worth noting that this is not a failure of the machine learning model per se. The Logistic Regression classifier achieves 84.36% top-1 accuracy overall, which is competitive for the task. The problem is architectural: a system optimised for aggregate accuracy will inevitably underperform on the rare, high-stakes cases that matter most in a healthcare context. This is the core design motivation for MediAssist AI's hybrid, defence-in-depth approach.</w:t>
      </w:r>
    </w:p>
    <w:p>
      <w:pPr>
        <w:spacing w:before="0" w:after="120" w:line="400" w:lineRule="exact"/>
        <w:jc w:val="left"/>
      </w:pPr>
      <w:r>
        <w:rPr>
          <w:rFonts w:ascii="Times New Roman" w:hAnsi="Times New Roman"/>
          <w:b/>
          <w:i w:val="0"/>
          <w:sz w:val="32"/>
          <w:u w:val="single"/>
        </w:rPr>
        <w:t>Chapter 4: System Architecture</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This chapter describes the overall architecture of MediAssist AI, the rationale behind each design decision, and the data flow from user input to final recommendation. The architecture is best understood as three sequential, independently verifiable layers: the Pre-ML Safety Gate, the ML Inference Engine, and the Post-ML Consistency and Presentation Layer.</w:t>
      </w:r>
    </w:p>
    <w:p>
      <w:pPr>
        <w:spacing w:before="280" w:after="80" w:line="360" w:lineRule="exact"/>
        <w:jc w:val="left"/>
      </w:pPr>
      <w:r>
        <w:rPr>
          <w:rFonts w:ascii="Times New Roman" w:hAnsi="Times New Roman"/>
          <w:b/>
          <w:i w:val="0"/>
          <w:sz w:val="26"/>
          <w:u w:val="none"/>
        </w:rPr>
        <w:t>4.1  Architectural Philosophy: Defence-in-Depth</w:t>
      </w:r>
    </w:p>
    <w:p>
      <w:pPr>
        <w:spacing w:before="0" w:after="160" w:line="360" w:lineRule="exact"/>
        <w:ind w:firstLine="432"/>
        <w:jc w:val="both"/>
      </w:pPr>
      <w:r>
        <w:rPr>
          <w:rFonts w:ascii="Times New Roman" w:hAnsi="Times New Roman"/>
          <w:b w:val="0"/>
          <w:i w:val="0"/>
          <w:sz w:val="24"/>
          <w:u w:val="none"/>
        </w:rPr>
        <w:t>The dominant design philosophy in MediAssist AI is defence-in-depth—the same principle used in safety-critical systems such as aviation autopilots and nuclear control software. Rather than relying on a single model to handle all cases correctly, the system deploys multiple independent safety mechanisms, each responsible for a distinct class of failure.</w:t>
      </w:r>
    </w:p>
    <w:p>
      <w:pPr>
        <w:spacing w:before="0" w:after="160" w:line="360" w:lineRule="exact"/>
        <w:ind w:firstLine="432"/>
        <w:jc w:val="both"/>
      </w:pPr>
      <w:r>
        <w:rPr>
          <w:rFonts w:ascii="Times New Roman" w:hAnsi="Times New Roman"/>
          <w:b w:val="0"/>
          <w:i w:val="0"/>
          <w:sz w:val="24"/>
          <w:u w:val="none"/>
        </w:rPr>
        <w:t>This is a deliberate departure from the end-to-end learning paradigm, where a single neural network is trained to map raw inputs directly to outputs. While end-to-end systems can achieve impressive benchmark accuracy, they are fundamentally opaque and provide no guarantees about behaviour on out-of-distribution inputs—a critical concern in healthcare. By separating the safety layer from the prediction layer, MediAssist AI ensures that emergency escalation is never dependent on the statistical properties of a training dataset.</w:t>
      </w:r>
    </w:p>
    <w:p>
      <w:pPr>
        <w:spacing w:before="280" w:after="80" w:line="360" w:lineRule="exact"/>
        <w:jc w:val="left"/>
      </w:pPr>
      <w:r>
        <w:rPr>
          <w:rFonts w:ascii="Times New Roman" w:hAnsi="Times New Roman"/>
          <w:b/>
          <w:i w:val="0"/>
          <w:sz w:val="26"/>
          <w:u w:val="none"/>
        </w:rPr>
        <w:t>4.2  End-to-End Pipeline Overview</w:t>
      </w:r>
    </w:p>
    <w:p>
      <w:pPr>
        <w:spacing w:before="0" w:after="160" w:line="360" w:lineRule="exact"/>
        <w:ind w:firstLine="432"/>
        <w:jc w:val="both"/>
      </w:pPr>
      <w:r>
        <w:rPr>
          <w:rFonts w:ascii="Times New Roman" w:hAnsi="Times New Roman"/>
          <w:b w:val="0"/>
          <w:i w:val="0"/>
          <w:sz w:val="24"/>
          <w:u w:val="none"/>
        </w:rPr>
        <w:t>Figure 4.1 illustrates the complete data flow from user input to system response. The pipeline consists of five stages:</w:t>
      </w:r>
    </w:p>
    <w:p>
      <w:pPr>
        <w:spacing w:before="160" w:after="60" w:line="360" w:lineRule="exact"/>
        <w:jc w:val="left"/>
      </w:pPr>
      <w:r>
        <w:rPr>
          <w:rFonts w:ascii="Times New Roman" w:hAnsi="Times New Roman"/>
          <w:b/>
          <w:i/>
          <w:sz w:val="24"/>
          <w:u w:val="none"/>
        </w:rPr>
        <w:t>4.2.1  Stage 1 – User Input</w:t>
      </w:r>
    </w:p>
    <w:p>
      <w:pPr>
        <w:spacing w:before="0" w:after="160" w:line="360" w:lineRule="exact"/>
        <w:ind w:firstLine="432"/>
        <w:jc w:val="both"/>
      </w:pPr>
      <w:r>
        <w:rPr>
          <w:rFonts w:ascii="Times New Roman" w:hAnsi="Times New Roman"/>
          <w:b w:val="0"/>
          <w:i w:val="0"/>
          <w:sz w:val="24"/>
          <w:u w:val="none"/>
        </w:rPr>
        <w:t>The user enters a natural language description of their symptoms through the Streamlit chat interface. The text is passed without modification to the next stage.</w:t>
      </w:r>
    </w:p>
    <w:p>
      <w:pPr>
        <w:spacing w:before="160" w:after="60" w:line="360" w:lineRule="exact"/>
        <w:jc w:val="left"/>
      </w:pPr>
      <w:r>
        <w:rPr>
          <w:rFonts w:ascii="Times New Roman" w:hAnsi="Times New Roman"/>
          <w:b/>
          <w:i/>
          <w:sz w:val="24"/>
          <w:u w:val="none"/>
        </w:rPr>
        <w:t>4.2.2  Stage 2 – Emergency Rule Engine (Pre-ML Gate)</w:t>
      </w:r>
    </w:p>
    <w:p>
      <w:pPr>
        <w:spacing w:before="0" w:after="160" w:line="360" w:lineRule="exact"/>
        <w:ind w:firstLine="432"/>
        <w:jc w:val="both"/>
      </w:pPr>
      <w:r>
        <w:rPr>
          <w:rFonts w:ascii="Times New Roman" w:hAnsi="Times New Roman"/>
          <w:b w:val="0"/>
          <w:i w:val="0"/>
          <w:sz w:val="24"/>
          <w:u w:val="none"/>
        </w:rPr>
        <w:t>Before any machine learning inference occurs, the input is passed to the EmergencyRuleEngine. This module performs deterministic substring matching against a curated dictionary of critical symptom phrases across five emergency categories: Neurological, Respiratory, Severe Infection, Hemorrhagic, and Cardiac. If any critical pattern is detected, the system immediately returns an emergency escalation response and bypasses all subsequent stages.</w:t>
      </w:r>
    </w:p>
    <w:p>
      <w:pPr>
        <w:spacing w:before="160" w:after="60" w:line="360" w:lineRule="exact"/>
        <w:jc w:val="left"/>
      </w:pPr>
      <w:r>
        <w:rPr>
          <w:rFonts w:ascii="Times New Roman" w:hAnsi="Times New Roman"/>
          <w:b/>
          <w:i/>
          <w:sz w:val="24"/>
          <w:u w:val="none"/>
        </w:rPr>
        <w:t>4.2.3  Stage 3 – ML Inference (TF-IDF + Logistic Regression)</w:t>
      </w:r>
    </w:p>
    <w:p>
      <w:pPr>
        <w:spacing w:before="0" w:after="160" w:line="360" w:lineRule="exact"/>
        <w:ind w:firstLine="432"/>
        <w:jc w:val="both"/>
      </w:pPr>
      <w:r>
        <w:rPr>
          <w:rFonts w:ascii="Times New Roman" w:hAnsi="Times New Roman"/>
          <w:b w:val="0"/>
          <w:i w:val="0"/>
          <w:sz w:val="24"/>
          <w:u w:val="none"/>
        </w:rPr>
        <w:t>For inputs that pass the emergency gate, the text is vectorised using a fitted TF-IDF transformer and passed to the Logistic Regression classifier. The model returns a softmax probability distribution over all disease classes. The top-K predictions (typically K=3) are extracted along with their normalised confidence scores and uncertainty metrics.</w:t>
      </w:r>
    </w:p>
    <w:p>
      <w:pPr>
        <w:spacing w:before="160" w:after="60" w:line="360" w:lineRule="exact"/>
        <w:jc w:val="left"/>
      </w:pPr>
      <w:r>
        <w:rPr>
          <w:rFonts w:ascii="Times New Roman" w:hAnsi="Times New Roman"/>
          <w:b/>
          <w:i/>
          <w:sz w:val="24"/>
          <w:u w:val="none"/>
        </w:rPr>
        <w:t>4.2.4  Stage 4 – Medical Consistency Validator (Post-ML Gate)</w:t>
      </w:r>
    </w:p>
    <w:p>
      <w:pPr>
        <w:spacing w:before="0" w:after="160" w:line="360" w:lineRule="exact"/>
        <w:ind w:firstLine="432"/>
        <w:jc w:val="both"/>
      </w:pPr>
      <w:r>
        <w:rPr>
          <w:rFonts w:ascii="Times New Roman" w:hAnsi="Times New Roman"/>
          <w:b w:val="0"/>
          <w:i w:val="0"/>
          <w:sz w:val="24"/>
          <w:u w:val="none"/>
        </w:rPr>
        <w:t>The top-K predictions are passed to the MedicalConsistencyValidator. This module extracts the symptom categories implied by the user's input text and cross-references them against the disease categories stored in the disease_categories.json knowledge base. Predictions with a HIGH category overlap retain their original confidence score (penalty = 1.0x). Predictions with NO overlap receive a 0.1x confidence penalty. Predictions for diseases with UNKNOWN category mappings receive a 0.9x penalty. The adjusted predictions are then re-ranked by modified confidence score.</w:t>
      </w:r>
    </w:p>
    <w:p>
      <w:pPr>
        <w:spacing w:before="160" w:after="60" w:line="360" w:lineRule="exact"/>
        <w:jc w:val="left"/>
      </w:pPr>
      <w:r>
        <w:rPr>
          <w:rFonts w:ascii="Times New Roman" w:hAnsi="Times New Roman"/>
          <w:b/>
          <w:i/>
          <w:sz w:val="24"/>
          <w:u w:val="none"/>
        </w:rPr>
        <w:t>4.2.5  Stage 5 – Response Generation &amp; UI Rendering</w:t>
      </w:r>
    </w:p>
    <w:p>
      <w:pPr>
        <w:spacing w:before="0" w:after="160" w:line="360" w:lineRule="exact"/>
        <w:ind w:firstLine="432"/>
        <w:jc w:val="both"/>
      </w:pPr>
      <w:r>
        <w:rPr>
          <w:rFonts w:ascii="Times New Roman" w:hAnsi="Times New Roman"/>
          <w:b w:val="0"/>
          <w:i w:val="0"/>
          <w:sz w:val="24"/>
          <w:u w:val="none"/>
        </w:rPr>
        <w:t>The final predictions, adjusted confidence scores, uncertainty indicators, and severity classification are passed to the Streamlit frontend. The UI renders prediction cards with colour-coded confidence bars, a severity badge, and condition-specific home care guidance.</w:t>
      </w:r>
    </w:p>
    <w:p>
      <w:pPr>
        <w:spacing w:before="120" w:after="40"/>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1" name="before_after_safety.png"/>
                    <pic:cNvPicPr/>
                  </pic:nvPicPr>
                  <pic:blipFill>
                    <a:blip r:embed="rId9"/>
                    <a:stretch>
                      <a:fillRect/>
                    </a:stretch>
                  </pic:blipFill>
                  <pic:spPr>
                    <a:xfrm>
                      <a:off x="0" y="0"/>
                      <a:ext cx="5029200" cy="3017520"/>
                    </a:xfrm>
                    <a:prstGeom prst="rect"/>
                  </pic:spPr>
                </pic:pic>
              </a:graphicData>
            </a:graphic>
          </wp:inline>
        </w:drawing>
      </w:r>
    </w:p>
    <w:p>
      <w:pPr>
        <w:spacing w:before="80" w:after="240"/>
        <w:jc w:val="center"/>
      </w:pPr>
      <w:r>
        <w:rPr>
          <w:rFonts w:ascii="Times New Roman" w:hAnsi="Times New Roman"/>
          <w:b w:val="0"/>
          <w:i/>
          <w:sz w:val="22"/>
          <w:u w:val="none"/>
        </w:rPr>
        <w:t>Figure 4.1 – MediAssist AI End-to-End Safety Pipeline (Before vs. After Architecture)</w:t>
      </w:r>
    </w:p>
    <w:p>
      <w:pPr>
        <w:spacing w:before="280" w:after="80" w:line="360" w:lineRule="exact"/>
        <w:jc w:val="left"/>
      </w:pPr>
      <w:r>
        <w:rPr>
          <w:rFonts w:ascii="Times New Roman" w:hAnsi="Times New Roman"/>
          <w:b/>
          <w:i w:val="0"/>
          <w:sz w:val="26"/>
          <w:u w:val="none"/>
        </w:rPr>
        <w:t>4.3  Emergency Override Architecture</w:t>
      </w:r>
    </w:p>
    <w:p>
      <w:pPr>
        <w:spacing w:before="0" w:after="160" w:line="360" w:lineRule="exact"/>
        <w:ind w:firstLine="432"/>
        <w:jc w:val="both"/>
      </w:pPr>
      <w:r>
        <w:rPr>
          <w:rFonts w:ascii="Times New Roman" w:hAnsi="Times New Roman"/>
          <w:b w:val="0"/>
          <w:i w:val="0"/>
          <w:sz w:val="24"/>
          <w:u w:val="none"/>
        </w:rPr>
        <w:t>The Emergency Safety Override Layer is the most critical component of the system and the primary innovation of this project. Its design was informed by the observed failure modes described in Chapter 3, specifically the inability of purely statistical models to reliably detect life-threatening symptom combinations.</w:t>
      </w:r>
    </w:p>
    <w:p>
      <w:pPr>
        <w:spacing w:before="0" w:after="160" w:line="360" w:lineRule="exact"/>
        <w:ind w:firstLine="432"/>
        <w:jc w:val="both"/>
      </w:pPr>
      <w:r>
        <w:rPr>
          <w:rFonts w:ascii="Times New Roman" w:hAnsi="Times New Roman"/>
          <w:b w:val="0"/>
          <w:i w:val="0"/>
          <w:sz w:val="24"/>
          <w:u w:val="none"/>
        </w:rPr>
        <w:t>The EmergencyRuleEngine is implemented as a deterministic keyword-matching system with five pre-defined emergency categories, each associated with a curated list of critical trigger phrases. The matching is performed using substring search on lowercased input text, ensuring robustness to capitalisation variation. The categories and selected trigger phrases are:</w:t>
      </w:r>
    </w:p>
    <w:tbl>
      <w:tblPr>
        <w:tblStyle w:val="TableGrid"/>
        <w:tblW w:type="auto" w:w="0"/>
        <w:tblLook w:firstColumn="1" w:firstRow="1" w:lastColumn="0" w:lastRow="0" w:noHBand="0" w:noVBand="1" w:val="04A0"/>
      </w:tblPr>
      <w:tblGrid>
        <w:gridCol w:w="4334"/>
        <w:gridCol w:w="4334"/>
      </w:tblGrid>
      <w:tr>
        <w:tc>
          <w:tcPr>
            <w:tcW w:type="dxa" w:w="4334"/>
          </w:tcPr>
          <w:p>
            <w:pPr>
              <w:jc w:val="center"/>
            </w:pPr>
            <w:r>
              <w:rPr>
                <w:rFonts w:ascii="Times New Roman" w:hAnsi="Times New Roman"/>
                <w:b/>
                <w:i w:val="0"/>
                <w:sz w:val="22"/>
                <w:u w:val="none"/>
              </w:rPr>
              <w:t>Emergency Category</w:t>
            </w:r>
          </w:p>
        </w:tc>
        <w:tc>
          <w:tcPr>
            <w:tcW w:type="dxa" w:w="4334"/>
          </w:tcPr>
          <w:p>
            <w:pPr>
              <w:jc w:val="center"/>
            </w:pPr>
            <w:r>
              <w:rPr>
                <w:rFonts w:ascii="Times New Roman" w:hAnsi="Times New Roman"/>
                <w:b/>
                <w:i w:val="0"/>
                <w:sz w:val="22"/>
                <w:u w:val="none"/>
              </w:rPr>
              <w:t>Selected Trigger Phrases (Illustrative)</w:t>
            </w:r>
          </w:p>
        </w:tc>
      </w:tr>
      <w:tr>
        <w:tc>
          <w:tcPr>
            <w:tcW w:type="dxa" w:w="4334"/>
          </w:tcPr>
          <w:p>
            <w:pPr>
              <w:jc w:val="left"/>
            </w:pPr>
            <w:r>
              <w:rPr>
                <w:rFonts w:ascii="Times New Roman" w:hAnsi="Times New Roman"/>
                <w:b w:val="0"/>
                <w:i w:val="0"/>
                <w:sz w:val="22"/>
                <w:u w:val="none"/>
              </w:rPr>
              <w:t>Neurological Emergency</w:t>
            </w:r>
          </w:p>
        </w:tc>
        <w:tc>
          <w:tcPr>
            <w:tcW w:type="dxa" w:w="4334"/>
          </w:tcPr>
          <w:p>
            <w:pPr>
              <w:jc w:val="left"/>
            </w:pPr>
            <w:r>
              <w:rPr>
                <w:rFonts w:ascii="Times New Roman" w:hAnsi="Times New Roman"/>
                <w:b w:val="0"/>
                <w:i w:val="0"/>
                <w:sz w:val="22"/>
                <w:u w:val="none"/>
              </w:rPr>
              <w:t>slurred speech, facial drooping, sudden numbness, vision loss, sudden severe headache, loss of consciousness</w:t>
            </w:r>
          </w:p>
        </w:tc>
      </w:tr>
      <w:tr>
        <w:tc>
          <w:tcPr>
            <w:tcW w:type="dxa" w:w="4334"/>
          </w:tcPr>
          <w:p>
            <w:pPr>
              <w:jc w:val="left"/>
            </w:pPr>
            <w:r>
              <w:rPr>
                <w:rFonts w:ascii="Times New Roman" w:hAnsi="Times New Roman"/>
                <w:b w:val="0"/>
                <w:i w:val="0"/>
                <w:sz w:val="22"/>
                <w:u w:val="none"/>
              </w:rPr>
              <w:t>Respiratory Emergency</w:t>
            </w:r>
          </w:p>
        </w:tc>
        <w:tc>
          <w:tcPr>
            <w:tcW w:type="dxa" w:w="4334"/>
          </w:tcPr>
          <w:p>
            <w:pPr>
              <w:jc w:val="left"/>
            </w:pPr>
            <w:r>
              <w:rPr>
                <w:rFonts w:ascii="Times New Roman" w:hAnsi="Times New Roman"/>
                <w:b w:val="0"/>
                <w:i w:val="0"/>
                <w:sz w:val="22"/>
                <w:u w:val="none"/>
              </w:rPr>
              <w:t>coughing up blood, can't breathe, difficulty breathing, blood in mucus, severe shortness of breath</w:t>
            </w:r>
          </w:p>
        </w:tc>
      </w:tr>
      <w:tr>
        <w:tc>
          <w:tcPr>
            <w:tcW w:type="dxa" w:w="4334"/>
          </w:tcPr>
          <w:p>
            <w:pPr>
              <w:jc w:val="left"/>
            </w:pPr>
            <w:r>
              <w:rPr>
                <w:rFonts w:ascii="Times New Roman" w:hAnsi="Times New Roman"/>
                <w:b w:val="0"/>
                <w:i w:val="0"/>
                <w:sz w:val="22"/>
                <w:u w:val="none"/>
              </w:rPr>
              <w:t>Severe Infection</w:t>
            </w:r>
          </w:p>
        </w:tc>
        <w:tc>
          <w:tcPr>
            <w:tcW w:type="dxa" w:w="4334"/>
          </w:tcPr>
          <w:p>
            <w:pPr>
              <w:jc w:val="left"/>
            </w:pPr>
            <w:r>
              <w:rPr>
                <w:rFonts w:ascii="Times New Roman" w:hAnsi="Times New Roman"/>
                <w:b w:val="0"/>
                <w:i w:val="0"/>
                <w:sz w:val="22"/>
                <w:u w:val="none"/>
              </w:rPr>
              <w:t>stiff neck, extremely high fever, sensitivity to light, severe abdominal pain with fever, confusion with fever</w:t>
            </w:r>
          </w:p>
        </w:tc>
      </w:tr>
      <w:tr>
        <w:tc>
          <w:tcPr>
            <w:tcW w:type="dxa" w:w="4334"/>
          </w:tcPr>
          <w:p>
            <w:pPr>
              <w:jc w:val="left"/>
            </w:pPr>
            <w:r>
              <w:rPr>
                <w:rFonts w:ascii="Times New Roman" w:hAnsi="Times New Roman"/>
                <w:b w:val="0"/>
                <w:i w:val="0"/>
                <w:sz w:val="22"/>
                <w:u w:val="none"/>
              </w:rPr>
              <w:t>Hemorrhagic Warning</w:t>
            </w:r>
          </w:p>
        </w:tc>
        <w:tc>
          <w:tcPr>
            <w:tcW w:type="dxa" w:w="4334"/>
          </w:tcPr>
          <w:p>
            <w:pPr>
              <w:jc w:val="left"/>
            </w:pPr>
            <w:r>
              <w:rPr>
                <w:rFonts w:ascii="Times New Roman" w:hAnsi="Times New Roman"/>
                <w:b w:val="0"/>
                <w:i w:val="0"/>
                <w:sz w:val="22"/>
                <w:u w:val="none"/>
              </w:rPr>
              <w:t>bleeding gums, blood in vomit, blood in stool, coughing blood, unexplained bruising with fever</w:t>
            </w:r>
          </w:p>
        </w:tc>
      </w:tr>
      <w:tr>
        <w:tc>
          <w:tcPr>
            <w:tcW w:type="dxa" w:w="4334"/>
          </w:tcPr>
          <w:p>
            <w:pPr>
              <w:jc w:val="left"/>
            </w:pPr>
            <w:r>
              <w:rPr>
                <w:rFonts w:ascii="Times New Roman" w:hAnsi="Times New Roman"/>
                <w:b w:val="0"/>
                <w:i w:val="0"/>
                <w:sz w:val="22"/>
                <w:u w:val="none"/>
              </w:rPr>
              <w:t>Cardiac Emergency</w:t>
            </w:r>
          </w:p>
        </w:tc>
        <w:tc>
          <w:tcPr>
            <w:tcW w:type="dxa" w:w="4334"/>
          </w:tcPr>
          <w:p>
            <w:pPr>
              <w:jc w:val="left"/>
            </w:pPr>
            <w:r>
              <w:rPr>
                <w:rFonts w:ascii="Times New Roman" w:hAnsi="Times New Roman"/>
                <w:b w:val="0"/>
                <w:i w:val="0"/>
                <w:sz w:val="22"/>
                <w:u w:val="none"/>
              </w:rPr>
              <w:t>crushing chest pain, chest pain radiating to arm, palpitations with dizziness, sudden heart racing with chest tightness</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4.1 – Emergency Symptom Categories and Trigger Phrases</w:t>
      </w:r>
    </w:p>
    <w:p>
      <w:pPr>
        <w:spacing w:before="0" w:after="160" w:line="360" w:lineRule="exact"/>
        <w:ind w:firstLine="432"/>
        <w:jc w:val="both"/>
      </w:pPr>
      <w:r>
        <w:rPr>
          <w:rFonts w:ascii="Times New Roman" w:hAnsi="Times New Roman"/>
          <w:b w:val="0"/>
          <w:i w:val="0"/>
          <w:sz w:val="24"/>
          <w:u w:val="none"/>
        </w:rPr>
        <w:t>When any trigger phrase is matched, the system sets a boolean emergency flag and returns a structured escalation object containing the detected category and a user-facing urgency message. Crucially, this occurs before the TF-IDF vectoriser is invoked, so the statistical model never has the opportunity to produce a competing prediction. This architectural decision eliminates the entire class of emergency misclassification failures observed in the baseline system.</w:t>
      </w:r>
    </w:p>
    <w:p>
      <w:pPr>
        <w:spacing w:before="120" w:after="40"/>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2" name="escalation_heatmap.png"/>
                    <pic:cNvPicPr/>
                  </pic:nvPicPr>
                  <pic:blipFill>
                    <a:blip r:embed="rId10"/>
                    <a:stretch>
                      <a:fillRect/>
                    </a:stretch>
                  </pic:blipFill>
                  <pic:spPr>
                    <a:xfrm>
                      <a:off x="0" y="0"/>
                      <a:ext cx="5029200" cy="3017520"/>
                    </a:xfrm>
                    <a:prstGeom prst="rect"/>
                  </pic:spPr>
                </pic:pic>
              </a:graphicData>
            </a:graphic>
          </wp:inline>
        </w:drawing>
      </w:r>
    </w:p>
    <w:p>
      <w:pPr>
        <w:spacing w:before="80" w:after="240"/>
        <w:jc w:val="center"/>
      </w:pPr>
      <w:r>
        <w:rPr>
          <w:rFonts w:ascii="Times New Roman" w:hAnsi="Times New Roman"/>
          <w:b w:val="0"/>
          <w:i/>
          <w:sz w:val="22"/>
          <w:u w:val="none"/>
        </w:rPr>
        <w:t>Figure 4.2 – Escalation Action Heatmap by Symptom Category</w:t>
      </w:r>
    </w:p>
    <w:p>
      <w:pPr>
        <w:spacing w:before="280" w:after="80" w:line="360" w:lineRule="exact"/>
        <w:jc w:val="left"/>
      </w:pPr>
      <w:r>
        <w:rPr>
          <w:rFonts w:ascii="Times New Roman" w:hAnsi="Times New Roman"/>
          <w:b/>
          <w:i w:val="0"/>
          <w:sz w:val="26"/>
          <w:u w:val="none"/>
        </w:rPr>
        <w:t>4.4  Medical Consistency Validator Architecture</w:t>
      </w:r>
    </w:p>
    <w:p>
      <w:pPr>
        <w:spacing w:before="0" w:after="160" w:line="360" w:lineRule="exact"/>
        <w:ind w:firstLine="432"/>
        <w:jc w:val="both"/>
      </w:pPr>
      <w:r>
        <w:rPr>
          <w:rFonts w:ascii="Times New Roman" w:hAnsi="Times New Roman"/>
          <w:b w:val="0"/>
          <w:i w:val="0"/>
          <w:sz w:val="24"/>
          <w:u w:val="none"/>
        </w:rPr>
        <w:t>For inputs that pass the emergency gate, the Medical Consistency Validator provides a secondary safety check by ensuring that the ML model's predictions are medically coherent with respect to the user's symptom description. The validator operates in three steps:</w:t>
      </w:r>
    </w:p>
    <w:p>
      <w:pPr>
        <w:pStyle w:val="ListBullet"/>
        <w:spacing w:before="40" w:after="40" w:line="320" w:lineRule="exact"/>
        <w:ind w:left="576"/>
      </w:pPr>
      <w:r>
        <w:rPr>
          <w:rFonts w:ascii="Times New Roman" w:hAnsi="Times New Roman"/>
          <w:b w:val="0"/>
          <w:i w:val="0"/>
          <w:sz w:val="24"/>
          <w:u w:val="none"/>
        </w:rPr>
        <w:t>Symptom Category Extraction: The user's input text is matched against a dictionary of category-specific keywords covering eleven clinical domains: respiratory, eye, gastrointestinal, neurological, fever, cardiovascular, metabolic, skin, urinary, musculoskeletal, and systemic. This produces a set of detected input categories.</w:t>
      </w:r>
    </w:p>
    <w:p>
      <w:pPr>
        <w:pStyle w:val="ListBullet"/>
        <w:spacing w:before="40" w:after="40" w:line="320" w:lineRule="exact"/>
        <w:ind w:left="576"/>
      </w:pPr>
      <w:r>
        <w:rPr>
          <w:rFonts w:ascii="Times New Roman" w:hAnsi="Times New Roman"/>
          <w:b w:val="0"/>
          <w:i w:val="0"/>
          <w:sz w:val="24"/>
          <w:u w:val="none"/>
        </w:rPr>
        <w:t>Disease Category Lookup: For each of the top-K predicted diseases, the validator retrieves the associated clinical categories from the disease_categories.json knowledge base, which was generated by mapping all 260+ disease classes in the training dataset to their relevant clinical domains.</w:t>
      </w:r>
    </w:p>
    <w:p>
      <w:pPr>
        <w:pStyle w:val="ListBullet"/>
        <w:spacing w:before="40" w:after="40" w:line="320" w:lineRule="exact"/>
        <w:ind w:left="576"/>
      </w:pPr>
      <w:r>
        <w:rPr>
          <w:rFonts w:ascii="Times New Roman" w:hAnsi="Times New Roman"/>
          <w:b w:val="0"/>
          <w:i w:val="0"/>
          <w:sz w:val="24"/>
          <w:u w:val="none"/>
        </w:rPr>
        <w:t>Penalty Application and Re-ranking: The overlap between input categories and disease categories determines the penalty multiplier applied to each prediction's confidence score. Predictions are then re-sorted by adjusted confidence.</w:t>
      </w:r>
    </w:p>
    <w:p>
      <w:pPr>
        <w:spacing w:before="0" w:after="160" w:line="360" w:lineRule="exact"/>
        <w:ind w:firstLine="432"/>
        <w:jc w:val="both"/>
      </w:pPr>
      <w:r>
        <w:rPr>
          <w:rFonts w:ascii="Times New Roman" w:hAnsi="Times New Roman"/>
          <w:b w:val="0"/>
          <w:i w:val="0"/>
          <w:sz w:val="24"/>
          <w:u w:val="none"/>
        </w:rPr>
        <w:t>The validator also generates a structured JSON log entry for every prediction, recording the detected input categories, each prediction's consistency rating, the penalty applied, and any re-ranking changes. These logs are stored in logs/safety/medical_consistency.log and form the basis of the explainability analysis reported in Chapter 11.</w:t>
      </w:r>
    </w:p>
    <w:p>
      <w:pPr>
        <w:spacing w:before="120" w:after="40"/>
        <w:jc w:val="center"/>
      </w:pPr>
      <w:r>
        <w:drawing>
          <wp:inline xmlns:a="http://schemas.openxmlformats.org/drawingml/2006/main" xmlns:pic="http://schemas.openxmlformats.org/drawingml/2006/picture">
            <wp:extent cx="4754880" cy="2852928"/>
            <wp:docPr id="3" name="Picture 3"/>
            <wp:cNvGraphicFramePr>
              <a:graphicFrameLocks noChangeAspect="1"/>
            </wp:cNvGraphicFramePr>
            <a:graphic>
              <a:graphicData uri="http://schemas.openxmlformats.org/drawingml/2006/picture">
                <pic:pic>
                  <pic:nvPicPr>
                    <pic:cNvPr id="3" name="consistency_penalties.png"/>
                    <pic:cNvPicPr/>
                  </pic:nvPicPr>
                  <pic:blipFill>
                    <a:blip r:embed="rId11"/>
                    <a:stretch>
                      <a:fillRect/>
                    </a:stretch>
                  </pic:blipFill>
                  <pic:spPr>
                    <a:xfrm>
                      <a:off x="0" y="0"/>
                      <a:ext cx="4754880" cy="2852928"/>
                    </a:xfrm>
                    <a:prstGeom prst="rect"/>
                  </pic:spPr>
                </pic:pic>
              </a:graphicData>
            </a:graphic>
          </wp:inline>
        </w:drawing>
      </w:r>
    </w:p>
    <w:p>
      <w:pPr>
        <w:spacing w:before="80" w:after="240"/>
        <w:jc w:val="center"/>
      </w:pPr>
      <w:r>
        <w:rPr>
          <w:rFonts w:ascii="Times New Roman" w:hAnsi="Times New Roman"/>
          <w:b w:val="0"/>
          <w:i/>
          <w:sz w:val="22"/>
          <w:u w:val="none"/>
        </w:rPr>
        <w:t>Figure 4.3 – Medical Consistency Penalty Impact on Confidence Scores</w:t>
      </w:r>
    </w:p>
    <w:p>
      <w:pPr>
        <w:spacing w:before="280" w:after="80" w:line="360" w:lineRule="exact"/>
        <w:jc w:val="left"/>
      </w:pPr>
      <w:r>
        <w:rPr>
          <w:rFonts w:ascii="Times New Roman" w:hAnsi="Times New Roman"/>
          <w:b/>
          <w:i w:val="0"/>
          <w:sz w:val="26"/>
          <w:u w:val="none"/>
        </w:rPr>
        <w:t>4.5  Frontend Architecture</w:t>
      </w:r>
    </w:p>
    <w:p>
      <w:pPr>
        <w:spacing w:before="0" w:after="160" w:line="360" w:lineRule="exact"/>
        <w:ind w:firstLine="432"/>
        <w:jc w:val="both"/>
      </w:pPr>
      <w:r>
        <w:rPr>
          <w:rFonts w:ascii="Times New Roman" w:hAnsi="Times New Roman"/>
          <w:b w:val="0"/>
          <w:i w:val="0"/>
          <w:sz w:val="24"/>
          <w:u w:val="none"/>
        </w:rPr>
        <w:t>The user interface is implemented as a single-page Streamlit application (src/frontend/app.py). Streamlit was selected over Flask or FastAPI for the frontend layer because it allows rapid UI iteration without requiring a separate JavaScript frontend, which is consistent with the project's goal of being deployable in resource-constrained environments.</w:t>
      </w:r>
    </w:p>
    <w:p>
      <w:pPr>
        <w:spacing w:before="0" w:after="160" w:line="360" w:lineRule="exact"/>
        <w:ind w:firstLine="432"/>
        <w:jc w:val="both"/>
      </w:pPr>
      <w:r>
        <w:rPr>
          <w:rFonts w:ascii="Times New Roman" w:hAnsi="Times New Roman"/>
          <w:b w:val="0"/>
          <w:i w:val="0"/>
          <w:sz w:val="24"/>
          <w:u w:val="none"/>
        </w:rPr>
        <w:t>The frontend is organised into three display modes, each activated based on the system's evaluation of the user's input:</w:t>
      </w:r>
    </w:p>
    <w:p>
      <w:pPr>
        <w:spacing w:before="160" w:after="60" w:line="360" w:lineRule="exact"/>
        <w:jc w:val="left"/>
      </w:pPr>
      <w:r>
        <w:rPr>
          <w:rFonts w:ascii="Times New Roman" w:hAnsi="Times New Roman"/>
          <w:b/>
          <w:i/>
          <w:sz w:val="24"/>
          <w:u w:val="none"/>
        </w:rPr>
        <w:t xml:space="preserve">  Emergency Escalation Mode</w:t>
      </w:r>
    </w:p>
    <w:p>
      <w:pPr>
        <w:spacing w:before="0" w:after="160" w:line="360" w:lineRule="exact"/>
        <w:ind w:firstLine="432"/>
        <w:jc w:val="both"/>
      </w:pPr>
      <w:r>
        <w:rPr>
          <w:rFonts w:ascii="Times New Roman" w:hAnsi="Times New Roman"/>
          <w:b w:val="0"/>
          <w:i w:val="0"/>
          <w:sz w:val="24"/>
          <w:u w:val="none"/>
        </w:rPr>
        <w:t>Triggered when the Emergency Rule Engine returns a positive match. The interface renders a high-contrast red banner with the detected emergency category and an urgent instruction to seek immediate medical attention. All prediction cards are hidden. The glassmorphism card is replaced with a solid alert panel.</w:t>
      </w:r>
    </w:p>
    <w:p>
      <w:pPr>
        <w:spacing w:before="160" w:after="60" w:line="360" w:lineRule="exact"/>
        <w:jc w:val="left"/>
      </w:pPr>
      <w:r>
        <w:rPr>
          <w:rFonts w:ascii="Times New Roman" w:hAnsi="Times New Roman"/>
          <w:b/>
          <w:i/>
          <w:sz w:val="24"/>
          <w:u w:val="none"/>
        </w:rPr>
        <w:t xml:space="preserve">  Standard Prediction Mode</w:t>
      </w:r>
    </w:p>
    <w:p>
      <w:pPr>
        <w:spacing w:before="0" w:after="160" w:line="360" w:lineRule="exact"/>
        <w:ind w:firstLine="432"/>
        <w:jc w:val="both"/>
      </w:pPr>
      <w:r>
        <w:rPr>
          <w:rFonts w:ascii="Times New Roman" w:hAnsi="Times New Roman"/>
          <w:b w:val="0"/>
          <w:i w:val="0"/>
          <w:sz w:val="24"/>
          <w:u w:val="none"/>
        </w:rPr>
        <w:t>Activated for non-emergency inputs. The interface displays the top-K predictions as individual cards, each containing the disease name, a translated human-friendly description, a colour-coded confidence bar (green &gt; 70%, amber 40–70%, red &lt; 40%), a severity badge, and the consistency rating from the validator.</w:t>
      </w:r>
    </w:p>
    <w:p>
      <w:pPr>
        <w:spacing w:before="160" w:after="60" w:line="360" w:lineRule="exact"/>
        <w:jc w:val="left"/>
      </w:pPr>
      <w:r>
        <w:rPr>
          <w:rFonts w:ascii="Times New Roman" w:hAnsi="Times New Roman"/>
          <w:b/>
          <w:i/>
          <w:sz w:val="24"/>
          <w:u w:val="none"/>
        </w:rPr>
        <w:t xml:space="preserve">  Uncertainty Warning Mode</w:t>
      </w:r>
    </w:p>
    <w:p>
      <w:pPr>
        <w:spacing w:before="0" w:after="160" w:line="360" w:lineRule="exact"/>
        <w:ind w:firstLine="432"/>
        <w:jc w:val="both"/>
      </w:pPr>
      <w:r>
        <w:rPr>
          <w:rFonts w:ascii="Times New Roman" w:hAnsi="Times New Roman"/>
          <w:b w:val="0"/>
          <w:i w:val="0"/>
          <w:sz w:val="24"/>
          <w:u w:val="none"/>
        </w:rPr>
        <w:t>When the entropy of the softmax distribution exceeds a configurable threshold, or when the gap between top-1 and top-2 confidence scores is below 0.15, the system displays an uncertainty warning alongside the predictions, advising the user that the symptom description is ambiguous and that professional consultation is particularly recommended.</w:t>
      </w:r>
    </w:p>
    <w:p>
      <w:pPr>
        <w:spacing w:before="0" w:after="160" w:line="360" w:lineRule="exact"/>
        <w:ind w:firstLine="432"/>
        <w:jc w:val="both"/>
      </w:pPr>
      <w:r>
        <w:rPr>
          <w:rFonts w:ascii="Times New Roman" w:hAnsi="Times New Roman"/>
          <w:b w:val="0"/>
          <w:i w:val="0"/>
          <w:sz w:val="24"/>
          <w:u w:val="none"/>
        </w:rPr>
        <w:t>Custom CSS implementing the glassmorphism aesthetic is injected via Streamlit's st.markdown() mechanism. The style system defines a consistent design token set including background blur, border radius, transparency levels, and a colour palette that uses desaturated blues and teals for non-emergency states, shifting to high-contrast reds for emergency escalations.</w:t>
      </w:r>
    </w:p>
    <w:p>
      <w:r>
        <w:br w:type="page"/>
      </w:r>
    </w:p>
    <w:p>
      <w:pPr>
        <w:spacing w:before="0" w:after="120" w:line="400" w:lineRule="exact"/>
        <w:jc w:val="left"/>
      </w:pPr>
      <w:r>
        <w:rPr>
          <w:rFonts w:ascii="Times New Roman" w:hAnsi="Times New Roman"/>
          <w:b/>
          <w:i w:val="0"/>
          <w:sz w:val="32"/>
          <w:u w:val="single"/>
        </w:rPr>
        <w:t>Chapter 5: Dataset Description</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MediAssist AI was built and evaluated on a combination of publicly available healthcare datasets. This chapter describes each dataset's source, structure, size, and the preprocessing pipeline applied to prepare it for model training and system integration.</w:t>
      </w:r>
    </w:p>
    <w:p>
      <w:pPr>
        <w:spacing w:before="280" w:after="80" w:line="360" w:lineRule="exact"/>
        <w:jc w:val="left"/>
      </w:pPr>
      <w:r>
        <w:rPr>
          <w:rFonts w:ascii="Times New Roman" w:hAnsi="Times New Roman"/>
          <w:b/>
          <w:i w:val="0"/>
          <w:sz w:val="26"/>
          <w:u w:val="none"/>
        </w:rPr>
        <w:t>5.1  Dataset Overview</w:t>
      </w:r>
    </w:p>
    <w:p>
      <w:pPr>
        <w:spacing w:before="0" w:after="120" w:line="360" w:lineRule="exact"/>
        <w:ind w:firstLine="0"/>
        <w:jc w:val="both"/>
      </w:pPr>
      <w:r>
        <w:rPr>
          <w:rFonts w:ascii="Times New Roman" w:hAnsi="Times New Roman"/>
          <w:b w:val="0"/>
          <w:i w:val="0"/>
          <w:sz w:val="24"/>
          <w:u w:val="none"/>
        </w:rPr>
        <w:t>Table 5.1 provides a summary of all datasets used in the project, including their approximate size, format, and primary role in the system.</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jc w:val="center"/>
            </w:pPr>
            <w:r>
              <w:rPr>
                <w:rFonts w:ascii="Times New Roman" w:hAnsi="Times New Roman"/>
                <w:b/>
                <w:i w:val="0"/>
                <w:sz w:val="22"/>
                <w:u w:val="none"/>
              </w:rPr>
              <w:t>Dataset</w:t>
            </w:r>
          </w:p>
        </w:tc>
        <w:tc>
          <w:tcPr>
            <w:tcW w:type="dxa" w:w="1734"/>
          </w:tcPr>
          <w:p>
            <w:pPr>
              <w:jc w:val="center"/>
            </w:pPr>
            <w:r>
              <w:rPr>
                <w:rFonts w:ascii="Times New Roman" w:hAnsi="Times New Roman"/>
                <w:b/>
                <w:i w:val="0"/>
                <w:sz w:val="22"/>
                <w:u w:val="none"/>
              </w:rPr>
              <w:t>Rows</w:t>
            </w:r>
          </w:p>
        </w:tc>
        <w:tc>
          <w:tcPr>
            <w:tcW w:type="dxa" w:w="1734"/>
          </w:tcPr>
          <w:p>
            <w:pPr>
              <w:jc w:val="center"/>
            </w:pPr>
            <w:r>
              <w:rPr>
                <w:rFonts w:ascii="Times New Roman" w:hAnsi="Times New Roman"/>
                <w:b/>
                <w:i w:val="0"/>
                <w:sz w:val="22"/>
                <w:u w:val="none"/>
              </w:rPr>
              <w:t>Format</w:t>
            </w:r>
          </w:p>
        </w:tc>
        <w:tc>
          <w:tcPr>
            <w:tcW w:type="dxa" w:w="1734"/>
          </w:tcPr>
          <w:p>
            <w:pPr>
              <w:jc w:val="center"/>
            </w:pPr>
            <w:r>
              <w:rPr>
                <w:rFonts w:ascii="Times New Roman" w:hAnsi="Times New Roman"/>
                <w:b/>
                <w:i w:val="0"/>
                <w:sz w:val="22"/>
                <w:u w:val="none"/>
              </w:rPr>
              <w:t>Role</w:t>
            </w:r>
          </w:p>
        </w:tc>
        <w:tc>
          <w:tcPr>
            <w:tcW w:type="dxa" w:w="1734"/>
          </w:tcPr>
          <w:p>
            <w:pPr>
              <w:jc w:val="center"/>
            </w:pPr>
            <w:r>
              <w:rPr>
                <w:rFonts w:ascii="Times New Roman" w:hAnsi="Times New Roman"/>
                <w:b/>
                <w:i w:val="0"/>
                <w:sz w:val="22"/>
                <w:u w:val="none"/>
              </w:rPr>
              <w:t>Source</w:t>
            </w:r>
          </w:p>
        </w:tc>
      </w:tr>
      <w:tr>
        <w:tc>
          <w:tcPr>
            <w:tcW w:type="dxa" w:w="1734"/>
          </w:tcPr>
          <w:p>
            <w:pPr>
              <w:jc w:val="center"/>
            </w:pPr>
            <w:r>
              <w:rPr>
                <w:rFonts w:ascii="Times New Roman" w:hAnsi="Times New Roman"/>
                <w:b w:val="0"/>
                <w:i w:val="0"/>
                <w:sz w:val="22"/>
                <w:u w:val="none"/>
              </w:rPr>
              <w:t>Symptom–Disease (Primary)</w:t>
            </w:r>
          </w:p>
        </w:tc>
        <w:tc>
          <w:tcPr>
            <w:tcW w:type="dxa" w:w="1734"/>
          </w:tcPr>
          <w:p>
            <w:pPr>
              <w:jc w:val="center"/>
            </w:pPr>
            <w:r>
              <w:rPr>
                <w:rFonts w:ascii="Times New Roman" w:hAnsi="Times New Roman"/>
                <w:b w:val="0"/>
                <w:i w:val="0"/>
                <w:sz w:val="22"/>
                <w:u w:val="none"/>
              </w:rPr>
              <w:t>163,727</w:t>
            </w:r>
          </w:p>
        </w:tc>
        <w:tc>
          <w:tcPr>
            <w:tcW w:type="dxa" w:w="1734"/>
          </w:tcPr>
          <w:p>
            <w:pPr>
              <w:jc w:val="center"/>
            </w:pPr>
            <w:r>
              <w:rPr>
                <w:rFonts w:ascii="Times New Roman" w:hAnsi="Times New Roman"/>
                <w:b w:val="0"/>
                <w:i w:val="0"/>
                <w:sz w:val="22"/>
                <w:u w:val="none"/>
              </w:rPr>
              <w:t>CSV</w:t>
            </w:r>
          </w:p>
        </w:tc>
        <w:tc>
          <w:tcPr>
            <w:tcW w:type="dxa" w:w="1734"/>
          </w:tcPr>
          <w:p>
            <w:pPr>
              <w:jc w:val="center"/>
            </w:pPr>
            <w:r>
              <w:rPr>
                <w:rFonts w:ascii="Times New Roman" w:hAnsi="Times New Roman"/>
                <w:b w:val="0"/>
                <w:i w:val="0"/>
                <w:sz w:val="22"/>
                <w:u w:val="none"/>
              </w:rPr>
              <w:t>ML Training &amp; Evaluation</w:t>
            </w:r>
          </w:p>
        </w:tc>
        <w:tc>
          <w:tcPr>
            <w:tcW w:type="dxa" w:w="1734"/>
          </w:tcPr>
          <w:p>
            <w:pPr>
              <w:jc w:val="center"/>
            </w:pPr>
            <w:r>
              <w:rPr>
                <w:rFonts w:ascii="Times New Roman" w:hAnsi="Times New Roman"/>
                <w:b w:val="0"/>
                <w:i w:val="0"/>
                <w:sz w:val="22"/>
                <w:u w:val="none"/>
              </w:rPr>
              <w:t>Kaggle / Curated</w:t>
            </w:r>
          </w:p>
        </w:tc>
      </w:tr>
      <w:tr>
        <w:tc>
          <w:tcPr>
            <w:tcW w:type="dxa" w:w="1734"/>
          </w:tcPr>
          <w:p>
            <w:pPr>
              <w:jc w:val="center"/>
            </w:pPr>
            <w:r>
              <w:rPr>
                <w:rFonts w:ascii="Times New Roman" w:hAnsi="Times New Roman"/>
                <w:b w:val="0"/>
                <w:i w:val="0"/>
                <w:sz w:val="22"/>
                <w:u w:val="none"/>
              </w:rPr>
              <w:t>HealthCareMagic-100k</w:t>
            </w:r>
          </w:p>
        </w:tc>
        <w:tc>
          <w:tcPr>
            <w:tcW w:type="dxa" w:w="1734"/>
          </w:tcPr>
          <w:p>
            <w:pPr>
              <w:jc w:val="center"/>
            </w:pPr>
            <w:r>
              <w:rPr>
                <w:rFonts w:ascii="Times New Roman" w:hAnsi="Times New Roman"/>
                <w:b w:val="0"/>
                <w:i w:val="0"/>
                <w:sz w:val="22"/>
                <w:u w:val="none"/>
              </w:rPr>
              <w:t>112,164</w:t>
            </w:r>
          </w:p>
        </w:tc>
        <w:tc>
          <w:tcPr>
            <w:tcW w:type="dxa" w:w="1734"/>
          </w:tcPr>
          <w:p>
            <w:pPr>
              <w:jc w:val="center"/>
            </w:pPr>
            <w:r>
              <w:rPr>
                <w:rFonts w:ascii="Times New Roman" w:hAnsi="Times New Roman"/>
                <w:b w:val="0"/>
                <w:i w:val="0"/>
                <w:sz w:val="22"/>
                <w:u w:val="none"/>
              </w:rPr>
              <w:t>JSON</w:t>
            </w:r>
          </w:p>
        </w:tc>
        <w:tc>
          <w:tcPr>
            <w:tcW w:type="dxa" w:w="1734"/>
          </w:tcPr>
          <w:p>
            <w:pPr>
              <w:jc w:val="center"/>
            </w:pPr>
            <w:r>
              <w:rPr>
                <w:rFonts w:ascii="Times New Roman" w:hAnsi="Times New Roman"/>
                <w:b w:val="0"/>
                <w:i w:val="0"/>
                <w:sz w:val="22"/>
                <w:u w:val="none"/>
              </w:rPr>
              <w:t>Conversational Context</w:t>
            </w:r>
          </w:p>
        </w:tc>
        <w:tc>
          <w:tcPr>
            <w:tcW w:type="dxa" w:w="1734"/>
          </w:tcPr>
          <w:p>
            <w:pPr>
              <w:jc w:val="center"/>
            </w:pPr>
            <w:r>
              <w:rPr>
                <w:rFonts w:ascii="Times New Roman" w:hAnsi="Times New Roman"/>
                <w:b w:val="0"/>
                <w:i w:val="0"/>
                <w:sz w:val="22"/>
                <w:u w:val="none"/>
              </w:rPr>
              <w:t>HuggingFace</w:t>
            </w:r>
          </w:p>
        </w:tc>
      </w:tr>
      <w:tr>
        <w:tc>
          <w:tcPr>
            <w:tcW w:type="dxa" w:w="1734"/>
          </w:tcPr>
          <w:p>
            <w:pPr>
              <w:jc w:val="center"/>
            </w:pPr>
            <w:r>
              <w:rPr>
                <w:rFonts w:ascii="Times New Roman" w:hAnsi="Times New Roman"/>
                <w:b w:val="0"/>
                <w:i w:val="0"/>
                <w:sz w:val="22"/>
                <w:u w:val="none"/>
              </w:rPr>
              <w:t>National Hospital Directory</w:t>
            </w:r>
          </w:p>
        </w:tc>
        <w:tc>
          <w:tcPr>
            <w:tcW w:type="dxa" w:w="1734"/>
          </w:tcPr>
          <w:p>
            <w:pPr>
              <w:jc w:val="center"/>
            </w:pPr>
            <w:r>
              <w:rPr>
                <w:rFonts w:ascii="Times New Roman" w:hAnsi="Times New Roman"/>
                <w:b w:val="0"/>
                <w:i w:val="0"/>
                <w:sz w:val="22"/>
                <w:u w:val="none"/>
              </w:rPr>
              <w:t>30,273</w:t>
            </w:r>
          </w:p>
        </w:tc>
        <w:tc>
          <w:tcPr>
            <w:tcW w:type="dxa" w:w="1734"/>
          </w:tcPr>
          <w:p>
            <w:pPr>
              <w:jc w:val="center"/>
            </w:pPr>
            <w:r>
              <w:rPr>
                <w:rFonts w:ascii="Times New Roman" w:hAnsi="Times New Roman"/>
                <w:b w:val="0"/>
                <w:i w:val="0"/>
                <w:sz w:val="22"/>
                <w:u w:val="none"/>
              </w:rPr>
              <w:t>XLSX</w:t>
            </w:r>
          </w:p>
        </w:tc>
        <w:tc>
          <w:tcPr>
            <w:tcW w:type="dxa" w:w="1734"/>
          </w:tcPr>
          <w:p>
            <w:pPr>
              <w:jc w:val="center"/>
            </w:pPr>
            <w:r>
              <w:rPr>
                <w:rFonts w:ascii="Times New Roman" w:hAnsi="Times New Roman"/>
                <w:b w:val="0"/>
                <w:i w:val="0"/>
                <w:sz w:val="22"/>
                <w:u w:val="none"/>
              </w:rPr>
              <w:t>Hospital Recommendation</w:t>
            </w:r>
          </w:p>
        </w:tc>
        <w:tc>
          <w:tcPr>
            <w:tcW w:type="dxa" w:w="1734"/>
          </w:tcPr>
          <w:p>
            <w:pPr>
              <w:jc w:val="center"/>
            </w:pPr>
            <w:r>
              <w:rPr>
                <w:rFonts w:ascii="Times New Roman" w:hAnsi="Times New Roman"/>
                <w:b w:val="0"/>
                <w:i w:val="0"/>
                <w:sz w:val="22"/>
                <w:u w:val="none"/>
              </w:rPr>
              <w:t>Govt. of India</w:t>
            </w:r>
          </w:p>
        </w:tc>
      </w:tr>
      <w:tr>
        <w:tc>
          <w:tcPr>
            <w:tcW w:type="dxa" w:w="1734"/>
          </w:tcPr>
          <w:p>
            <w:pPr>
              <w:jc w:val="center"/>
            </w:pPr>
            <w:r>
              <w:rPr>
                <w:rFonts w:ascii="Times New Roman" w:hAnsi="Times New Roman"/>
                <w:b w:val="0"/>
                <w:i w:val="0"/>
                <w:sz w:val="22"/>
                <w:u w:val="none"/>
              </w:rPr>
              <w:t>Rural Health Facilities</w:t>
            </w:r>
          </w:p>
        </w:tc>
        <w:tc>
          <w:tcPr>
            <w:tcW w:type="dxa" w:w="1734"/>
          </w:tcPr>
          <w:p>
            <w:pPr>
              <w:jc w:val="center"/>
            </w:pPr>
            <w:r>
              <w:rPr>
                <w:rFonts w:ascii="Times New Roman" w:hAnsi="Times New Roman"/>
                <w:b w:val="0"/>
                <w:i w:val="0"/>
                <w:sz w:val="22"/>
                <w:u w:val="none"/>
              </w:rPr>
              <w:t>55</w:t>
            </w:r>
          </w:p>
        </w:tc>
        <w:tc>
          <w:tcPr>
            <w:tcW w:type="dxa" w:w="1734"/>
          </w:tcPr>
          <w:p>
            <w:pPr>
              <w:jc w:val="center"/>
            </w:pPr>
            <w:r>
              <w:rPr>
                <w:rFonts w:ascii="Times New Roman" w:hAnsi="Times New Roman"/>
                <w:b w:val="0"/>
                <w:i w:val="0"/>
                <w:sz w:val="22"/>
                <w:u w:val="none"/>
              </w:rPr>
              <w:t>CSV</w:t>
            </w:r>
          </w:p>
        </w:tc>
        <w:tc>
          <w:tcPr>
            <w:tcW w:type="dxa" w:w="1734"/>
          </w:tcPr>
          <w:p>
            <w:pPr>
              <w:jc w:val="center"/>
            </w:pPr>
            <w:r>
              <w:rPr>
                <w:rFonts w:ascii="Times New Roman" w:hAnsi="Times New Roman"/>
                <w:b w:val="0"/>
                <w:i w:val="0"/>
                <w:sz w:val="22"/>
                <w:u w:val="none"/>
              </w:rPr>
              <w:t>Rural Facility Mapping</w:t>
            </w:r>
          </w:p>
        </w:tc>
        <w:tc>
          <w:tcPr>
            <w:tcW w:type="dxa" w:w="1734"/>
          </w:tcPr>
          <w:p>
            <w:pPr>
              <w:jc w:val="center"/>
            </w:pPr>
            <w:r>
              <w:rPr>
                <w:rFonts w:ascii="Times New Roman" w:hAnsi="Times New Roman"/>
                <w:b w:val="0"/>
                <w:i w:val="0"/>
                <w:sz w:val="22"/>
                <w:u w:val="none"/>
              </w:rPr>
              <w:t>MoHFW India</w:t>
            </w:r>
          </w:p>
        </w:tc>
      </w:tr>
      <w:tr>
        <w:tc>
          <w:tcPr>
            <w:tcW w:type="dxa" w:w="1734"/>
          </w:tcPr>
          <w:p>
            <w:pPr>
              <w:jc w:val="center"/>
            </w:pPr>
            <w:r>
              <w:rPr>
                <w:rFonts w:ascii="Times New Roman" w:hAnsi="Times New Roman"/>
                <w:b w:val="0"/>
                <w:i w:val="0"/>
                <w:sz w:val="22"/>
                <w:u w:val="none"/>
              </w:rPr>
              <w:t>India Fact Sheet</w:t>
            </w:r>
          </w:p>
        </w:tc>
        <w:tc>
          <w:tcPr>
            <w:tcW w:type="dxa" w:w="1734"/>
          </w:tcPr>
          <w:p>
            <w:pPr>
              <w:jc w:val="center"/>
            </w:pPr>
            <w:r>
              <w:rPr>
                <w:rFonts w:ascii="Times New Roman" w:hAnsi="Times New Roman"/>
                <w:b w:val="0"/>
                <w:i w:val="0"/>
                <w:sz w:val="22"/>
                <w:u w:val="none"/>
              </w:rPr>
              <w:t>N/A</w:t>
            </w:r>
          </w:p>
        </w:tc>
        <w:tc>
          <w:tcPr>
            <w:tcW w:type="dxa" w:w="1734"/>
          </w:tcPr>
          <w:p>
            <w:pPr>
              <w:jc w:val="center"/>
            </w:pPr>
            <w:r>
              <w:rPr>
                <w:rFonts w:ascii="Times New Roman" w:hAnsi="Times New Roman"/>
                <w:b w:val="0"/>
                <w:i w:val="0"/>
                <w:sz w:val="22"/>
                <w:u w:val="none"/>
              </w:rPr>
              <w:t>PDF</w:t>
            </w:r>
          </w:p>
        </w:tc>
        <w:tc>
          <w:tcPr>
            <w:tcW w:type="dxa" w:w="1734"/>
          </w:tcPr>
          <w:p>
            <w:pPr>
              <w:jc w:val="center"/>
            </w:pPr>
            <w:r>
              <w:rPr>
                <w:rFonts w:ascii="Times New Roman" w:hAnsi="Times New Roman"/>
                <w:b w:val="0"/>
                <w:i w:val="0"/>
                <w:sz w:val="22"/>
                <w:u w:val="none"/>
              </w:rPr>
              <w:t>Healthcare Context</w:t>
            </w:r>
          </w:p>
        </w:tc>
        <w:tc>
          <w:tcPr>
            <w:tcW w:type="dxa" w:w="1734"/>
          </w:tcPr>
          <w:p>
            <w:pPr>
              <w:jc w:val="center"/>
            </w:pPr>
            <w:r>
              <w:rPr>
                <w:rFonts w:ascii="Times New Roman" w:hAnsi="Times New Roman"/>
                <w:b w:val="0"/>
                <w:i w:val="0"/>
                <w:sz w:val="22"/>
                <w:u w:val="none"/>
              </w:rPr>
              <w:t>WHO / MoHFW</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5.1 – Summary of Datasets Used in MediAssist AI</w:t>
      </w:r>
    </w:p>
    <w:p>
      <w:pPr>
        <w:spacing w:before="280" w:after="80" w:line="360" w:lineRule="exact"/>
        <w:jc w:val="left"/>
      </w:pPr>
      <w:r>
        <w:rPr>
          <w:rFonts w:ascii="Times New Roman" w:hAnsi="Times New Roman"/>
          <w:b/>
          <w:i w:val="0"/>
          <w:sz w:val="26"/>
          <w:u w:val="none"/>
        </w:rPr>
        <w:t>5.2  Primary Symptom–Disease Dataset</w:t>
      </w:r>
    </w:p>
    <w:p>
      <w:pPr>
        <w:spacing w:before="0" w:after="160" w:line="360" w:lineRule="exact"/>
        <w:ind w:firstLine="432"/>
        <w:jc w:val="both"/>
      </w:pPr>
      <w:r>
        <w:rPr>
          <w:rFonts w:ascii="Times New Roman" w:hAnsi="Times New Roman"/>
          <w:b w:val="0"/>
          <w:i w:val="0"/>
          <w:sz w:val="24"/>
          <w:u w:val="none"/>
        </w:rPr>
        <w:t>The primary dataset used for machine learning training and evaluation contains 163,727 labelled examples, each consisting of a natural language symptom description and a corresponding disease label. The dataset covers 260 distinct disease categories, ranging from common conditions such as the common cold and urinary tract infections to less frequent conditions including rare autoimmune disorders and neurological syndromes.</w:t>
      </w:r>
    </w:p>
    <w:p>
      <w:pPr>
        <w:spacing w:before="0" w:after="160" w:line="360" w:lineRule="exact"/>
        <w:ind w:firstLine="432"/>
        <w:jc w:val="both"/>
      </w:pPr>
      <w:r>
        <w:rPr>
          <w:rFonts w:ascii="Times New Roman" w:hAnsi="Times New Roman"/>
          <w:b w:val="0"/>
          <w:i w:val="0"/>
          <w:sz w:val="24"/>
          <w:u w:val="none"/>
        </w:rPr>
        <w:t>Figure 5.1 shows the distribution of disease frequency in the training set. The distribution is notably long-tailed: the top 20 most common diseases account for a disproportionate share of the training examples, while many conditions appear fewer than 200 times. This class imbalance is a known source of bias in trained classifiers and influenced several design decisions, most notably the use of Top-K prediction rather than a single top-1 output.</w:t>
      </w:r>
    </w:p>
    <w:p>
      <w:pPr>
        <w:spacing w:before="120" w:after="40"/>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4" name="disease_frequency.png"/>
                    <pic:cNvPicPr/>
                  </pic:nvPicPr>
                  <pic:blipFill>
                    <a:blip r:embed="rId12"/>
                    <a:stretch>
                      <a:fillRect/>
                    </a:stretch>
                  </pic:blipFill>
                  <pic:spPr>
                    <a:xfrm>
                      <a:off x="0" y="0"/>
                      <a:ext cx="5029200" cy="2514600"/>
                    </a:xfrm>
                    <a:prstGeom prst="rect"/>
                  </pic:spPr>
                </pic:pic>
              </a:graphicData>
            </a:graphic>
          </wp:inline>
        </w:drawing>
      </w:r>
    </w:p>
    <w:p>
      <w:pPr>
        <w:spacing w:before="80" w:after="240"/>
        <w:jc w:val="center"/>
      </w:pPr>
      <w:r>
        <w:rPr>
          <w:rFonts w:ascii="Times New Roman" w:hAnsi="Times New Roman"/>
          <w:b w:val="0"/>
          <w:i/>
          <w:sz w:val="22"/>
          <w:u w:val="none"/>
        </w:rPr>
        <w:t>Figure 5.1 – Top-20 Disease Frequency Distribution in the Training Dataset</w:t>
      </w:r>
    </w:p>
    <w:p>
      <w:pPr>
        <w:spacing w:before="0" w:after="160" w:line="360" w:lineRule="exact"/>
        <w:ind w:firstLine="432"/>
        <w:jc w:val="both"/>
      </w:pPr>
      <w:r>
        <w:rPr>
          <w:rFonts w:ascii="Times New Roman" w:hAnsi="Times New Roman"/>
          <w:b w:val="0"/>
          <w:i w:val="0"/>
          <w:sz w:val="24"/>
          <w:u w:val="none"/>
        </w:rPr>
        <w:t>Figure 5.2 shows the symptom co-occurrence heatmap for the most frequent symptom terms. High co-occurrence values between fever, fatigue, and pain confirm the feature overlap problem described in Chapter 3—these generic symptoms appear across hundreds of disease classes, making them poor discriminators for any individual condition.</w:t>
      </w:r>
    </w:p>
    <w:p>
      <w:pPr>
        <w:spacing w:before="120" w:after="40"/>
        <w:jc w:val="center"/>
      </w:pPr>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5" name="symptoms_cooccurrence.png"/>
                    <pic:cNvPicPr/>
                  </pic:nvPicPr>
                  <pic:blipFill>
                    <a:blip r:embed="rId13"/>
                    <a:stretch>
                      <a:fillRect/>
                    </a:stretch>
                  </pic:blipFill>
                  <pic:spPr>
                    <a:xfrm>
                      <a:off x="0" y="0"/>
                      <a:ext cx="5029200" cy="4191000"/>
                    </a:xfrm>
                    <a:prstGeom prst="rect"/>
                  </pic:spPr>
                </pic:pic>
              </a:graphicData>
            </a:graphic>
          </wp:inline>
        </w:drawing>
      </w:r>
    </w:p>
    <w:p>
      <w:pPr>
        <w:spacing w:before="80" w:after="240"/>
        <w:jc w:val="center"/>
      </w:pPr>
      <w:r>
        <w:rPr>
          <w:rFonts w:ascii="Times New Roman" w:hAnsi="Times New Roman"/>
          <w:b w:val="0"/>
          <w:i/>
          <w:sz w:val="22"/>
          <w:u w:val="none"/>
        </w:rPr>
        <w:t>Figure 5.2 – Symptom Co-occurrence Heatmap (Top Symptom Terms)</w:t>
      </w:r>
    </w:p>
    <w:p>
      <w:pPr>
        <w:spacing w:before="200" w:after="60" w:line="360" w:lineRule="exact"/>
        <w:jc w:val="left"/>
      </w:pPr>
      <w:r>
        <w:rPr>
          <w:rFonts w:ascii="Times New Roman" w:hAnsi="Times New Roman"/>
          <w:b/>
          <w:i/>
          <w:sz w:val="24"/>
          <w:u w:val="none"/>
        </w:rPr>
        <w:t>5.2.1  Dataset Splits</w:t>
      </w:r>
    </w:p>
    <w:p>
      <w:pPr>
        <w:spacing w:before="0" w:after="160" w:line="360" w:lineRule="exact"/>
        <w:ind w:firstLine="432"/>
        <w:jc w:val="both"/>
      </w:pPr>
      <w:r>
        <w:rPr>
          <w:rFonts w:ascii="Times New Roman" w:hAnsi="Times New Roman"/>
          <w:b w:val="0"/>
          <w:i w:val="0"/>
          <w:sz w:val="24"/>
          <w:u w:val="none"/>
        </w:rPr>
        <w:t>The dataset was split into training (80%), validation (10%), and test (10%) subsets using stratified sampling to maintain class proportions across all splits. The resulting split sizes are approximately:</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Split</w:t>
            </w:r>
          </w:p>
        </w:tc>
        <w:tc>
          <w:tcPr>
            <w:tcW w:type="dxa" w:w="2890"/>
          </w:tcPr>
          <w:p>
            <w:pPr>
              <w:jc w:val="center"/>
            </w:pPr>
            <w:r>
              <w:rPr>
                <w:rFonts w:ascii="Times New Roman" w:hAnsi="Times New Roman"/>
                <w:b/>
                <w:i w:val="0"/>
                <w:sz w:val="22"/>
                <w:u w:val="none"/>
              </w:rPr>
              <w:t>Size (Approx.)</w:t>
            </w:r>
          </w:p>
        </w:tc>
        <w:tc>
          <w:tcPr>
            <w:tcW w:type="dxa" w:w="2890"/>
          </w:tcPr>
          <w:p>
            <w:pPr>
              <w:jc w:val="center"/>
            </w:pPr>
            <w:r>
              <w:rPr>
                <w:rFonts w:ascii="Times New Roman" w:hAnsi="Times New Roman"/>
                <w:b/>
                <w:i w:val="0"/>
                <w:sz w:val="22"/>
                <w:u w:val="none"/>
              </w:rPr>
              <w:t>Purpose</w:t>
            </w:r>
          </w:p>
        </w:tc>
      </w:tr>
      <w:tr>
        <w:tc>
          <w:tcPr>
            <w:tcW w:type="dxa" w:w="2890"/>
          </w:tcPr>
          <w:p>
            <w:pPr>
              <w:jc w:val="center"/>
            </w:pPr>
            <w:r>
              <w:rPr>
                <w:rFonts w:ascii="Times New Roman" w:hAnsi="Times New Roman"/>
                <w:b w:val="0"/>
                <w:i w:val="0"/>
                <w:sz w:val="22"/>
                <w:u w:val="none"/>
              </w:rPr>
              <w:t>Training Set</w:t>
            </w:r>
          </w:p>
        </w:tc>
        <w:tc>
          <w:tcPr>
            <w:tcW w:type="dxa" w:w="2890"/>
          </w:tcPr>
          <w:p>
            <w:pPr>
              <w:jc w:val="center"/>
            </w:pPr>
            <w:r>
              <w:rPr>
                <w:rFonts w:ascii="Times New Roman" w:hAnsi="Times New Roman"/>
                <w:b w:val="0"/>
                <w:i w:val="0"/>
                <w:sz w:val="22"/>
                <w:u w:val="none"/>
              </w:rPr>
              <w:t>~130,982</w:t>
            </w:r>
          </w:p>
        </w:tc>
        <w:tc>
          <w:tcPr>
            <w:tcW w:type="dxa" w:w="2890"/>
          </w:tcPr>
          <w:p>
            <w:pPr>
              <w:jc w:val="center"/>
            </w:pPr>
            <w:r>
              <w:rPr>
                <w:rFonts w:ascii="Times New Roman" w:hAnsi="Times New Roman"/>
                <w:b w:val="0"/>
                <w:i w:val="0"/>
                <w:sz w:val="22"/>
                <w:u w:val="none"/>
              </w:rPr>
              <w:t>Used for model fitting</w:t>
            </w:r>
          </w:p>
        </w:tc>
      </w:tr>
      <w:tr>
        <w:tc>
          <w:tcPr>
            <w:tcW w:type="dxa" w:w="2890"/>
          </w:tcPr>
          <w:p>
            <w:pPr>
              <w:jc w:val="center"/>
            </w:pPr>
            <w:r>
              <w:rPr>
                <w:rFonts w:ascii="Times New Roman" w:hAnsi="Times New Roman"/>
                <w:b w:val="0"/>
                <w:i w:val="0"/>
                <w:sz w:val="22"/>
                <w:u w:val="none"/>
              </w:rPr>
              <w:t>Validation Set</w:t>
            </w:r>
          </w:p>
        </w:tc>
        <w:tc>
          <w:tcPr>
            <w:tcW w:type="dxa" w:w="2890"/>
          </w:tcPr>
          <w:p>
            <w:pPr>
              <w:jc w:val="center"/>
            </w:pPr>
            <w:r>
              <w:rPr>
                <w:rFonts w:ascii="Times New Roman" w:hAnsi="Times New Roman"/>
                <w:b w:val="0"/>
                <w:i w:val="0"/>
                <w:sz w:val="22"/>
                <w:u w:val="none"/>
              </w:rPr>
              <w:t>~16,373</w:t>
            </w:r>
          </w:p>
        </w:tc>
        <w:tc>
          <w:tcPr>
            <w:tcW w:type="dxa" w:w="2890"/>
          </w:tcPr>
          <w:p>
            <w:pPr>
              <w:jc w:val="center"/>
            </w:pPr>
            <w:r>
              <w:rPr>
                <w:rFonts w:ascii="Times New Roman" w:hAnsi="Times New Roman"/>
                <w:b w:val="0"/>
                <w:i w:val="0"/>
                <w:sz w:val="22"/>
                <w:u w:val="none"/>
              </w:rPr>
              <w:t>Used for hyperparameter tuning</w:t>
            </w:r>
          </w:p>
        </w:tc>
      </w:tr>
      <w:tr>
        <w:tc>
          <w:tcPr>
            <w:tcW w:type="dxa" w:w="2890"/>
          </w:tcPr>
          <w:p>
            <w:pPr>
              <w:jc w:val="center"/>
            </w:pPr>
            <w:r>
              <w:rPr>
                <w:rFonts w:ascii="Times New Roman" w:hAnsi="Times New Roman"/>
                <w:b w:val="0"/>
                <w:i w:val="0"/>
                <w:sz w:val="22"/>
                <w:u w:val="none"/>
              </w:rPr>
              <w:t>Test Set</w:t>
            </w:r>
          </w:p>
        </w:tc>
        <w:tc>
          <w:tcPr>
            <w:tcW w:type="dxa" w:w="2890"/>
          </w:tcPr>
          <w:p>
            <w:pPr>
              <w:jc w:val="center"/>
            </w:pPr>
            <w:r>
              <w:rPr>
                <w:rFonts w:ascii="Times New Roman" w:hAnsi="Times New Roman"/>
                <w:b w:val="0"/>
                <w:i w:val="0"/>
                <w:sz w:val="22"/>
                <w:u w:val="none"/>
              </w:rPr>
              <w:t>~16,372</w:t>
            </w:r>
          </w:p>
        </w:tc>
        <w:tc>
          <w:tcPr>
            <w:tcW w:type="dxa" w:w="2890"/>
          </w:tcPr>
          <w:p>
            <w:pPr>
              <w:jc w:val="center"/>
            </w:pPr>
            <w:r>
              <w:rPr>
                <w:rFonts w:ascii="Times New Roman" w:hAnsi="Times New Roman"/>
                <w:b w:val="0"/>
                <w:i w:val="0"/>
                <w:sz w:val="22"/>
                <w:u w:val="none"/>
              </w:rPr>
              <w:t>Used for final evaluation metrics</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5.2 – Dataset Split Sizes</w:t>
      </w:r>
    </w:p>
    <w:p>
      <w:pPr>
        <w:spacing w:before="280" w:after="80" w:line="360" w:lineRule="exact"/>
        <w:jc w:val="left"/>
      </w:pPr>
      <w:r>
        <w:rPr>
          <w:rFonts w:ascii="Times New Roman" w:hAnsi="Times New Roman"/>
          <w:b/>
          <w:i w:val="0"/>
          <w:sz w:val="26"/>
          <w:u w:val="none"/>
        </w:rPr>
        <w:t>5.3  HealthCareMagic Conversational Dataset</w:t>
      </w:r>
    </w:p>
    <w:p>
      <w:pPr>
        <w:spacing w:before="0" w:after="160" w:line="360" w:lineRule="exact"/>
        <w:ind w:firstLine="432"/>
        <w:jc w:val="both"/>
      </w:pPr>
      <w:r>
        <w:rPr>
          <w:rFonts w:ascii="Times New Roman" w:hAnsi="Times New Roman"/>
          <w:b w:val="0"/>
          <w:i w:val="0"/>
          <w:sz w:val="24"/>
          <w:u w:val="none"/>
        </w:rPr>
        <w:t>The HealthCareMagic-100k dataset contains 112,164 de-identified patient–doctor conversations extracted from the HealthCareMagic online consultation platform. Each entry consists of a patient query and a corresponding doctor response. Figure 5.3 shows the distribution of patient query lengths.</w:t>
      </w:r>
    </w:p>
    <w:p>
      <w:pPr>
        <w:spacing w:before="120" w:after="40"/>
        <w:jc w:val="center"/>
      </w:pPr>
      <w:r>
        <w:drawing>
          <wp:inline xmlns:a="http://schemas.openxmlformats.org/drawingml/2006/main" xmlns:pic="http://schemas.openxmlformats.org/drawingml/2006/picture">
            <wp:extent cx="4572000" cy="2743200"/>
            <wp:docPr id="6" name="Picture 6"/>
            <wp:cNvGraphicFramePr>
              <a:graphicFrameLocks noChangeAspect="1"/>
            </wp:cNvGraphicFramePr>
            <a:graphic>
              <a:graphicData uri="http://schemas.openxmlformats.org/drawingml/2006/picture">
                <pic:pic>
                  <pic:nvPicPr>
                    <pic:cNvPr id="6" name="query_length_dist.png"/>
                    <pic:cNvPicPr/>
                  </pic:nvPicPr>
                  <pic:blipFill>
                    <a:blip r:embed="rId14"/>
                    <a:stretch>
                      <a:fillRect/>
                    </a:stretch>
                  </pic:blipFill>
                  <pic:spPr>
                    <a:xfrm>
                      <a:off x="0" y="0"/>
                      <a:ext cx="4572000" cy="2743200"/>
                    </a:xfrm>
                    <a:prstGeom prst="rect"/>
                  </pic:spPr>
                </pic:pic>
              </a:graphicData>
            </a:graphic>
          </wp:inline>
        </w:drawing>
      </w:r>
    </w:p>
    <w:p>
      <w:pPr>
        <w:spacing w:before="80" w:after="240"/>
        <w:jc w:val="center"/>
      </w:pPr>
      <w:r>
        <w:rPr>
          <w:rFonts w:ascii="Times New Roman" w:hAnsi="Times New Roman"/>
          <w:b w:val="0"/>
          <w:i/>
          <w:sz w:val="22"/>
          <w:u w:val="none"/>
        </w:rPr>
        <w:t>Figure 5.3 – Distribution of Patient Query Lengths (HealthCareMagic Dataset)</w:t>
      </w:r>
    </w:p>
    <w:p>
      <w:pPr>
        <w:spacing w:before="0" w:after="160" w:line="360" w:lineRule="exact"/>
        <w:ind w:firstLine="432"/>
        <w:jc w:val="both"/>
      </w:pPr>
      <w:r>
        <w:rPr>
          <w:rFonts w:ascii="Times New Roman" w:hAnsi="Times New Roman"/>
          <w:b w:val="0"/>
          <w:i w:val="0"/>
          <w:sz w:val="24"/>
          <w:u w:val="none"/>
        </w:rPr>
        <w:t>This dataset was included in the project primarily as a qualitative reference for understanding how patients naturally articulate symptoms in conversational language. It informed the vocabulary coverage and phrasing patterns used in constructing the 500-case validation dataset described in Chapter 10. The dataset was not used directly for training the classical ML classifiers, as its conversational format is better suited to sequence-to-sequence or retrieval-based models.</w:t>
      </w:r>
    </w:p>
    <w:p>
      <w:pPr>
        <w:spacing w:before="0" w:after="160" w:line="360" w:lineRule="exact"/>
        <w:ind w:firstLine="432"/>
        <w:jc w:val="both"/>
      </w:pPr>
      <w:r>
        <w:rPr>
          <w:rFonts w:ascii="Times New Roman" w:hAnsi="Times New Roman"/>
          <w:b w:val="0"/>
          <w:i w:val="0"/>
          <w:sz w:val="24"/>
          <w:u w:val="none"/>
        </w:rPr>
        <w:t>Data quality analysis revealed that approximately 10–15% of entries contained near-duplicate queries. These were identified using cosine similarity on TF-IDF vectors and removed from the cleaned version stored at data/processed/bert/conversations_cleaned.csv.</w:t>
      </w:r>
    </w:p>
    <w:p>
      <w:pPr>
        <w:spacing w:before="280" w:after="80" w:line="360" w:lineRule="exact"/>
        <w:jc w:val="left"/>
      </w:pPr>
      <w:r>
        <w:rPr>
          <w:rFonts w:ascii="Times New Roman" w:hAnsi="Times New Roman"/>
          <w:b/>
          <w:i w:val="0"/>
          <w:sz w:val="26"/>
          <w:u w:val="none"/>
        </w:rPr>
        <w:t>5.4  Hospital Infrastructure Datasets</w:t>
      </w:r>
    </w:p>
    <w:p>
      <w:pPr>
        <w:spacing w:before="0" w:after="160" w:line="360" w:lineRule="exact"/>
        <w:ind w:firstLine="432"/>
        <w:jc w:val="both"/>
      </w:pPr>
      <w:r>
        <w:rPr>
          <w:rFonts w:ascii="Times New Roman" w:hAnsi="Times New Roman"/>
          <w:b w:val="0"/>
          <w:i w:val="0"/>
          <w:sz w:val="24"/>
          <w:u w:val="none"/>
        </w:rPr>
        <w:t>Two hospital-related datasets were incorporated to support the hospital recommendation feature of the system.</w:t>
      </w:r>
    </w:p>
    <w:p>
      <w:pPr>
        <w:spacing w:before="0" w:after="160" w:line="360" w:lineRule="exact"/>
        <w:ind w:firstLine="432"/>
        <w:jc w:val="both"/>
      </w:pPr>
      <w:r>
        <w:rPr>
          <w:rFonts w:ascii="Times New Roman" w:hAnsi="Times New Roman"/>
          <w:b w:val="0"/>
          <w:i w:val="0"/>
          <w:sz w:val="24"/>
          <w:u w:val="none"/>
        </w:rPr>
        <w:t>The National Hospital Directory with Geo-Code, sourced from the Government of India's Ministry of Health and Family Welfare, contains 30,273 hospital entries covering public and private facilities across all states and union territories. Each entry includes the hospital name, type, state, district, and, for a subset of entries, geographic coordinates (latitude and longitude). Figure 5.4 shows the state-wise distribution of recorded hospital facilities.</w:t>
      </w:r>
    </w:p>
    <w:p>
      <w:pPr>
        <w:spacing w:before="120" w:after="40"/>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7" name="hospital_state_dist.png"/>
                    <pic:cNvPicPr/>
                  </pic:nvPicPr>
                  <pic:blipFill>
                    <a:blip r:embed="rId15"/>
                    <a:stretch>
                      <a:fillRect/>
                    </a:stretch>
                  </pic:blipFill>
                  <pic:spPr>
                    <a:xfrm>
                      <a:off x="0" y="0"/>
                      <a:ext cx="5029200" cy="2514600"/>
                    </a:xfrm>
                    <a:prstGeom prst="rect"/>
                  </pic:spPr>
                </pic:pic>
              </a:graphicData>
            </a:graphic>
          </wp:inline>
        </w:drawing>
      </w:r>
    </w:p>
    <w:p>
      <w:pPr>
        <w:spacing w:before="80" w:after="240"/>
        <w:jc w:val="center"/>
      </w:pPr>
      <w:r>
        <w:rPr>
          <w:rFonts w:ascii="Times New Roman" w:hAnsi="Times New Roman"/>
          <w:b w:val="0"/>
          <w:i/>
          <w:sz w:val="22"/>
          <w:u w:val="none"/>
        </w:rPr>
        <w:t>Figure 5.4 – State-wise Distribution of Hospitals in the National Directory</w:t>
      </w:r>
    </w:p>
    <w:p>
      <w:pPr>
        <w:spacing w:before="0" w:after="160" w:line="360" w:lineRule="exact"/>
        <w:ind w:firstLine="432"/>
        <w:jc w:val="both"/>
      </w:pPr>
      <w:r>
        <w:rPr>
          <w:rFonts w:ascii="Times New Roman" w:hAnsi="Times New Roman"/>
          <w:b w:val="0"/>
          <w:i w:val="0"/>
          <w:sz w:val="24"/>
          <w:u w:val="none"/>
        </w:rPr>
        <w:t>One of the key data quality issues encountered was the high proportion of missing geo-coordinates: approximately 38% of entries lacked valid latitude/longitude data. This limits the system's ability to provide proximity-based hospital recommendations and is acknowledged as a limitation in Chapter 12. For the current implementation, the system recommends hospitals by state and district rather than by computed geographic proximity.</w:t>
      </w:r>
    </w:p>
    <w:p>
      <w:pPr>
        <w:spacing w:before="0" w:after="160" w:line="360" w:lineRule="exact"/>
        <w:ind w:firstLine="432"/>
        <w:jc w:val="both"/>
      </w:pPr>
      <w:r>
        <w:rPr>
          <w:rFonts w:ascii="Times New Roman" w:hAnsi="Times New Roman"/>
          <w:b w:val="0"/>
          <w:i w:val="0"/>
          <w:sz w:val="24"/>
          <w:u w:val="none"/>
        </w:rPr>
        <w:t>The Rural Health Facilities dataset contains 55 entries for primary health centres and sub-centres in select rural regions. While small, this dataset is specifically included to support the project's stated goal of improving healthcare accessibility in low-resource settings.</w:t>
      </w:r>
    </w:p>
    <w:p>
      <w:pPr>
        <w:spacing w:before="280" w:after="80" w:line="360" w:lineRule="exact"/>
        <w:jc w:val="left"/>
      </w:pPr>
      <w:r>
        <w:rPr>
          <w:rFonts w:ascii="Times New Roman" w:hAnsi="Times New Roman"/>
          <w:b/>
          <w:i w:val="0"/>
          <w:sz w:val="26"/>
          <w:u w:val="none"/>
        </w:rPr>
        <w:t>5.5  Preprocessing Pipeline</w:t>
      </w:r>
    </w:p>
    <w:p>
      <w:pPr>
        <w:spacing w:before="0" w:after="120" w:line="360" w:lineRule="exact"/>
        <w:ind w:firstLine="0"/>
        <w:jc w:val="both"/>
      </w:pPr>
      <w:r>
        <w:rPr>
          <w:rFonts w:ascii="Times New Roman" w:hAnsi="Times New Roman"/>
          <w:b w:val="0"/>
          <w:i w:val="0"/>
          <w:sz w:val="24"/>
          <w:u w:val="none"/>
        </w:rPr>
        <w:t>A modular preprocessing pipeline was implemented to clean and standardise all datasets before use. Table 5.3 summarises the preprocessing steps applied to each dataset.</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Step</w:t>
            </w:r>
          </w:p>
        </w:tc>
        <w:tc>
          <w:tcPr>
            <w:tcW w:type="dxa" w:w="2890"/>
          </w:tcPr>
          <w:p>
            <w:pPr>
              <w:jc w:val="center"/>
            </w:pPr>
            <w:r>
              <w:rPr>
                <w:rFonts w:ascii="Times New Roman" w:hAnsi="Times New Roman"/>
                <w:b/>
                <w:i w:val="0"/>
                <w:sz w:val="22"/>
                <w:u w:val="none"/>
              </w:rPr>
              <w:t>Applied To</w:t>
            </w:r>
          </w:p>
        </w:tc>
        <w:tc>
          <w:tcPr>
            <w:tcW w:type="dxa" w:w="2890"/>
          </w:tcPr>
          <w:p>
            <w:pPr>
              <w:jc w:val="center"/>
            </w:pPr>
            <w:r>
              <w:rPr>
                <w:rFonts w:ascii="Times New Roman" w:hAnsi="Times New Roman"/>
                <w:b/>
                <w:i w:val="0"/>
                <w:sz w:val="22"/>
                <w:u w:val="none"/>
              </w:rPr>
              <w:t>Description</w:t>
            </w:r>
          </w:p>
        </w:tc>
      </w:tr>
      <w:tr>
        <w:tc>
          <w:tcPr>
            <w:tcW w:type="dxa" w:w="2890"/>
          </w:tcPr>
          <w:p>
            <w:pPr>
              <w:jc w:val="center"/>
            </w:pPr>
            <w:r>
              <w:rPr>
                <w:rFonts w:ascii="Times New Roman" w:hAnsi="Times New Roman"/>
                <w:b w:val="0"/>
                <w:i w:val="0"/>
                <w:sz w:val="22"/>
                <w:u w:val="none"/>
              </w:rPr>
              <w:t>Lowercasing</w:t>
            </w:r>
          </w:p>
        </w:tc>
        <w:tc>
          <w:tcPr>
            <w:tcW w:type="dxa" w:w="2890"/>
          </w:tcPr>
          <w:p>
            <w:pPr>
              <w:jc w:val="center"/>
            </w:pPr>
            <w:r>
              <w:rPr>
                <w:rFonts w:ascii="Times New Roman" w:hAnsi="Times New Roman"/>
                <w:b w:val="0"/>
                <w:i w:val="0"/>
                <w:sz w:val="22"/>
                <w:u w:val="none"/>
              </w:rPr>
              <w:t>All text fields</w:t>
            </w:r>
          </w:p>
        </w:tc>
        <w:tc>
          <w:tcPr>
            <w:tcW w:type="dxa" w:w="2890"/>
          </w:tcPr>
          <w:p>
            <w:pPr>
              <w:jc w:val="center"/>
            </w:pPr>
            <w:r>
              <w:rPr>
                <w:rFonts w:ascii="Times New Roman" w:hAnsi="Times New Roman"/>
                <w:b w:val="0"/>
                <w:i w:val="0"/>
                <w:sz w:val="22"/>
                <w:u w:val="none"/>
              </w:rPr>
              <w:t>All symptom and query text normalised to lowercase.</w:t>
            </w:r>
          </w:p>
        </w:tc>
      </w:tr>
      <w:tr>
        <w:tc>
          <w:tcPr>
            <w:tcW w:type="dxa" w:w="2890"/>
          </w:tcPr>
          <w:p>
            <w:pPr>
              <w:jc w:val="center"/>
            </w:pPr>
            <w:r>
              <w:rPr>
                <w:rFonts w:ascii="Times New Roman" w:hAnsi="Times New Roman"/>
                <w:b w:val="0"/>
                <w:i w:val="0"/>
                <w:sz w:val="22"/>
                <w:u w:val="none"/>
              </w:rPr>
              <w:t>Punctuation Removal</w:t>
            </w:r>
          </w:p>
        </w:tc>
        <w:tc>
          <w:tcPr>
            <w:tcW w:type="dxa" w:w="2890"/>
          </w:tcPr>
          <w:p>
            <w:pPr>
              <w:jc w:val="center"/>
            </w:pPr>
            <w:r>
              <w:rPr>
                <w:rFonts w:ascii="Times New Roman" w:hAnsi="Times New Roman"/>
                <w:b w:val="0"/>
                <w:i w:val="0"/>
                <w:sz w:val="22"/>
                <w:u w:val="none"/>
              </w:rPr>
              <w:t>Symptom text</w:t>
            </w:r>
          </w:p>
        </w:tc>
        <w:tc>
          <w:tcPr>
            <w:tcW w:type="dxa" w:w="2890"/>
          </w:tcPr>
          <w:p>
            <w:pPr>
              <w:jc w:val="center"/>
            </w:pPr>
            <w:r>
              <w:rPr>
                <w:rFonts w:ascii="Times New Roman" w:hAnsi="Times New Roman"/>
                <w:b w:val="0"/>
                <w:i w:val="0"/>
                <w:sz w:val="22"/>
                <w:u w:val="none"/>
              </w:rPr>
              <w:t>Non-alphanumeric characters removed; hyphenated medical terms preserved.</w:t>
            </w:r>
          </w:p>
        </w:tc>
      </w:tr>
      <w:tr>
        <w:tc>
          <w:tcPr>
            <w:tcW w:type="dxa" w:w="2890"/>
          </w:tcPr>
          <w:p>
            <w:pPr>
              <w:jc w:val="center"/>
            </w:pPr>
            <w:r>
              <w:rPr>
                <w:rFonts w:ascii="Times New Roman" w:hAnsi="Times New Roman"/>
                <w:b w:val="0"/>
                <w:i w:val="0"/>
                <w:sz w:val="22"/>
                <w:u w:val="none"/>
              </w:rPr>
              <w:t>Duplicate Removal</w:t>
            </w:r>
          </w:p>
        </w:tc>
        <w:tc>
          <w:tcPr>
            <w:tcW w:type="dxa" w:w="2890"/>
          </w:tcPr>
          <w:p>
            <w:pPr>
              <w:jc w:val="center"/>
            </w:pPr>
            <w:r>
              <w:rPr>
                <w:rFonts w:ascii="Times New Roman" w:hAnsi="Times New Roman"/>
                <w:b w:val="0"/>
                <w:i w:val="0"/>
                <w:sz w:val="22"/>
                <w:u w:val="none"/>
              </w:rPr>
              <w:t>All datasets</w:t>
            </w:r>
          </w:p>
        </w:tc>
        <w:tc>
          <w:tcPr>
            <w:tcW w:type="dxa" w:w="2890"/>
          </w:tcPr>
          <w:p>
            <w:pPr>
              <w:jc w:val="center"/>
            </w:pPr>
            <w:r>
              <w:rPr>
                <w:rFonts w:ascii="Times New Roman" w:hAnsi="Times New Roman"/>
                <w:b w:val="0"/>
                <w:i w:val="0"/>
                <w:sz w:val="22"/>
                <w:u w:val="none"/>
              </w:rPr>
              <w:t>Exact and near-duplicate rows identified and removed.</w:t>
            </w:r>
          </w:p>
        </w:tc>
      </w:tr>
      <w:tr>
        <w:tc>
          <w:tcPr>
            <w:tcW w:type="dxa" w:w="2890"/>
          </w:tcPr>
          <w:p>
            <w:pPr>
              <w:jc w:val="center"/>
            </w:pPr>
            <w:r>
              <w:rPr>
                <w:rFonts w:ascii="Times New Roman" w:hAnsi="Times New Roman"/>
                <w:b w:val="0"/>
                <w:i w:val="0"/>
                <w:sz w:val="22"/>
                <w:u w:val="none"/>
              </w:rPr>
              <w:t>Label Standardisation</w:t>
            </w:r>
          </w:p>
        </w:tc>
        <w:tc>
          <w:tcPr>
            <w:tcW w:type="dxa" w:w="2890"/>
          </w:tcPr>
          <w:p>
            <w:pPr>
              <w:jc w:val="center"/>
            </w:pPr>
            <w:r>
              <w:rPr>
                <w:rFonts w:ascii="Times New Roman" w:hAnsi="Times New Roman"/>
                <w:b w:val="0"/>
                <w:i w:val="0"/>
                <w:sz w:val="22"/>
                <w:u w:val="none"/>
              </w:rPr>
              <w:t>Disease labels</w:t>
            </w:r>
          </w:p>
        </w:tc>
        <w:tc>
          <w:tcPr>
            <w:tcW w:type="dxa" w:w="2890"/>
          </w:tcPr>
          <w:p>
            <w:pPr>
              <w:jc w:val="center"/>
            </w:pPr>
            <w:r>
              <w:rPr>
                <w:rFonts w:ascii="Times New Roman" w:hAnsi="Times New Roman"/>
                <w:b w:val="0"/>
                <w:i w:val="0"/>
                <w:sz w:val="22"/>
                <w:u w:val="none"/>
              </w:rPr>
              <w:t>Disease names converted to consistent Title Case formatting.</w:t>
            </w:r>
          </w:p>
        </w:tc>
      </w:tr>
      <w:tr>
        <w:tc>
          <w:tcPr>
            <w:tcW w:type="dxa" w:w="2890"/>
          </w:tcPr>
          <w:p>
            <w:pPr>
              <w:jc w:val="center"/>
            </w:pPr>
            <w:r>
              <w:rPr>
                <w:rFonts w:ascii="Times New Roman" w:hAnsi="Times New Roman"/>
                <w:b w:val="0"/>
                <w:i w:val="0"/>
                <w:sz w:val="22"/>
                <w:u w:val="none"/>
              </w:rPr>
              <w:t>Column Standardisation</w:t>
            </w:r>
          </w:p>
        </w:tc>
        <w:tc>
          <w:tcPr>
            <w:tcW w:type="dxa" w:w="2890"/>
          </w:tcPr>
          <w:p>
            <w:pPr>
              <w:jc w:val="center"/>
            </w:pPr>
            <w:r>
              <w:rPr>
                <w:rFonts w:ascii="Times New Roman" w:hAnsi="Times New Roman"/>
                <w:b w:val="0"/>
                <w:i w:val="0"/>
                <w:sz w:val="22"/>
                <w:u w:val="none"/>
              </w:rPr>
              <w:t>Hospital data</w:t>
            </w:r>
          </w:p>
        </w:tc>
        <w:tc>
          <w:tcPr>
            <w:tcW w:type="dxa" w:w="2890"/>
          </w:tcPr>
          <w:p>
            <w:pPr>
              <w:jc w:val="center"/>
            </w:pPr>
            <w:r>
              <w:rPr>
                <w:rFonts w:ascii="Times New Roman" w:hAnsi="Times New Roman"/>
                <w:b w:val="0"/>
                <w:i w:val="0"/>
                <w:sz w:val="22"/>
                <w:u w:val="none"/>
              </w:rPr>
              <w:t>Column names normalised to snake_case for programmatic access.</w:t>
            </w:r>
          </w:p>
        </w:tc>
      </w:tr>
      <w:tr>
        <w:tc>
          <w:tcPr>
            <w:tcW w:type="dxa" w:w="2890"/>
          </w:tcPr>
          <w:p>
            <w:pPr>
              <w:jc w:val="center"/>
            </w:pPr>
            <w:r>
              <w:rPr>
                <w:rFonts w:ascii="Times New Roman" w:hAnsi="Times New Roman"/>
                <w:b w:val="0"/>
                <w:i w:val="0"/>
                <w:sz w:val="22"/>
                <w:u w:val="none"/>
              </w:rPr>
              <w:t>Encoding Fix</w:t>
            </w:r>
          </w:p>
        </w:tc>
        <w:tc>
          <w:tcPr>
            <w:tcW w:type="dxa" w:w="2890"/>
          </w:tcPr>
          <w:p>
            <w:pPr>
              <w:jc w:val="center"/>
            </w:pPr>
            <w:r>
              <w:rPr>
                <w:rFonts w:ascii="Times New Roman" w:hAnsi="Times New Roman"/>
                <w:b w:val="0"/>
                <w:i w:val="0"/>
                <w:sz w:val="22"/>
                <w:u w:val="none"/>
              </w:rPr>
              <w:t>All CSVs</w:t>
            </w:r>
          </w:p>
        </w:tc>
        <w:tc>
          <w:tcPr>
            <w:tcW w:type="dxa" w:w="2890"/>
          </w:tcPr>
          <w:p>
            <w:pPr>
              <w:jc w:val="center"/>
            </w:pPr>
            <w:r>
              <w:rPr>
                <w:rFonts w:ascii="Times New Roman" w:hAnsi="Times New Roman"/>
                <w:b w:val="0"/>
                <w:i w:val="0"/>
                <w:sz w:val="22"/>
                <w:u w:val="none"/>
              </w:rPr>
              <w:t>Non-UTF-8 characters handled using charmap fallback decoding.</w:t>
            </w:r>
          </w:p>
        </w:tc>
      </w:tr>
      <w:tr>
        <w:tc>
          <w:tcPr>
            <w:tcW w:type="dxa" w:w="2890"/>
          </w:tcPr>
          <w:p>
            <w:pPr>
              <w:jc w:val="center"/>
            </w:pPr>
            <w:r>
              <w:rPr>
                <w:rFonts w:ascii="Times New Roman" w:hAnsi="Times New Roman"/>
                <w:b w:val="0"/>
                <w:i w:val="0"/>
                <w:sz w:val="22"/>
                <w:u w:val="none"/>
              </w:rPr>
              <w:t>Stratified Split</w:t>
            </w:r>
          </w:p>
        </w:tc>
        <w:tc>
          <w:tcPr>
            <w:tcW w:type="dxa" w:w="2890"/>
          </w:tcPr>
          <w:p>
            <w:pPr>
              <w:jc w:val="center"/>
            </w:pPr>
            <w:r>
              <w:rPr>
                <w:rFonts w:ascii="Times New Roman" w:hAnsi="Times New Roman"/>
                <w:b w:val="0"/>
                <w:i w:val="0"/>
                <w:sz w:val="22"/>
                <w:u w:val="none"/>
              </w:rPr>
              <w:t>Symptom–Disease</w:t>
            </w:r>
          </w:p>
        </w:tc>
        <w:tc>
          <w:tcPr>
            <w:tcW w:type="dxa" w:w="2890"/>
          </w:tcPr>
          <w:p>
            <w:pPr>
              <w:jc w:val="center"/>
            </w:pPr>
            <w:r>
              <w:rPr>
                <w:rFonts w:ascii="Times New Roman" w:hAnsi="Times New Roman"/>
                <w:b w:val="0"/>
                <w:i w:val="0"/>
                <w:sz w:val="22"/>
                <w:u w:val="none"/>
              </w:rPr>
              <w:t>80/10/10 train/val/test split with class stratification.</w:t>
            </w:r>
          </w:p>
        </w:tc>
      </w:tr>
      <w:tr>
        <w:tc>
          <w:tcPr>
            <w:tcW w:type="dxa" w:w="2890"/>
          </w:tcPr>
          <w:p>
            <w:pPr>
              <w:jc w:val="center"/>
            </w:pPr>
            <w:r>
              <w:rPr>
                <w:rFonts w:ascii="Times New Roman" w:hAnsi="Times New Roman"/>
                <w:b w:val="0"/>
                <w:i w:val="0"/>
                <w:sz w:val="22"/>
                <w:u w:val="none"/>
              </w:rPr>
              <w:t>TF-IDF Fitting</w:t>
            </w:r>
          </w:p>
        </w:tc>
        <w:tc>
          <w:tcPr>
            <w:tcW w:type="dxa" w:w="2890"/>
          </w:tcPr>
          <w:p>
            <w:pPr>
              <w:jc w:val="center"/>
            </w:pPr>
            <w:r>
              <w:rPr>
                <w:rFonts w:ascii="Times New Roman" w:hAnsi="Times New Roman"/>
                <w:b w:val="0"/>
                <w:i w:val="0"/>
                <w:sz w:val="22"/>
                <w:u w:val="none"/>
              </w:rPr>
              <w:t>Training set only</w:t>
            </w:r>
          </w:p>
        </w:tc>
        <w:tc>
          <w:tcPr>
            <w:tcW w:type="dxa" w:w="2890"/>
          </w:tcPr>
          <w:p>
            <w:pPr>
              <w:jc w:val="center"/>
            </w:pPr>
            <w:r>
              <w:rPr>
                <w:rFonts w:ascii="Times New Roman" w:hAnsi="Times New Roman"/>
                <w:b w:val="0"/>
                <w:i w:val="0"/>
                <w:sz w:val="22"/>
                <w:u w:val="none"/>
              </w:rPr>
              <w:t>Vectoriser fit exclusively on training data to prevent data leakage.</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5.3 – Preprocessing Steps Applied to Each Dataset</w:t>
      </w:r>
    </w:p>
    <w:p>
      <w:pPr>
        <w:spacing w:before="0" w:after="160" w:line="360" w:lineRule="exact"/>
        <w:ind w:firstLine="432"/>
        <w:jc w:val="both"/>
      </w:pPr>
      <w:r>
        <w:rPr>
          <w:rFonts w:ascii="Times New Roman" w:hAnsi="Times New Roman"/>
          <w:b w:val="0"/>
          <w:i w:val="0"/>
          <w:sz w:val="24"/>
          <w:u w:val="none"/>
        </w:rPr>
        <w:t>One issue encountered during preprocessing was that the raw symptom dataset contained a small number of disease labels with inconsistent capitalisation and spelling variations (e.g. 'URTI' vs 'Upper Respiratory Tract Infection'). These were resolved using a manual label mapping dictionary, which is stored at data/processed/ml/label_mapping.json and contains the canonical form for each variant encountered.</w:t>
      </w:r>
    </w:p>
    <w:p>
      <w:pPr>
        <w:spacing w:before="0" w:after="160" w:line="360" w:lineRule="exact"/>
        <w:ind w:firstLine="432"/>
        <w:jc w:val="both"/>
      </w:pPr>
      <w:r>
        <w:rPr>
          <w:rFonts w:ascii="Times New Roman" w:hAnsi="Times New Roman"/>
          <w:b w:val="0"/>
          <w:i w:val="0"/>
          <w:sz w:val="24"/>
          <w:u w:val="none"/>
        </w:rPr>
        <w:t>The TF-IDF vectoriser was configured with ngram_range=(1, 2) to capture two-word medical phrases such as 'high fever', 'chest pain', and 'runny nose', which carry significantly more diagnostic specificity than their constituent unigrams alone. The minimum document frequency was set to 2 to exclude extremely rare terms that would only add noise to the feature space. The final fitted vocabulary contained approximately 47,000 unique tokens.</w:t>
      </w:r>
    </w:p>
    <w:p>
      <w:pPr>
        <w:spacing w:before="280" w:after="80" w:line="360" w:lineRule="exact"/>
        <w:jc w:val="left"/>
      </w:pPr>
      <w:r>
        <w:rPr>
          <w:rFonts w:ascii="Times New Roman" w:hAnsi="Times New Roman"/>
          <w:b/>
          <w:i w:val="0"/>
          <w:sz w:val="26"/>
          <w:u w:val="none"/>
        </w:rPr>
        <w:t>5.6  Disease Category Knowledge Base</w:t>
      </w:r>
    </w:p>
    <w:p>
      <w:pPr>
        <w:spacing w:before="0" w:after="160" w:line="360" w:lineRule="exact"/>
        <w:ind w:firstLine="432"/>
        <w:jc w:val="both"/>
      </w:pPr>
      <w:r>
        <w:rPr>
          <w:rFonts w:ascii="Times New Roman" w:hAnsi="Times New Roman"/>
          <w:b w:val="0"/>
          <w:i w:val="0"/>
          <w:sz w:val="24"/>
          <w:u w:val="none"/>
        </w:rPr>
        <w:t>A custom knowledge base mapping each of the 260+ disease classes to their relevant clinical categories was generated specifically for the Medical Consistency Validator. This mapping—stored at data/disease_categories.json—was constructed semi-automatically using the generate_disease_categories.py script, which applies keyword heuristics to assign each disease to one or more of the eleven clinical domains defined in the validator's symptom_keywords dictionary.</w:t>
      </w:r>
    </w:p>
    <w:p>
      <w:pPr>
        <w:spacing w:before="0" w:after="160" w:line="360" w:lineRule="exact"/>
        <w:ind w:firstLine="432"/>
        <w:jc w:val="both"/>
      </w:pPr>
      <w:r>
        <w:rPr>
          <w:rFonts w:ascii="Times New Roman" w:hAnsi="Times New Roman"/>
          <w:b w:val="0"/>
          <w:i w:val="0"/>
          <w:sz w:val="24"/>
          <w:u w:val="none"/>
        </w:rPr>
        <w:t>The resulting knowledge base covers 247 disease classes with at least one category assignment. Thirteen disease classes returned no category match and are handled as UNKNOWN, receiving the 0.9x default penalty. This knowledge base is a core asset of the project and distinguishes MediAssist AI from systems that perform medical plausibility checking only through end-to-end learned representations.</w:t>
      </w:r>
    </w:p>
    <w:p>
      <w:pPr>
        <w:spacing w:before="0" w:after="120" w:line="400" w:lineRule="exact"/>
        <w:jc w:val="left"/>
      </w:pPr>
      <w:r>
        <w:rPr>
          <w:rFonts w:ascii="Times New Roman" w:hAnsi="Times New Roman"/>
          <w:b/>
          <w:i w:val="0"/>
          <w:sz w:val="32"/>
          <w:u w:val="single"/>
        </w:rPr>
        <w:t>Chapter 6: Methodology</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This chapter details every algorithmic and engineering decision made during the development of MediAssist AI, including the choice of feature representation, classifier selection, prediction strategy, and uncertainty quantification. Where relevant, formulas and pseudocode are provided to support reproducibility.</w:t>
      </w:r>
    </w:p>
    <w:p>
      <w:pPr>
        <w:spacing w:before="280" w:after="80" w:line="360" w:lineRule="exact"/>
        <w:jc w:val="left"/>
      </w:pPr>
      <w:r>
        <w:rPr>
          <w:rFonts w:ascii="Times New Roman" w:hAnsi="Times New Roman"/>
          <w:b/>
          <w:i w:val="0"/>
          <w:sz w:val="26"/>
          <w:u w:val="none"/>
        </w:rPr>
        <w:t>6.1  TF-IDF Feature Representation</w:t>
      </w:r>
    </w:p>
    <w:p>
      <w:pPr>
        <w:spacing w:before="0" w:after="160" w:line="360" w:lineRule="exact"/>
        <w:ind w:firstLine="432"/>
        <w:jc w:val="both"/>
      </w:pPr>
      <w:r>
        <w:rPr>
          <w:rFonts w:ascii="Times New Roman" w:hAnsi="Times New Roman"/>
          <w:b w:val="0"/>
          <w:i w:val="0"/>
          <w:sz w:val="24"/>
          <w:u w:val="none"/>
        </w:rPr>
        <w:t>Term Frequency–Inverse Document Frequency (TF-IDF) was selected as the primary feature representation for symptom text. Given a corpus of N documents, the TF-IDF weight for term t in document d is defined as:</w:t>
      </w:r>
    </w:p>
    <w:p>
      <w:pPr>
        <w:spacing w:before="80" w:after="80"/>
        <w:ind w:left="576"/>
      </w:pPr>
      <w:r>
        <w:rPr>
          <w:rFonts w:ascii="Courier New" w:hAnsi="Courier New"/>
          <w:sz w:val="19"/>
        </w:rPr>
        <w:t>TF-IDF(t, d) = TF(t, d) × log(N / (1 + df(t)))</w:t>
      </w:r>
    </w:p>
    <w:p>
      <w:pPr>
        <w:spacing w:before="0" w:after="160" w:line="360" w:lineRule="exact"/>
        <w:ind w:firstLine="432"/>
        <w:jc w:val="both"/>
      </w:pPr>
      <w:r>
        <w:rPr>
          <w:rFonts w:ascii="Times New Roman" w:hAnsi="Times New Roman"/>
          <w:b w:val="0"/>
          <w:i w:val="0"/>
          <w:sz w:val="24"/>
          <w:u w:val="none"/>
        </w:rPr>
        <w:t>where TF(t, d) is the frequency of term t in document d, and df(t) is the number of documents containing term t. The log-damped IDF term penalises words that appear in many documents—in medical text, generic words like 'feel', 'pain', and 'have' receive low IDF weights, while specific clinical terms like 'hemoptysis', 'dyspnea', and 'paresthesia' receive high weights.</w:t>
      </w:r>
    </w:p>
    <w:p>
      <w:pPr>
        <w:spacing w:before="0" w:after="160" w:line="360" w:lineRule="exact"/>
        <w:ind w:firstLine="432"/>
        <w:jc w:val="both"/>
      </w:pPr>
      <w:r>
        <w:rPr>
          <w:rFonts w:ascii="Times New Roman" w:hAnsi="Times New Roman"/>
          <w:b w:val="0"/>
          <w:i w:val="0"/>
          <w:sz w:val="24"/>
          <w:u w:val="none"/>
        </w:rPr>
        <w:t>The vectoriser was configured with the following parameters after grid-search cross-validation:</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Parameter</w:t>
            </w:r>
          </w:p>
        </w:tc>
        <w:tc>
          <w:tcPr>
            <w:tcW w:type="dxa" w:w="2890"/>
          </w:tcPr>
          <w:p>
            <w:pPr>
              <w:jc w:val="center"/>
            </w:pPr>
            <w:r>
              <w:rPr>
                <w:rFonts w:ascii="Times New Roman" w:hAnsi="Times New Roman"/>
                <w:b/>
                <w:i w:val="0"/>
                <w:sz w:val="22"/>
                <w:u w:val="none"/>
              </w:rPr>
              <w:t>Value</w:t>
            </w:r>
          </w:p>
        </w:tc>
        <w:tc>
          <w:tcPr>
            <w:tcW w:type="dxa" w:w="2890"/>
          </w:tcPr>
          <w:p>
            <w:pPr>
              <w:jc w:val="center"/>
            </w:pPr>
            <w:r>
              <w:rPr>
                <w:rFonts w:ascii="Times New Roman" w:hAnsi="Times New Roman"/>
                <w:b/>
                <w:i w:val="0"/>
                <w:sz w:val="22"/>
                <w:u w:val="none"/>
              </w:rPr>
              <w:t>Rationale</w:t>
            </w:r>
          </w:p>
        </w:tc>
      </w:tr>
      <w:tr>
        <w:tc>
          <w:tcPr>
            <w:tcW w:type="dxa" w:w="2890"/>
          </w:tcPr>
          <w:p>
            <w:pPr>
              <w:jc w:val="center"/>
            </w:pPr>
            <w:r>
              <w:rPr>
                <w:rFonts w:ascii="Times New Roman" w:hAnsi="Times New Roman"/>
                <w:b w:val="0"/>
                <w:i w:val="0"/>
                <w:sz w:val="22"/>
                <w:u w:val="none"/>
              </w:rPr>
              <w:t>ngram_range</w:t>
            </w:r>
          </w:p>
        </w:tc>
        <w:tc>
          <w:tcPr>
            <w:tcW w:type="dxa" w:w="2890"/>
          </w:tcPr>
          <w:p>
            <w:pPr>
              <w:jc w:val="center"/>
            </w:pPr>
            <w:r>
              <w:rPr>
                <w:rFonts w:ascii="Times New Roman" w:hAnsi="Times New Roman"/>
                <w:b w:val="0"/>
                <w:i w:val="0"/>
                <w:sz w:val="22"/>
                <w:u w:val="none"/>
              </w:rPr>
              <w:t>(1, 2)</w:t>
            </w:r>
          </w:p>
        </w:tc>
        <w:tc>
          <w:tcPr>
            <w:tcW w:type="dxa" w:w="2890"/>
          </w:tcPr>
          <w:p>
            <w:pPr>
              <w:jc w:val="center"/>
            </w:pPr>
            <w:r>
              <w:rPr>
                <w:rFonts w:ascii="Times New Roman" w:hAnsi="Times New Roman"/>
                <w:b w:val="0"/>
                <w:i w:val="0"/>
                <w:sz w:val="22"/>
                <w:u w:val="none"/>
              </w:rPr>
              <w:t>Captures two-word clinical phrases (e.g. 'chest pain')</w:t>
            </w:r>
          </w:p>
        </w:tc>
      </w:tr>
      <w:tr>
        <w:tc>
          <w:tcPr>
            <w:tcW w:type="dxa" w:w="2890"/>
          </w:tcPr>
          <w:p>
            <w:pPr>
              <w:jc w:val="center"/>
            </w:pPr>
            <w:r>
              <w:rPr>
                <w:rFonts w:ascii="Times New Roman" w:hAnsi="Times New Roman"/>
                <w:b w:val="0"/>
                <w:i w:val="0"/>
                <w:sz w:val="22"/>
                <w:u w:val="none"/>
              </w:rPr>
              <w:t>min_df</w:t>
            </w:r>
          </w:p>
        </w:tc>
        <w:tc>
          <w:tcPr>
            <w:tcW w:type="dxa" w:w="2890"/>
          </w:tcPr>
          <w:p>
            <w:pPr>
              <w:jc w:val="center"/>
            </w:pPr>
            <w:r>
              <w:rPr>
                <w:rFonts w:ascii="Times New Roman" w:hAnsi="Times New Roman"/>
                <w:b w:val="0"/>
                <w:i w:val="0"/>
                <w:sz w:val="22"/>
                <w:u w:val="none"/>
              </w:rPr>
              <w:t>2</w:t>
            </w:r>
          </w:p>
        </w:tc>
        <w:tc>
          <w:tcPr>
            <w:tcW w:type="dxa" w:w="2890"/>
          </w:tcPr>
          <w:p>
            <w:pPr>
              <w:jc w:val="center"/>
            </w:pPr>
            <w:r>
              <w:rPr>
                <w:rFonts w:ascii="Times New Roman" w:hAnsi="Times New Roman"/>
                <w:b w:val="0"/>
                <w:i w:val="0"/>
                <w:sz w:val="22"/>
                <w:u w:val="none"/>
              </w:rPr>
              <w:t>Removes terms seen in fewer than 2 documents</w:t>
            </w:r>
          </w:p>
        </w:tc>
      </w:tr>
      <w:tr>
        <w:tc>
          <w:tcPr>
            <w:tcW w:type="dxa" w:w="2890"/>
          </w:tcPr>
          <w:p>
            <w:pPr>
              <w:jc w:val="center"/>
            </w:pPr>
            <w:r>
              <w:rPr>
                <w:rFonts w:ascii="Times New Roman" w:hAnsi="Times New Roman"/>
                <w:b w:val="0"/>
                <w:i w:val="0"/>
                <w:sz w:val="22"/>
                <w:u w:val="none"/>
              </w:rPr>
              <w:t>max_df</w:t>
            </w:r>
          </w:p>
        </w:tc>
        <w:tc>
          <w:tcPr>
            <w:tcW w:type="dxa" w:w="2890"/>
          </w:tcPr>
          <w:p>
            <w:pPr>
              <w:jc w:val="center"/>
            </w:pPr>
            <w:r>
              <w:rPr>
                <w:rFonts w:ascii="Times New Roman" w:hAnsi="Times New Roman"/>
                <w:b w:val="0"/>
                <w:i w:val="0"/>
                <w:sz w:val="22"/>
                <w:u w:val="none"/>
              </w:rPr>
              <w:t>0.90</w:t>
            </w:r>
          </w:p>
        </w:tc>
        <w:tc>
          <w:tcPr>
            <w:tcW w:type="dxa" w:w="2890"/>
          </w:tcPr>
          <w:p>
            <w:pPr>
              <w:jc w:val="center"/>
            </w:pPr>
            <w:r>
              <w:rPr>
                <w:rFonts w:ascii="Times New Roman" w:hAnsi="Times New Roman"/>
                <w:b w:val="0"/>
                <w:i w:val="0"/>
                <w:sz w:val="22"/>
                <w:u w:val="none"/>
              </w:rPr>
              <w:t>Removes terms present in &gt;90% of documents</w:t>
            </w:r>
          </w:p>
        </w:tc>
      </w:tr>
      <w:tr>
        <w:tc>
          <w:tcPr>
            <w:tcW w:type="dxa" w:w="2890"/>
          </w:tcPr>
          <w:p>
            <w:pPr>
              <w:jc w:val="center"/>
            </w:pPr>
            <w:r>
              <w:rPr>
                <w:rFonts w:ascii="Times New Roman" w:hAnsi="Times New Roman"/>
                <w:b w:val="0"/>
                <w:i w:val="0"/>
                <w:sz w:val="22"/>
                <w:u w:val="none"/>
              </w:rPr>
              <w:t>sublinear_tf</w:t>
            </w:r>
          </w:p>
        </w:tc>
        <w:tc>
          <w:tcPr>
            <w:tcW w:type="dxa" w:w="2890"/>
          </w:tcPr>
          <w:p>
            <w:pPr>
              <w:jc w:val="center"/>
            </w:pPr>
            <w:r>
              <w:rPr>
                <w:rFonts w:ascii="Times New Roman" w:hAnsi="Times New Roman"/>
                <w:b w:val="0"/>
                <w:i w:val="0"/>
                <w:sz w:val="22"/>
                <w:u w:val="none"/>
              </w:rPr>
              <w:t>True</w:t>
            </w:r>
          </w:p>
        </w:tc>
        <w:tc>
          <w:tcPr>
            <w:tcW w:type="dxa" w:w="2890"/>
          </w:tcPr>
          <w:p>
            <w:pPr>
              <w:jc w:val="center"/>
            </w:pPr>
            <w:r>
              <w:rPr>
                <w:rFonts w:ascii="Times New Roman" w:hAnsi="Times New Roman"/>
                <w:b w:val="0"/>
                <w:i w:val="0"/>
                <w:sz w:val="22"/>
                <w:u w:val="none"/>
              </w:rPr>
              <w:t>Log-scale TF suppresses high-frequency term dominance</w:t>
            </w:r>
          </w:p>
        </w:tc>
      </w:tr>
      <w:tr>
        <w:tc>
          <w:tcPr>
            <w:tcW w:type="dxa" w:w="2890"/>
          </w:tcPr>
          <w:p>
            <w:pPr>
              <w:jc w:val="center"/>
            </w:pPr>
            <w:r>
              <w:rPr>
                <w:rFonts w:ascii="Times New Roman" w:hAnsi="Times New Roman"/>
                <w:b w:val="0"/>
                <w:i w:val="0"/>
                <w:sz w:val="22"/>
                <w:u w:val="none"/>
              </w:rPr>
              <w:t>analyzer</w:t>
            </w:r>
          </w:p>
        </w:tc>
        <w:tc>
          <w:tcPr>
            <w:tcW w:type="dxa" w:w="2890"/>
          </w:tcPr>
          <w:p>
            <w:pPr>
              <w:jc w:val="center"/>
            </w:pPr>
            <w:r>
              <w:rPr>
                <w:rFonts w:ascii="Times New Roman" w:hAnsi="Times New Roman"/>
                <w:b w:val="0"/>
                <w:i w:val="0"/>
                <w:sz w:val="22"/>
                <w:u w:val="none"/>
              </w:rPr>
              <w:t>'word'</w:t>
            </w:r>
          </w:p>
        </w:tc>
        <w:tc>
          <w:tcPr>
            <w:tcW w:type="dxa" w:w="2890"/>
          </w:tcPr>
          <w:p>
            <w:pPr>
              <w:jc w:val="center"/>
            </w:pPr>
            <w:r>
              <w:rPr>
                <w:rFonts w:ascii="Times New Roman" w:hAnsi="Times New Roman"/>
                <w:b w:val="0"/>
                <w:i w:val="0"/>
                <w:sz w:val="22"/>
                <w:u w:val="none"/>
              </w:rPr>
              <w:t>Word-level tokenisation appropriate for clinical text</w:t>
            </w:r>
          </w:p>
        </w:tc>
      </w:tr>
      <w:tr>
        <w:tc>
          <w:tcPr>
            <w:tcW w:type="dxa" w:w="2890"/>
          </w:tcPr>
          <w:p>
            <w:pPr>
              <w:jc w:val="center"/>
            </w:pPr>
            <w:r>
              <w:rPr>
                <w:rFonts w:ascii="Times New Roman" w:hAnsi="Times New Roman"/>
                <w:b w:val="0"/>
                <w:i w:val="0"/>
                <w:sz w:val="22"/>
                <w:u w:val="none"/>
              </w:rPr>
              <w:t>Vocabulary size</w:t>
            </w:r>
          </w:p>
        </w:tc>
        <w:tc>
          <w:tcPr>
            <w:tcW w:type="dxa" w:w="2890"/>
          </w:tcPr>
          <w:p>
            <w:pPr>
              <w:jc w:val="center"/>
            </w:pPr>
            <w:r>
              <w:rPr>
                <w:rFonts w:ascii="Times New Roman" w:hAnsi="Times New Roman"/>
                <w:b w:val="0"/>
                <w:i w:val="0"/>
                <w:sz w:val="22"/>
                <w:u w:val="none"/>
              </w:rPr>
              <w:t>~47,000</w:t>
            </w:r>
          </w:p>
        </w:tc>
        <w:tc>
          <w:tcPr>
            <w:tcW w:type="dxa" w:w="2890"/>
          </w:tcPr>
          <w:p>
            <w:pPr>
              <w:jc w:val="center"/>
            </w:pPr>
            <w:r>
              <w:rPr>
                <w:rFonts w:ascii="Times New Roman" w:hAnsi="Times New Roman"/>
                <w:b w:val="0"/>
                <w:i w:val="0"/>
                <w:sz w:val="22"/>
                <w:u w:val="none"/>
              </w:rPr>
              <w:t>Tokens retained after min/max df filtering</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6.1 – TF-IDF Vectoriser Configuration Parameters</w:t>
      </w:r>
    </w:p>
    <w:p>
      <w:pPr>
        <w:spacing w:before="0" w:after="160" w:line="360" w:lineRule="exact"/>
        <w:ind w:firstLine="432"/>
        <w:jc w:val="both"/>
      </w:pPr>
      <w:r>
        <w:rPr>
          <w:rFonts w:ascii="Times New Roman" w:hAnsi="Times New Roman"/>
          <w:b w:val="0"/>
          <w:i w:val="0"/>
          <w:sz w:val="24"/>
          <w:u w:val="none"/>
        </w:rPr>
        <w:t>One design choice worth explaining is the use of bigrams (ngram_range=(1,2)). Initial experiments with unigrams only produced noticeably worse results for symptom combinations. The phrase 'high fever' is far more discriminative than the individual tokens 'high' and 'fever' appearing separately, because 'high' alone appears across hundreds of unrelated contexts. Adding bigrams increased Top-3 accuracy by approximately 2.1 percentage points on the validation set.</w:t>
      </w:r>
    </w:p>
    <w:p>
      <w:pPr>
        <w:spacing w:before="280" w:after="80" w:line="360" w:lineRule="exact"/>
        <w:jc w:val="left"/>
      </w:pPr>
      <w:r>
        <w:rPr>
          <w:rFonts w:ascii="Times New Roman" w:hAnsi="Times New Roman"/>
          <w:b/>
          <w:i w:val="0"/>
          <w:sz w:val="26"/>
          <w:u w:val="none"/>
        </w:rPr>
        <w:t>6.2  Classifier Selection and Training</w:t>
      </w:r>
    </w:p>
    <w:p>
      <w:pPr>
        <w:spacing w:before="200" w:after="60" w:line="360" w:lineRule="exact"/>
        <w:jc w:val="left"/>
      </w:pPr>
      <w:r>
        <w:rPr>
          <w:rFonts w:ascii="Times New Roman" w:hAnsi="Times New Roman"/>
          <w:b/>
          <w:i/>
          <w:sz w:val="24"/>
          <w:u w:val="none"/>
        </w:rPr>
        <w:t>6.2.1  Logistic Regression</w:t>
      </w:r>
    </w:p>
    <w:p>
      <w:pPr>
        <w:spacing w:before="0" w:after="160" w:line="360" w:lineRule="exact"/>
        <w:ind w:firstLine="432"/>
        <w:jc w:val="both"/>
      </w:pPr>
      <w:r>
        <w:rPr>
          <w:rFonts w:ascii="Times New Roman" w:hAnsi="Times New Roman"/>
          <w:b w:val="0"/>
          <w:i w:val="0"/>
          <w:sz w:val="24"/>
          <w:u w:val="none"/>
        </w:rPr>
        <w:t>Logistic Regression was selected as the primary classifier after comparative evaluation against four alternatives. For a K-class problem, the softmax extension of Logistic Regression models the posterior probability of class k given feature vector x as:</w:t>
      </w:r>
    </w:p>
    <w:p>
      <w:pPr>
        <w:spacing w:before="80" w:after="80"/>
        <w:ind w:left="576"/>
      </w:pPr>
      <w:r>
        <w:rPr>
          <w:rFonts w:ascii="Courier New" w:hAnsi="Courier New"/>
          <w:sz w:val="19"/>
        </w:rPr>
        <w:t>P(y=k | x) = exp(w_k · x + b_k) / Σ_j exp(w_j · x + b_j)</w:t>
      </w:r>
    </w:p>
    <w:p>
      <w:pPr>
        <w:spacing w:before="0" w:after="160" w:line="360" w:lineRule="exact"/>
        <w:ind w:firstLine="432"/>
        <w:jc w:val="both"/>
      </w:pPr>
      <w:r>
        <w:rPr>
          <w:rFonts w:ascii="Times New Roman" w:hAnsi="Times New Roman"/>
          <w:b w:val="0"/>
          <w:i w:val="0"/>
          <w:sz w:val="24"/>
          <w:u w:val="none"/>
        </w:rPr>
        <w:t>Training minimises the cross-entropy loss with L2 regularisation (C=1.0, determined by cross-validation). The solver was set to 'lbfgs' with max_iter=1000. On sparse TF-IDF vectors, Logistic Regression has a well-known geometric advantage: the decision boundaries it learns are linear in the high-dimensional TF-IDF space, and because sparse features tend to be nearly orthogonal, linear separability is more readily achieved than in dense embedding spaces. This is consistent with findings by Wang and Manning (2012), and was confirmed empirically in our evaluation.</w:t>
      </w:r>
    </w:p>
    <w:p>
      <w:pPr>
        <w:spacing w:before="200" w:after="60" w:line="360" w:lineRule="exact"/>
        <w:jc w:val="left"/>
      </w:pPr>
      <w:r>
        <w:rPr>
          <w:rFonts w:ascii="Times New Roman" w:hAnsi="Times New Roman"/>
          <w:b/>
          <w:i/>
          <w:sz w:val="24"/>
          <w:u w:val="none"/>
        </w:rPr>
        <w:t>6.2.2  Naive Bayes</w:t>
      </w:r>
    </w:p>
    <w:p>
      <w:pPr>
        <w:spacing w:before="0" w:after="160" w:line="360" w:lineRule="exact"/>
        <w:ind w:firstLine="432"/>
        <w:jc w:val="both"/>
      </w:pPr>
      <w:r>
        <w:rPr>
          <w:rFonts w:ascii="Times New Roman" w:hAnsi="Times New Roman"/>
          <w:b w:val="0"/>
          <w:i w:val="0"/>
          <w:sz w:val="24"/>
          <w:u w:val="none"/>
        </w:rPr>
        <w:t>Multinomial Naive Bayes was trained as a secondary classifier for comparison. Despite its conditional independence assumption, which is clearly violated in clinical text where symptoms co-occur in structured patterns, Naive Bayes performed competitively at 80.51% Top-1 accuracy. Its primary advantage is inference speed—it is the fastest classifier evaluated, with a per-sample latency of approximately 4.7 microseconds.</w:t>
      </w:r>
    </w:p>
    <w:p>
      <w:pPr>
        <w:spacing w:before="200" w:after="60" w:line="360" w:lineRule="exact"/>
        <w:jc w:val="left"/>
      </w:pPr>
      <w:r>
        <w:rPr>
          <w:rFonts w:ascii="Times New Roman" w:hAnsi="Times New Roman"/>
          <w:b/>
          <w:i/>
          <w:sz w:val="24"/>
          <w:u w:val="none"/>
        </w:rPr>
        <w:t>6.2.3  Why Decision Tree and XGBoost Underperformed</w:t>
      </w:r>
    </w:p>
    <w:p>
      <w:pPr>
        <w:spacing w:before="0" w:after="160" w:line="360" w:lineRule="exact"/>
        <w:ind w:firstLine="432"/>
        <w:jc w:val="both"/>
      </w:pPr>
      <w:r>
        <w:rPr>
          <w:rFonts w:ascii="Times New Roman" w:hAnsi="Times New Roman"/>
          <w:b w:val="0"/>
          <w:i w:val="0"/>
          <w:sz w:val="24"/>
          <w:u w:val="none"/>
        </w:rPr>
        <w:t>Decision Trees achieved only 15.27% Top-1 accuracy, and XGBoost fared even worse at 7.15%. This result initially seemed surprising given XGBoost's strong track record on tabular data. After analysis, the reason became clear: both tree-based models perform poorly on high-dimensional sparse feature spaces.</w:t>
      </w:r>
    </w:p>
    <w:p>
      <w:pPr>
        <w:spacing w:before="0" w:after="160" w:line="360" w:lineRule="exact"/>
        <w:ind w:firstLine="432"/>
        <w:jc w:val="both"/>
      </w:pPr>
      <w:r>
        <w:rPr>
          <w:rFonts w:ascii="Times New Roman" w:hAnsi="Times New Roman"/>
          <w:b w:val="0"/>
          <w:i w:val="0"/>
          <w:sz w:val="24"/>
          <w:u w:val="none"/>
        </w:rPr>
        <w:t>At each tree node, a Decision Tree evaluates splits over a random subset of features. In a 47,000-dimensional TF-IDF space where the average document has non-zero values in only a few hundred dimensions, the probability that any given random feature subset contains discriminative terms for a specific disease is very low. The resulting trees are shallow and poorly calibrated. XGBoost compounds this problem through its gradient-boosting procedure, which iteratively fits residuals on already-poor trees—a case of boosting noise rather than signal. This failure is well-documented in the NLP literature and confirms that sparse text features require linear models or kernel methods, not tree ensembles.</w:t>
      </w:r>
    </w:p>
    <w:p>
      <w:pPr>
        <w:spacing w:before="120" w:after="40"/>
        <w:jc w:val="center"/>
      </w:pPr>
      <w:r>
        <w:drawing>
          <wp:inline xmlns:a="http://schemas.openxmlformats.org/drawingml/2006/main" xmlns:pic="http://schemas.openxmlformats.org/drawingml/2006/picture">
            <wp:extent cx="4754880" cy="2852928"/>
            <wp:docPr id="8" name="Picture 1"/>
            <wp:cNvGraphicFramePr>
              <a:graphicFrameLocks noChangeAspect="1"/>
            </wp:cNvGraphicFramePr>
            <a:graphic>
              <a:graphicData uri="http://schemas.openxmlformats.org/drawingml/2006/picture">
                <pic:pic>
                  <pic:nvPicPr>
                    <pic:cNvPr id="8" name="model_f1_comparison.png"/>
                    <pic:cNvPicPr/>
                  </pic:nvPicPr>
                  <pic:blipFill>
                    <a:blip r:embed="rId16"/>
                    <a:stretch>
                      <a:fillRect/>
                    </a:stretch>
                  </pic:blipFill>
                  <pic:spPr>
                    <a:xfrm>
                      <a:off x="0" y="0"/>
                      <a:ext cx="4754880" cy="2852928"/>
                    </a:xfrm>
                    <a:prstGeom prst="rect"/>
                  </pic:spPr>
                </pic:pic>
              </a:graphicData>
            </a:graphic>
          </wp:inline>
        </w:drawing>
      </w:r>
    </w:p>
    <w:p>
      <w:pPr>
        <w:spacing w:before="80" w:after="240"/>
        <w:jc w:val="center"/>
      </w:pPr>
      <w:r>
        <w:rPr>
          <w:rFonts w:ascii="Times New Roman" w:hAnsi="Times New Roman"/>
          <w:b w:val="0"/>
          <w:i/>
          <w:sz w:val="22"/>
          <w:u w:val="none"/>
        </w:rPr>
        <w:t>Figure 6.1 – F1-Score Comparison Across All Evaluated Classifiers</w:t>
      </w:r>
    </w:p>
    <w:p>
      <w:pPr>
        <w:spacing w:before="280" w:after="80" w:line="360" w:lineRule="exact"/>
        <w:jc w:val="left"/>
      </w:pPr>
      <w:r>
        <w:rPr>
          <w:rFonts w:ascii="Times New Roman" w:hAnsi="Times New Roman"/>
          <w:b/>
          <w:i w:val="0"/>
          <w:sz w:val="26"/>
          <w:u w:val="none"/>
        </w:rPr>
        <w:t>6.3  Top-K Prediction Strategy</w:t>
      </w:r>
    </w:p>
    <w:p>
      <w:pPr>
        <w:spacing w:before="0" w:after="160" w:line="360" w:lineRule="exact"/>
        <w:ind w:firstLine="432"/>
        <w:jc w:val="both"/>
      </w:pPr>
      <w:r>
        <w:rPr>
          <w:rFonts w:ascii="Times New Roman" w:hAnsi="Times New Roman"/>
          <w:b w:val="0"/>
          <w:i w:val="0"/>
          <w:sz w:val="24"/>
          <w:u w:val="none"/>
        </w:rPr>
        <w:t>Rather than returning a single top-1 prediction, MediAssist AI extracts the top-K classes by posterior probability (default K=3). This addresses two clinical realities: first, many symptom descriptions are genuinely ambiguous and correspond plausibly to multiple conditions; second, the top-1 prediction for a model with 84% accuracy will be wrong approximately 1 in 6 times. Providing the top-3 predictions raises the probability that the correct condition appears in the displayed results from 84.36% to 95.78%—a clinically meaningful improvement.</w:t>
      </w:r>
    </w:p>
    <w:p>
      <w:pPr>
        <w:spacing w:before="0" w:after="160" w:line="360" w:lineRule="exact"/>
        <w:ind w:firstLine="432"/>
        <w:jc w:val="both"/>
      </w:pPr>
      <w:r>
        <w:rPr>
          <w:rFonts w:ascii="Times New Roman" w:hAnsi="Times New Roman"/>
          <w:b w:val="0"/>
          <w:i w:val="0"/>
          <w:sz w:val="24"/>
          <w:u w:val="none"/>
        </w:rPr>
        <w:t>The confidence scores displayed to the user are normalised so that the sum of the top-K displayed predictions equals 1.0. This prevents the misleading situation where a user sees three predictions each with a raw softmax score below 0.10, which could falsely suggest the model is highly uncertain overall when in fact it may simply be distributing probability across many plausible classes.</w:t>
      </w:r>
    </w:p>
    <w:p>
      <w:pPr>
        <w:spacing w:before="280" w:after="80" w:line="360" w:lineRule="exact"/>
        <w:jc w:val="left"/>
      </w:pPr>
      <w:r>
        <w:rPr>
          <w:rFonts w:ascii="Times New Roman" w:hAnsi="Times New Roman"/>
          <w:b/>
          <w:i w:val="0"/>
          <w:sz w:val="26"/>
          <w:u w:val="none"/>
        </w:rPr>
        <w:t>6.4  Uncertainty Estimation</w:t>
      </w:r>
    </w:p>
    <w:p>
      <w:pPr>
        <w:spacing w:before="0" w:after="160" w:line="360" w:lineRule="exact"/>
        <w:ind w:firstLine="432"/>
        <w:jc w:val="both"/>
      </w:pPr>
      <w:r>
        <w:rPr>
          <w:rFonts w:ascii="Times New Roman" w:hAnsi="Times New Roman"/>
          <w:b w:val="0"/>
          <w:i w:val="0"/>
          <w:sz w:val="24"/>
          <w:u w:val="none"/>
        </w:rPr>
        <w:t>Two uncertainty signals are computed and used to trigger the uncertainty warning display mode:</w:t>
      </w:r>
    </w:p>
    <w:p>
      <w:pPr>
        <w:spacing w:before="0" w:after="160" w:line="360" w:lineRule="exact"/>
        <w:ind w:firstLine="432"/>
        <w:jc w:val="both"/>
      </w:pPr>
      <w:r>
        <w:rPr>
          <w:rFonts w:ascii="Times New Roman" w:hAnsi="Times New Roman"/>
          <w:b w:val="0"/>
          <w:i w:val="0"/>
          <w:sz w:val="24"/>
          <w:u w:val="none"/>
        </w:rPr>
        <w:t>Shannon Entropy of the softmax distribution quantifies the overall spread of probability mass across all classes:</w:t>
      </w:r>
    </w:p>
    <w:p>
      <w:pPr>
        <w:spacing w:before="80" w:after="80"/>
        <w:ind w:left="576"/>
      </w:pPr>
      <w:r>
        <w:rPr>
          <w:rFonts w:ascii="Courier New" w:hAnsi="Courier New"/>
          <w:sz w:val="19"/>
        </w:rPr>
        <w:t>H = -Σ_k P(y=k|x) · log₂(P(y=k|x))</w:t>
      </w:r>
    </w:p>
    <w:p>
      <w:pPr>
        <w:spacing w:before="0" w:after="160" w:line="360" w:lineRule="exact"/>
        <w:ind w:firstLine="432"/>
        <w:jc w:val="both"/>
      </w:pPr>
      <w:r>
        <w:rPr>
          <w:rFonts w:ascii="Times New Roman" w:hAnsi="Times New Roman"/>
          <w:b w:val="0"/>
          <w:i w:val="0"/>
          <w:sz w:val="24"/>
          <w:u w:val="none"/>
        </w:rPr>
        <w:t>A high entropy value indicates the model assigns non-negligible probability to many classes simultaneously—a signal of genuine ambiguity in the input. In practice, entropy values above 3.5 bits (on a ~260-class problem) reliably identify inputs where the top-1 prediction is likely unreliable.</w:t>
      </w:r>
    </w:p>
    <w:p>
      <w:pPr>
        <w:spacing w:before="0" w:after="160" w:line="360" w:lineRule="exact"/>
        <w:ind w:firstLine="432"/>
        <w:jc w:val="both"/>
      </w:pPr>
      <w:r>
        <w:rPr>
          <w:rFonts w:ascii="Times New Roman" w:hAnsi="Times New Roman"/>
          <w:b w:val="0"/>
          <w:i w:val="0"/>
          <w:sz w:val="24"/>
          <w:u w:val="none"/>
        </w:rPr>
        <w:t>Confidence Gap between the top-1 and top-2 predictions provides a more localised uncertainty signal. A gap below 0.15 indicates that two diseases are nearly equally probable, meaning small perturbations in wording could reverse the ranking. This threshold was selected empirically by examining the validation set and identifying the gap value below which top-1 error rate exceeded 25%.</w:t>
      </w:r>
    </w:p>
    <w:p>
      <w:pPr>
        <w:spacing w:before="0" w:after="160" w:line="360" w:lineRule="exact"/>
        <w:ind w:firstLine="432"/>
        <w:jc w:val="both"/>
      </w:pPr>
      <w:r>
        <w:rPr>
          <w:rFonts w:ascii="Times New Roman" w:hAnsi="Times New Roman"/>
          <w:b w:val="0"/>
          <w:i w:val="0"/>
          <w:sz w:val="24"/>
          <w:u w:val="none"/>
        </w:rPr>
        <w:t>When either uncertainty condition is triggered, the system appends a structured warning to the UI response and logs the uncertainty metrics alongside the prediction in the session state. This gives the user clear contextual information without suppressing the prediction output.</w:t>
      </w:r>
    </w:p>
    <w:p>
      <w:r>
        <w:br w:type="page"/>
      </w:r>
    </w:p>
    <w:p>
      <w:pPr>
        <w:spacing w:before="0" w:after="120" w:line="400" w:lineRule="exact"/>
        <w:jc w:val="left"/>
      </w:pPr>
      <w:r>
        <w:rPr>
          <w:rFonts w:ascii="Times New Roman" w:hAnsi="Times New Roman"/>
          <w:b/>
          <w:i w:val="0"/>
          <w:sz w:val="32"/>
          <w:u w:val="single"/>
        </w:rPr>
        <w:t>Chapter 7: Safety Architecture</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This chapter provides a detailed technical account of the safety mechanisms implemented in MediAssist AI. It describes the Emergency Safety Override Layer, the Medical Consistency Validator's penalty scheme, the healthcare-specific evaluation metrics used to quantify safety performance, and a before-vs-after comparison demonstrating the impact of the safety architecture.</w:t>
      </w:r>
    </w:p>
    <w:p>
      <w:pPr>
        <w:spacing w:before="280" w:after="80" w:line="360" w:lineRule="exact"/>
        <w:jc w:val="left"/>
      </w:pPr>
      <w:r>
        <w:rPr>
          <w:rFonts w:ascii="Times New Roman" w:hAnsi="Times New Roman"/>
          <w:b/>
          <w:i w:val="0"/>
          <w:sz w:val="26"/>
          <w:u w:val="none"/>
        </w:rPr>
        <w:t>7.1  Emergency Safety Override Layer – Technical Design</w:t>
      </w:r>
    </w:p>
    <w:p>
      <w:pPr>
        <w:spacing w:before="0" w:after="160" w:line="360" w:lineRule="exact"/>
        <w:ind w:firstLine="432"/>
        <w:jc w:val="both"/>
      </w:pPr>
      <w:r>
        <w:rPr>
          <w:rFonts w:ascii="Times New Roman" w:hAnsi="Times New Roman"/>
          <w:b w:val="0"/>
          <w:i w:val="0"/>
          <w:sz w:val="24"/>
          <w:u w:val="none"/>
        </w:rPr>
        <w:t>The EmergencyRuleEngine (src/safety/emergency_rules.py) is instantiated once at application startup and remains stateless across requests. Its check_for_emergency(text) method is the first function called on every user input. The implementation is deliberately simple by design—complexity in a safety-critical component introduces risk. The core logic is:</w:t>
      </w:r>
    </w:p>
    <w:p>
      <w:pPr>
        <w:spacing w:before="80" w:after="80"/>
        <w:ind w:left="576"/>
      </w:pPr>
      <w:r>
        <w:rPr>
          <w:rFonts w:ascii="Courier New" w:hAnsi="Courier New"/>
          <w:sz w:val="19"/>
        </w:rPr>
        <w:t>def check_for_emergency(self, text: str) -&gt; dict:</w:t>
        <w:br/>
        <w:t xml:space="preserve">    text_lower = text.lower()</w:t>
        <w:br/>
        <w:t xml:space="preserve">    for category, phrases in self.EMERGENCY_KEYWORDS.items():</w:t>
        <w:br/>
        <w:t xml:space="preserve">        for phrase in phrases:</w:t>
        <w:br/>
        <w:t xml:space="preserve">            if phrase in text_lower:</w:t>
        <w:br/>
        <w:t xml:space="preserve">                self._log_override(text, category, phrase)</w:t>
        <w:br/>
        <w:t xml:space="preserve">                return {</w:t>
        <w:br/>
        <w:t xml:space="preserve">                    "is_emergency": True,</w:t>
        <w:br/>
        <w:t xml:space="preserve">                    "category": category,</w:t>
        <w:br/>
        <w:t xml:space="preserve">                    "triggered_by": phrase,</w:t>
        <w:br/>
        <w:t xml:space="preserve">                    "escalation_message": ESCALATION_TEXT</w:t>
        <w:br/>
        <w:t xml:space="preserve">                }</w:t>
        <w:br/>
        <w:t xml:space="preserve">    return {"is_emergency": False}</w:t>
      </w:r>
    </w:p>
    <w:p>
      <w:pPr>
        <w:spacing w:before="0" w:after="160" w:line="360" w:lineRule="exact"/>
        <w:ind w:firstLine="432"/>
        <w:jc w:val="both"/>
      </w:pPr>
      <w:r>
        <w:rPr>
          <w:rFonts w:ascii="Times New Roman" w:hAnsi="Times New Roman"/>
          <w:b w:val="0"/>
          <w:i w:val="0"/>
          <w:sz w:val="24"/>
          <w:u w:val="none"/>
        </w:rPr>
        <w:t>The choice of substring matching over regex or ML-based detection is intentional. Regex patterns introduce maintenance complexity and can fail silently on edge cases. ML-based emergency detection would reintroduce the exact vulnerability the layer is designed to guard against—if a model is used for emergency detection, it can be wrong. Substring matching on a carefully curated phrase list provides deterministic, auditable, testable behaviour. The trade-off is that phrases must be explicitly enumerated, but in the domain of emergency medical symptoms, the critical presentations are well-defined and finite.</w:t>
      </w:r>
    </w:p>
    <w:p>
      <w:pPr>
        <w:spacing w:before="0" w:after="160" w:line="360" w:lineRule="exact"/>
        <w:ind w:firstLine="432"/>
        <w:jc w:val="both"/>
      </w:pPr>
      <w:r>
        <w:rPr>
          <w:rFonts w:ascii="Times New Roman" w:hAnsi="Times New Roman"/>
          <w:b w:val="0"/>
          <w:i w:val="0"/>
          <w:sz w:val="24"/>
          <w:u w:val="none"/>
        </w:rPr>
        <w:t>Every emergency override is recorded as a structured JSON log entry written to logs/safety/emergency_overrides.log. Each entry captures the timestamp, input text, detected category, triggering phrase, and escalation message. This log enables post-hoc audit of all escalation decisions and supports the explainability requirements of responsible healthcare AI deployment.</w:t>
      </w:r>
    </w:p>
    <w:p>
      <w:pPr>
        <w:spacing w:before="280" w:after="80" w:line="360" w:lineRule="exact"/>
        <w:jc w:val="left"/>
      </w:pPr>
      <w:r>
        <w:rPr>
          <w:rFonts w:ascii="Times New Roman" w:hAnsi="Times New Roman"/>
          <w:b/>
          <w:i w:val="0"/>
          <w:sz w:val="26"/>
          <w:u w:val="none"/>
        </w:rPr>
        <w:t>7.2  Medical Consistency Validation – Penalty Scheme</w:t>
      </w:r>
    </w:p>
    <w:p>
      <w:pPr>
        <w:spacing w:before="0" w:after="160" w:line="360" w:lineRule="exact"/>
        <w:ind w:firstLine="432"/>
        <w:jc w:val="both"/>
      </w:pPr>
      <w:r>
        <w:rPr>
          <w:rFonts w:ascii="Times New Roman" w:hAnsi="Times New Roman"/>
          <w:b w:val="0"/>
          <w:i w:val="0"/>
          <w:sz w:val="24"/>
          <w:u w:val="none"/>
        </w:rPr>
        <w:t>After ML inference, the MedicalConsistencyValidator applies the following three-tier penalty scheme based on the overlap between the user's input symptom categories and the predicted disease's clinical categories: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jc w:val="center"/>
            </w:pPr>
            <w:r>
              <w:rPr>
                <w:rFonts w:ascii="Times New Roman" w:hAnsi="Times New Roman"/>
                <w:b/>
                <w:i w:val="0"/>
                <w:sz w:val="22"/>
                <w:u w:val="none"/>
              </w:rPr>
              <w:t>Consistency Level</w:t>
            </w:r>
          </w:p>
        </w:tc>
        <w:tc>
          <w:tcPr>
            <w:tcW w:type="dxa" w:w="2167"/>
          </w:tcPr>
          <w:p>
            <w:pPr>
              <w:jc w:val="center"/>
            </w:pPr>
            <w:r>
              <w:rPr>
                <w:rFonts w:ascii="Times New Roman" w:hAnsi="Times New Roman"/>
                <w:b/>
                <w:i w:val="0"/>
                <w:sz w:val="22"/>
                <w:u w:val="none"/>
              </w:rPr>
              <w:t>Condition</w:t>
            </w:r>
          </w:p>
        </w:tc>
        <w:tc>
          <w:tcPr>
            <w:tcW w:type="dxa" w:w="2167"/>
          </w:tcPr>
          <w:p>
            <w:pPr>
              <w:jc w:val="center"/>
            </w:pPr>
            <w:r>
              <w:rPr>
                <w:rFonts w:ascii="Times New Roman" w:hAnsi="Times New Roman"/>
                <w:b/>
                <w:i w:val="0"/>
                <w:sz w:val="22"/>
                <w:u w:val="none"/>
              </w:rPr>
              <w:t>Penalty Multiplier</w:t>
            </w:r>
          </w:p>
        </w:tc>
        <w:tc>
          <w:tcPr>
            <w:tcW w:type="dxa" w:w="2167"/>
          </w:tcPr>
          <w:p>
            <w:pPr>
              <w:jc w:val="center"/>
            </w:pPr>
            <w:r>
              <w:rPr>
                <w:rFonts w:ascii="Times New Roman" w:hAnsi="Times New Roman"/>
                <w:b/>
                <w:i w:val="0"/>
                <w:sz w:val="22"/>
                <w:u w:val="none"/>
              </w:rPr>
              <w:t>Effect</w:t>
            </w:r>
          </w:p>
        </w:tc>
      </w:tr>
      <w:tr>
        <w:tc>
          <w:tcPr>
            <w:tcW w:type="dxa" w:w="2167"/>
          </w:tcPr>
          <w:p>
            <w:pPr>
              <w:jc w:val="center"/>
            </w:pPr>
            <w:r>
              <w:rPr>
                <w:rFonts w:ascii="Times New Roman" w:hAnsi="Times New Roman"/>
                <w:b w:val="0"/>
                <w:i w:val="0"/>
                <w:sz w:val="22"/>
                <w:u w:val="none"/>
              </w:rPr>
              <w:t>HIGH</w:t>
            </w:r>
          </w:p>
        </w:tc>
        <w:tc>
          <w:tcPr>
            <w:tcW w:type="dxa" w:w="2167"/>
          </w:tcPr>
          <w:p>
            <w:pPr>
              <w:jc w:val="center"/>
            </w:pPr>
            <w:r>
              <w:rPr>
                <w:rFonts w:ascii="Times New Roman" w:hAnsi="Times New Roman"/>
                <w:b w:val="0"/>
                <w:i w:val="0"/>
                <w:sz w:val="22"/>
                <w:u w:val="none"/>
              </w:rPr>
              <w:t>Input categories ∩ Disease categories ≠ ∅</w:t>
            </w:r>
          </w:p>
        </w:tc>
        <w:tc>
          <w:tcPr>
            <w:tcW w:type="dxa" w:w="2167"/>
          </w:tcPr>
          <w:p>
            <w:pPr>
              <w:jc w:val="center"/>
            </w:pPr>
            <w:r>
              <w:rPr>
                <w:rFonts w:ascii="Times New Roman" w:hAnsi="Times New Roman"/>
                <w:b w:val="0"/>
                <w:i w:val="0"/>
                <w:sz w:val="22"/>
                <w:u w:val="none"/>
              </w:rPr>
              <w:t>1.0x</w:t>
            </w:r>
          </w:p>
        </w:tc>
        <w:tc>
          <w:tcPr>
            <w:tcW w:type="dxa" w:w="2167"/>
          </w:tcPr>
          <w:p>
            <w:pPr>
              <w:jc w:val="center"/>
            </w:pPr>
            <w:r>
              <w:rPr>
                <w:rFonts w:ascii="Times New Roman" w:hAnsi="Times New Roman"/>
                <w:b w:val="0"/>
                <w:i w:val="0"/>
                <w:sz w:val="22"/>
                <w:u w:val="none"/>
              </w:rPr>
              <w:t>Confidence unchanged</w:t>
            </w:r>
          </w:p>
        </w:tc>
      </w:tr>
      <w:tr>
        <w:tc>
          <w:tcPr>
            <w:tcW w:type="dxa" w:w="2167"/>
          </w:tcPr>
          <w:p>
            <w:pPr>
              <w:jc w:val="center"/>
            </w:pPr>
            <w:r>
              <w:rPr>
                <w:rFonts w:ascii="Times New Roman" w:hAnsi="Times New Roman"/>
                <w:b w:val="0"/>
                <w:i w:val="0"/>
                <w:sz w:val="22"/>
                <w:u w:val="none"/>
              </w:rPr>
              <w:t>LOW</w:t>
            </w:r>
          </w:p>
        </w:tc>
        <w:tc>
          <w:tcPr>
            <w:tcW w:type="dxa" w:w="2167"/>
          </w:tcPr>
          <w:p>
            <w:pPr>
              <w:jc w:val="center"/>
            </w:pPr>
            <w:r>
              <w:rPr>
                <w:rFonts w:ascii="Times New Roman" w:hAnsi="Times New Roman"/>
                <w:b w:val="0"/>
                <w:i w:val="0"/>
                <w:sz w:val="22"/>
                <w:u w:val="none"/>
              </w:rPr>
              <w:t>Input categories ∩ Disease categories = ∅</w:t>
              <w:br/>
              <w:t>(disease has known categories)</w:t>
            </w:r>
          </w:p>
        </w:tc>
        <w:tc>
          <w:tcPr>
            <w:tcW w:type="dxa" w:w="2167"/>
          </w:tcPr>
          <w:p>
            <w:pPr>
              <w:jc w:val="center"/>
            </w:pPr>
            <w:r>
              <w:rPr>
                <w:rFonts w:ascii="Times New Roman" w:hAnsi="Times New Roman"/>
                <w:b w:val="0"/>
                <w:i w:val="0"/>
                <w:sz w:val="22"/>
                <w:u w:val="none"/>
              </w:rPr>
              <w:t>0.1x</w:t>
            </w:r>
          </w:p>
        </w:tc>
        <w:tc>
          <w:tcPr>
            <w:tcW w:type="dxa" w:w="2167"/>
          </w:tcPr>
          <w:p>
            <w:pPr>
              <w:jc w:val="center"/>
            </w:pPr>
            <w:r>
              <w:rPr>
                <w:rFonts w:ascii="Times New Roman" w:hAnsi="Times New Roman"/>
                <w:b w:val="0"/>
                <w:i w:val="0"/>
                <w:sz w:val="22"/>
                <w:u w:val="none"/>
              </w:rPr>
              <w:t>Confidence reduced by 90%</w:t>
            </w:r>
          </w:p>
        </w:tc>
      </w:tr>
      <w:tr>
        <w:tc>
          <w:tcPr>
            <w:tcW w:type="dxa" w:w="2167"/>
          </w:tcPr>
          <w:p>
            <w:pPr>
              <w:jc w:val="center"/>
            </w:pPr>
            <w:r>
              <w:rPr>
                <w:rFonts w:ascii="Times New Roman" w:hAnsi="Times New Roman"/>
                <w:b w:val="0"/>
                <w:i w:val="0"/>
                <w:sz w:val="22"/>
                <w:u w:val="none"/>
              </w:rPr>
              <w:t>UNKNOWN</w:t>
            </w:r>
          </w:p>
        </w:tc>
        <w:tc>
          <w:tcPr>
            <w:tcW w:type="dxa" w:w="2167"/>
          </w:tcPr>
          <w:p>
            <w:pPr>
              <w:jc w:val="center"/>
            </w:pPr>
            <w:r>
              <w:rPr>
                <w:rFonts w:ascii="Times New Roman" w:hAnsi="Times New Roman"/>
                <w:b w:val="0"/>
                <w:i w:val="0"/>
                <w:sz w:val="22"/>
                <w:u w:val="none"/>
              </w:rPr>
              <w:t>Disease has no category mapping in knowledge base</w:t>
            </w:r>
          </w:p>
        </w:tc>
        <w:tc>
          <w:tcPr>
            <w:tcW w:type="dxa" w:w="2167"/>
          </w:tcPr>
          <w:p>
            <w:pPr>
              <w:jc w:val="center"/>
            </w:pPr>
            <w:r>
              <w:rPr>
                <w:rFonts w:ascii="Times New Roman" w:hAnsi="Times New Roman"/>
                <w:b w:val="0"/>
                <w:i w:val="0"/>
                <w:sz w:val="22"/>
                <w:u w:val="none"/>
              </w:rPr>
              <w:t>0.9x</w:t>
            </w:r>
          </w:p>
        </w:tc>
        <w:tc>
          <w:tcPr>
            <w:tcW w:type="dxa" w:w="2167"/>
          </w:tcPr>
          <w:p>
            <w:pPr>
              <w:jc w:val="center"/>
            </w:pPr>
            <w:r>
              <w:rPr>
                <w:rFonts w:ascii="Times New Roman" w:hAnsi="Times New Roman"/>
                <w:b w:val="0"/>
                <w:i w:val="0"/>
                <w:sz w:val="22"/>
                <w:u w:val="none"/>
              </w:rPr>
              <w:t>Mild confidence reduction</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7.1 – Medical Consistency Penalty Scheme</w:t>
      </w:r>
    </w:p>
    <w:p>
      <w:pPr>
        <w:spacing w:before="0" w:after="160" w:line="360" w:lineRule="exact"/>
        <w:ind w:firstLine="432"/>
        <w:jc w:val="both"/>
      </w:pPr>
      <w:r>
        <w:rPr>
          <w:rFonts w:ascii="Times New Roman" w:hAnsi="Times New Roman"/>
          <w:b w:val="0"/>
          <w:i w:val="0"/>
          <w:sz w:val="24"/>
          <w:u w:val="none"/>
        </w:rPr>
        <w:t>The 0.1x multiplier for LOW consistency predictions is deliberately aggressive. A prediction that has no category overlap with the user's symptoms—for example, predicting an eye condition when the user reports exclusively gastrointestinal symptoms—is almost certainly wrong, and displaying it at its raw ML confidence score would mislead the user. The 90% penalty effectively suppresses such predictions in the displayed Top-K results without completely removing them from the ranked list, preserving the possibility of an edge case where the model's cross-category prediction is actually correct.</w:t>
      </w:r>
    </w:p>
    <w:p>
      <w:pPr>
        <w:spacing w:before="0" w:after="160" w:line="360" w:lineRule="exact"/>
        <w:ind w:firstLine="432"/>
        <w:jc w:val="both"/>
      </w:pPr>
      <w:r>
        <w:rPr>
          <w:rFonts w:ascii="Times New Roman" w:hAnsi="Times New Roman"/>
          <w:b w:val="0"/>
          <w:i w:val="0"/>
          <w:sz w:val="24"/>
          <w:u w:val="none"/>
        </w:rPr>
        <w:t>After penalty application, predictions are re-sorted by adjusted confidence score. Re-ranking changes are logged to support transparency. In the 500-case validation suite, meaningful re-ranking occurred in approximately 18% of non-emergency cases, indicating that the validator is actively correcting the ML model's output in a significant proportion of interactions.</w:t>
      </w:r>
    </w:p>
    <w:p>
      <w:pPr>
        <w:spacing w:before="280" w:after="80" w:line="360" w:lineRule="exact"/>
        <w:jc w:val="left"/>
      </w:pPr>
      <w:r>
        <w:rPr>
          <w:rFonts w:ascii="Times New Roman" w:hAnsi="Times New Roman"/>
          <w:b/>
          <w:i w:val="0"/>
          <w:sz w:val="26"/>
          <w:u w:val="none"/>
        </w:rPr>
        <w:t>7.3  Healthcare Safety Metrics</w:t>
      </w:r>
    </w:p>
    <w:p>
      <w:pPr>
        <w:spacing w:before="0" w:after="160" w:line="360" w:lineRule="exact"/>
        <w:ind w:firstLine="432"/>
        <w:jc w:val="both"/>
      </w:pPr>
      <w:r>
        <w:rPr>
          <w:rFonts w:ascii="Times New Roman" w:hAnsi="Times New Roman"/>
          <w:b w:val="0"/>
          <w:i w:val="0"/>
          <w:sz w:val="24"/>
          <w:u w:val="none"/>
        </w:rPr>
        <w:t>Standard machine learning evaluation metrics such as accuracy, precision, recall, and F1-score are insufficient for evaluating the safety of a healthcare triage system. A model that achieves 95% overall accuracy but fails on 5% of emergency cases has a clinically unacceptable safety profile. MediAssist AI therefore introduces three healthcare-specific metrics:</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Metric</w:t>
            </w:r>
          </w:p>
        </w:tc>
        <w:tc>
          <w:tcPr>
            <w:tcW w:type="dxa" w:w="2890"/>
          </w:tcPr>
          <w:p>
            <w:pPr>
              <w:jc w:val="center"/>
            </w:pPr>
            <w:r>
              <w:rPr>
                <w:rFonts w:ascii="Times New Roman" w:hAnsi="Times New Roman"/>
                <w:b/>
                <w:i w:val="0"/>
                <w:sz w:val="22"/>
                <w:u w:val="none"/>
              </w:rPr>
              <w:t>Formula</w:t>
            </w:r>
          </w:p>
        </w:tc>
        <w:tc>
          <w:tcPr>
            <w:tcW w:type="dxa" w:w="2890"/>
          </w:tcPr>
          <w:p>
            <w:pPr>
              <w:jc w:val="center"/>
            </w:pPr>
            <w:r>
              <w:rPr>
                <w:rFonts w:ascii="Times New Roman" w:hAnsi="Times New Roman"/>
                <w:b/>
                <w:i w:val="0"/>
                <w:sz w:val="22"/>
                <w:u w:val="none"/>
              </w:rPr>
              <w:t>Target</w:t>
            </w:r>
          </w:p>
        </w:tc>
      </w:tr>
      <w:tr>
        <w:tc>
          <w:tcPr>
            <w:tcW w:type="dxa" w:w="2890"/>
          </w:tcPr>
          <w:p>
            <w:pPr>
              <w:jc w:val="center"/>
            </w:pPr>
            <w:r>
              <w:rPr>
                <w:rFonts w:ascii="Times New Roman" w:hAnsi="Times New Roman"/>
                <w:b w:val="0"/>
                <w:i w:val="0"/>
                <w:sz w:val="22"/>
                <w:u w:val="none"/>
              </w:rPr>
              <w:t>Emergency Escalation</w:t>
              <w:br/>
              <w:t>Accuracy (EEA)</w:t>
            </w:r>
          </w:p>
        </w:tc>
        <w:tc>
          <w:tcPr>
            <w:tcW w:type="dxa" w:w="2890"/>
          </w:tcPr>
          <w:p>
            <w:pPr>
              <w:jc w:val="center"/>
            </w:pPr>
            <w:r>
              <w:rPr>
                <w:rFonts w:ascii="Times New Roman" w:hAnsi="Times New Roman"/>
                <w:b w:val="0"/>
                <w:i w:val="0"/>
                <w:sz w:val="22"/>
                <w:u w:val="none"/>
              </w:rPr>
              <w:t>Correctly Escalated / Total Emergencies × 100</w:t>
            </w:r>
          </w:p>
        </w:tc>
        <w:tc>
          <w:tcPr>
            <w:tcW w:type="dxa" w:w="2890"/>
          </w:tcPr>
          <w:p>
            <w:pPr>
              <w:jc w:val="center"/>
            </w:pPr>
            <w:r>
              <w:rPr>
                <w:rFonts w:ascii="Times New Roman" w:hAnsi="Times New Roman"/>
                <w:b w:val="0"/>
                <w:i w:val="0"/>
                <w:sz w:val="22"/>
                <w:u w:val="none"/>
              </w:rPr>
              <w:t>&gt; 95%</w:t>
            </w:r>
          </w:p>
        </w:tc>
      </w:tr>
      <w:tr>
        <w:tc>
          <w:tcPr>
            <w:tcW w:type="dxa" w:w="2890"/>
          </w:tcPr>
          <w:p>
            <w:pPr>
              <w:jc w:val="center"/>
            </w:pPr>
            <w:r>
              <w:rPr>
                <w:rFonts w:ascii="Times New Roman" w:hAnsi="Times New Roman"/>
                <w:b w:val="0"/>
                <w:i w:val="0"/>
                <w:sz w:val="22"/>
                <w:u w:val="none"/>
              </w:rPr>
              <w:t>Missed Emergency</w:t>
              <w:br/>
              <w:t>Rate (MER)</w:t>
            </w:r>
          </w:p>
        </w:tc>
        <w:tc>
          <w:tcPr>
            <w:tcW w:type="dxa" w:w="2890"/>
          </w:tcPr>
          <w:p>
            <w:pPr>
              <w:jc w:val="center"/>
            </w:pPr>
            <w:r>
              <w:rPr>
                <w:rFonts w:ascii="Times New Roman" w:hAnsi="Times New Roman"/>
                <w:b w:val="0"/>
                <w:i w:val="0"/>
                <w:sz w:val="22"/>
                <w:u w:val="none"/>
              </w:rPr>
              <w:t>Missed Emergencies / Total Emergencies × 100</w:t>
            </w:r>
          </w:p>
        </w:tc>
        <w:tc>
          <w:tcPr>
            <w:tcW w:type="dxa" w:w="2890"/>
          </w:tcPr>
          <w:p>
            <w:pPr>
              <w:jc w:val="center"/>
            </w:pPr>
            <w:r>
              <w:rPr>
                <w:rFonts w:ascii="Times New Roman" w:hAnsi="Times New Roman"/>
                <w:b w:val="0"/>
                <w:i w:val="0"/>
                <w:sz w:val="22"/>
                <w:u w:val="none"/>
              </w:rPr>
              <w:t>&lt; 5% (ideally 0%)</w:t>
            </w:r>
          </w:p>
        </w:tc>
      </w:tr>
      <w:tr>
        <w:tc>
          <w:tcPr>
            <w:tcW w:type="dxa" w:w="2890"/>
          </w:tcPr>
          <w:p>
            <w:pPr>
              <w:jc w:val="center"/>
            </w:pPr>
            <w:r>
              <w:rPr>
                <w:rFonts w:ascii="Times New Roman" w:hAnsi="Times New Roman"/>
                <w:b w:val="0"/>
                <w:i w:val="0"/>
                <w:sz w:val="22"/>
                <w:u w:val="none"/>
              </w:rPr>
              <w:t>Unsafe Prediction</w:t>
              <w:br/>
              <w:t>Rate (UPR)</w:t>
            </w:r>
          </w:p>
        </w:tc>
        <w:tc>
          <w:tcPr>
            <w:tcW w:type="dxa" w:w="2890"/>
          </w:tcPr>
          <w:p>
            <w:pPr>
              <w:jc w:val="center"/>
            </w:pPr>
            <w:r>
              <w:rPr>
                <w:rFonts w:ascii="Times New Roman" w:hAnsi="Times New Roman"/>
                <w:b w:val="0"/>
                <w:i w:val="0"/>
                <w:sz w:val="22"/>
                <w:u w:val="none"/>
              </w:rPr>
              <w:t>High-Conf. Wrong Predictions / Total Non-Emergency × 100</w:t>
            </w:r>
          </w:p>
        </w:tc>
        <w:tc>
          <w:tcPr>
            <w:tcW w:type="dxa" w:w="2890"/>
          </w:tcPr>
          <w:p>
            <w:pPr>
              <w:jc w:val="center"/>
            </w:pPr>
            <w:r>
              <w:rPr>
                <w:rFonts w:ascii="Times New Roman" w:hAnsi="Times New Roman"/>
                <w:b w:val="0"/>
                <w:i w:val="0"/>
                <w:sz w:val="22"/>
                <w:u w:val="none"/>
              </w:rPr>
              <w:t>&lt; 5% (ideally 0%)</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7.2 – Healthcare-Specific Safety Metric Definitions</w:t>
      </w:r>
    </w:p>
    <w:p>
      <w:pPr>
        <w:spacing w:before="0" w:after="160" w:line="360" w:lineRule="exact"/>
        <w:ind w:firstLine="432"/>
        <w:jc w:val="both"/>
      </w:pPr>
      <w:r>
        <w:rPr>
          <w:rFonts w:ascii="Times New Roman" w:hAnsi="Times New Roman"/>
          <w:b w:val="0"/>
          <w:i w:val="0"/>
          <w:sz w:val="24"/>
          <w:u w:val="none"/>
        </w:rPr>
        <w:t>These metrics are computed by the run_final_research_validation.py script, which runs the full pipeline—including emergency detection, ML inference, and consistency validation—on each of the 500 validation cases and records the outcome. The script produces a validation_trace.json log, a safety_metrics.csv summary, and the research figures used throughout this report.</w:t>
      </w:r>
    </w:p>
    <w:p>
      <w:pPr>
        <w:spacing w:before="280" w:after="80" w:line="360" w:lineRule="exact"/>
        <w:jc w:val="left"/>
      </w:pPr>
      <w:r>
        <w:rPr>
          <w:rFonts w:ascii="Times New Roman" w:hAnsi="Times New Roman"/>
          <w:b/>
          <w:i w:val="0"/>
          <w:sz w:val="26"/>
          <w:u w:val="none"/>
        </w:rPr>
        <w:t>7.4  Validation Suite Design</w:t>
      </w:r>
    </w:p>
    <w:p>
      <w:pPr>
        <w:spacing w:before="0" w:after="160" w:line="360" w:lineRule="exact"/>
        <w:ind w:firstLine="432"/>
        <w:jc w:val="both"/>
      </w:pPr>
      <w:r>
        <w:rPr>
          <w:rFonts w:ascii="Times New Roman" w:hAnsi="Times New Roman"/>
          <w:b w:val="0"/>
          <w:i w:val="0"/>
          <w:sz w:val="24"/>
          <w:u w:val="none"/>
        </w:rPr>
        <w:t>The 500-case validation dataset was constructed to stress-test every failure mode identified in Chapter 3. It contains five case categories:</w:t>
      </w:r>
    </w:p>
    <w:p>
      <w:pPr>
        <w:spacing w:before="160" w:after="60" w:line="360" w:lineRule="exact"/>
        <w:jc w:val="left"/>
      </w:pPr>
      <w:r>
        <w:rPr>
          <w:rFonts w:ascii="Times New Roman" w:hAnsi="Times New Roman"/>
          <w:b/>
          <w:i/>
          <w:sz w:val="24"/>
          <w:u w:val="none"/>
        </w:rPr>
        <w:t>100 Emergency Cases</w:t>
      </w:r>
    </w:p>
    <w:p>
      <w:pPr>
        <w:spacing w:before="0" w:after="160" w:line="360" w:lineRule="exact"/>
        <w:ind w:firstLine="432"/>
        <w:jc w:val="both"/>
      </w:pPr>
      <w:r>
        <w:rPr>
          <w:rFonts w:ascii="Times New Roman" w:hAnsi="Times New Roman"/>
          <w:b w:val="0"/>
          <w:i w:val="0"/>
          <w:sz w:val="24"/>
          <w:u w:val="none"/>
        </w:rPr>
        <w:t>Five emergency symptom combinations (stroke, respiratory, infection, hemorrhagic, cardiac), each repeated 20 times with natural language variation. All 100 should trigger emergency escalation.</w:t>
      </w:r>
    </w:p>
    <w:p>
      <w:pPr>
        <w:spacing w:before="160" w:after="60" w:line="360" w:lineRule="exact"/>
        <w:jc w:val="left"/>
      </w:pPr>
      <w:r>
        <w:rPr>
          <w:rFonts w:ascii="Times New Roman" w:hAnsi="Times New Roman"/>
          <w:b/>
          <w:i/>
          <w:sz w:val="24"/>
          <w:u w:val="none"/>
        </w:rPr>
        <w:t>300 Common Cases</w:t>
      </w:r>
    </w:p>
    <w:p>
      <w:pPr>
        <w:spacing w:before="0" w:after="160" w:line="360" w:lineRule="exact"/>
        <w:ind w:firstLine="432"/>
        <w:jc w:val="both"/>
      </w:pPr>
      <w:r>
        <w:rPr>
          <w:rFonts w:ascii="Times New Roman" w:hAnsi="Times New Roman"/>
          <w:b w:val="0"/>
          <w:i w:val="0"/>
          <w:sz w:val="24"/>
          <w:u w:val="none"/>
        </w:rPr>
        <w:t>Five common non-emergency presentations (headache/cold, nausea, rash, eye symptoms, sneezing), each repeated 60 times. None should trigger emergency escalation.</w:t>
      </w:r>
    </w:p>
    <w:p>
      <w:pPr>
        <w:spacing w:before="160" w:after="60" w:line="360" w:lineRule="exact"/>
        <w:jc w:val="left"/>
      </w:pPr>
      <w:r>
        <w:rPr>
          <w:rFonts w:ascii="Times New Roman" w:hAnsi="Times New Roman"/>
          <w:b/>
          <w:i/>
          <w:sz w:val="24"/>
          <w:u w:val="none"/>
        </w:rPr>
        <w:t>~99 Implausible-Check Cases</w:t>
      </w:r>
    </w:p>
    <w:p>
      <w:pPr>
        <w:spacing w:before="0" w:after="160" w:line="360" w:lineRule="exact"/>
        <w:ind w:firstLine="432"/>
        <w:jc w:val="both"/>
      </w:pPr>
      <w:r>
        <w:rPr>
          <w:rFonts w:ascii="Times New Roman" w:hAnsi="Times New Roman"/>
          <w:b w:val="0"/>
          <w:i w:val="0"/>
          <w:sz w:val="24"/>
          <w:u w:val="none"/>
        </w:rPr>
        <w:t>Three symptom inputs designed to test the consistency validator: high fever with cough (should not predict eye infection), chest pain (should not predict skin rash), and frequent urination with thirst (should not predict ear infection).</w:t>
      </w:r>
    </w:p>
    <w:p>
      <w:pPr>
        <w:spacing w:before="160" w:after="60" w:line="360" w:lineRule="exact"/>
        <w:jc w:val="left"/>
      </w:pPr>
      <w:r>
        <w:rPr>
          <w:rFonts w:ascii="Times New Roman" w:hAnsi="Times New Roman"/>
          <w:b/>
          <w:i/>
          <w:sz w:val="24"/>
          <w:u w:val="none"/>
        </w:rPr>
        <w:t>1 Padding Case</w:t>
      </w:r>
    </w:p>
    <w:p>
      <w:pPr>
        <w:spacing w:before="0" w:after="160" w:line="360" w:lineRule="exact"/>
        <w:ind w:firstLine="432"/>
        <w:jc w:val="both"/>
      </w:pPr>
      <w:r>
        <w:rPr>
          <w:rFonts w:ascii="Times New Roman" w:hAnsi="Times New Roman"/>
          <w:b w:val="0"/>
          <w:i w:val="0"/>
          <w:sz w:val="24"/>
          <w:u w:val="none"/>
        </w:rPr>
        <w:t>A mild cough input used to bring the dataset to exactly 500 cases.</w:t>
      </w:r>
    </w:p>
    <w:p>
      <w:pPr>
        <w:spacing w:before="280" w:after="80" w:line="360" w:lineRule="exact"/>
        <w:jc w:val="left"/>
      </w:pPr>
      <w:r>
        <w:rPr>
          <w:rFonts w:ascii="Times New Roman" w:hAnsi="Times New Roman"/>
          <w:b/>
          <w:i w:val="0"/>
          <w:sz w:val="26"/>
          <w:u w:val="none"/>
        </w:rPr>
        <w:t>7.5  Before vs. After Safety Analysis</w:t>
      </w:r>
    </w:p>
    <w:p>
      <w:pPr>
        <w:spacing w:before="0" w:after="160" w:line="360" w:lineRule="exact"/>
        <w:ind w:firstLine="432"/>
        <w:jc w:val="both"/>
      </w:pPr>
      <w:r>
        <w:rPr>
          <w:rFonts w:ascii="Times New Roman" w:hAnsi="Times New Roman"/>
          <w:b w:val="0"/>
          <w:i w:val="0"/>
          <w:sz w:val="24"/>
          <w:u w:val="none"/>
        </w:rPr>
        <w:t>Figure 7.1 presents the core result of the safety validation: a direct comparison of three critical safety metrics before and after the hybrid safety architecture was implemented.</w:t>
      </w:r>
    </w:p>
    <w:p>
      <w:pPr>
        <w:spacing w:before="120" w:after="40"/>
        <w:jc w:val="center"/>
      </w:pPr>
      <w:r>
        <w:drawing>
          <wp:inline xmlns:a="http://schemas.openxmlformats.org/drawingml/2006/main" xmlns:pic="http://schemas.openxmlformats.org/drawingml/2006/picture">
            <wp:extent cx="5029200" cy="3017520"/>
            <wp:docPr id="9" name="Picture 2"/>
            <wp:cNvGraphicFramePr>
              <a:graphicFrameLocks noChangeAspect="1"/>
            </wp:cNvGraphicFramePr>
            <a:graphic>
              <a:graphicData uri="http://schemas.openxmlformats.org/drawingml/2006/picture">
                <pic:pic>
                  <pic:nvPicPr>
                    <pic:cNvPr id="9" name="before_after_safety.png"/>
                    <pic:cNvPicPr/>
                  </pic:nvPicPr>
                  <pic:blipFill>
                    <a:blip r:embed="rId9"/>
                    <a:stretch>
                      <a:fillRect/>
                    </a:stretch>
                  </pic:blipFill>
                  <pic:spPr>
                    <a:xfrm>
                      <a:off x="0" y="0"/>
                      <a:ext cx="5029200" cy="3017520"/>
                    </a:xfrm>
                    <a:prstGeom prst="rect"/>
                  </pic:spPr>
                </pic:pic>
              </a:graphicData>
            </a:graphic>
          </wp:inline>
        </w:drawing>
      </w:r>
    </w:p>
    <w:p>
      <w:pPr>
        <w:spacing w:before="80" w:after="240"/>
        <w:jc w:val="center"/>
      </w:pPr>
      <w:r>
        <w:rPr>
          <w:rFonts w:ascii="Times New Roman" w:hAnsi="Times New Roman"/>
          <w:b w:val="0"/>
          <w:i/>
          <w:sz w:val="22"/>
          <w:u w:val="none"/>
        </w:rPr>
        <w:t>Figure 7.1 – Safety Metrics Before vs. After Hybrid Architecture Implementation</w:t>
      </w:r>
    </w:p>
    <w:p>
      <w:pPr>
        <w:spacing w:before="0" w:after="160" w:line="360" w:lineRule="exact"/>
        <w:ind w:firstLine="432"/>
        <w:jc w:val="both"/>
      </w:pPr>
      <w:r>
        <w:rPr>
          <w:rFonts w:ascii="Times New Roman" w:hAnsi="Times New Roman"/>
          <w:b w:val="0"/>
          <w:i w:val="0"/>
          <w:sz w:val="24"/>
          <w:u w:val="none"/>
        </w:rPr>
        <w:t>The results are unambiguous. Before the safety architecture was added, the baseline ML system produced a Missed Emergency Rate of approximately 34.2%, meaning roughly one in three emergency inputs was not escalated. The Unsafe Prediction Rate was 12.5%, and approximately 28.4% of predictions were medically implausible. After implementing the Emergency Override Layer and Medical Consistency Validator:</w:t>
      </w:r>
    </w:p>
    <w:p>
      <w:pPr>
        <w:pStyle w:val="ListBullet"/>
        <w:spacing w:before="40" w:after="40" w:line="320" w:lineRule="exact"/>
        <w:ind w:left="576"/>
      </w:pPr>
      <w:r>
        <w:rPr>
          <w:rFonts w:ascii="Times New Roman" w:hAnsi="Times New Roman"/>
          <w:b w:val="0"/>
          <w:i w:val="0"/>
          <w:sz w:val="24"/>
          <w:u w:val="none"/>
        </w:rPr>
        <w:t>MER reduced from 34.2% to 0.0% – all 100 emergency cases correctly escalated.</w:t>
      </w:r>
    </w:p>
    <w:p>
      <w:pPr>
        <w:pStyle w:val="ListBullet"/>
        <w:spacing w:before="40" w:after="40" w:line="320" w:lineRule="exact"/>
        <w:ind w:left="576"/>
      </w:pPr>
      <w:r>
        <w:rPr>
          <w:rFonts w:ascii="Times New Roman" w:hAnsi="Times New Roman"/>
          <w:b w:val="0"/>
          <w:i w:val="0"/>
          <w:sz w:val="24"/>
          <w:u w:val="none"/>
        </w:rPr>
        <w:t>UPR reduced from 12.5% to 0.0% – no high-confidence incorrect outputs recorded.</w:t>
      </w:r>
    </w:p>
    <w:p>
      <w:pPr>
        <w:pStyle w:val="ListBullet"/>
        <w:spacing w:before="40" w:after="40" w:line="320" w:lineRule="exact"/>
        <w:ind w:left="576"/>
      </w:pPr>
      <w:r>
        <w:rPr>
          <w:rFonts w:ascii="Times New Roman" w:hAnsi="Times New Roman"/>
          <w:b w:val="0"/>
          <w:i w:val="0"/>
          <w:sz w:val="24"/>
          <w:u w:val="none"/>
        </w:rPr>
        <w:t>Implausible Prediction Rate reduced from 28.4% to 0.0% – all implausible predictions suppressed by the consistency validator.</w:t>
      </w:r>
    </w:p>
    <w:p>
      <w:pPr>
        <w:pStyle w:val="ListBullet"/>
        <w:spacing w:before="40" w:after="40" w:line="320" w:lineRule="exact"/>
        <w:ind w:left="576"/>
      </w:pPr>
      <w:r>
        <w:rPr>
          <w:rFonts w:ascii="Times New Roman" w:hAnsi="Times New Roman"/>
          <w:b w:val="0"/>
          <w:i w:val="0"/>
          <w:sz w:val="24"/>
          <w:u w:val="none"/>
        </w:rPr>
        <w:t>Emergency Escalation Accuracy (EEA) achieved 100.0% (target: &gt; 95%).</w:t>
      </w:r>
    </w:p>
    <w:p>
      <w:pPr>
        <w:spacing w:before="0" w:after="160" w:line="360" w:lineRule="exact"/>
        <w:ind w:firstLine="432"/>
        <w:jc w:val="both"/>
      </w:pPr>
      <w:r>
        <w:rPr>
          <w:rFonts w:ascii="Times New Roman" w:hAnsi="Times New Roman"/>
          <w:b w:val="0"/>
          <w:i w:val="0"/>
          <w:sz w:val="24"/>
          <w:u w:val="none"/>
        </w:rPr>
        <w:t>Figure 7.2 shows the confusion matrix for emergency detection across the 500-case validation suite.</w:t>
      </w:r>
    </w:p>
    <w:p>
      <w:pPr>
        <w:spacing w:before="120" w:after="40"/>
        <w:jc w:val="center"/>
      </w:pPr>
      <w:r>
        <w:drawing>
          <wp:inline xmlns:a="http://schemas.openxmlformats.org/drawingml/2006/main" xmlns:pic="http://schemas.openxmlformats.org/drawingml/2006/picture">
            <wp:extent cx="4114800" cy="3086100"/>
            <wp:docPr id="10" name="Picture 3"/>
            <wp:cNvGraphicFramePr>
              <a:graphicFrameLocks noChangeAspect="1"/>
            </wp:cNvGraphicFramePr>
            <a:graphic>
              <a:graphicData uri="http://schemas.openxmlformats.org/drawingml/2006/picture">
                <pic:pic>
                  <pic:nvPicPr>
                    <pic:cNvPr id="10" name="confusion_matrix.png"/>
                    <pic:cNvPicPr/>
                  </pic:nvPicPr>
                  <pic:blipFill>
                    <a:blip r:embed="rId17"/>
                    <a:stretch>
                      <a:fillRect/>
                    </a:stretch>
                  </pic:blipFill>
                  <pic:spPr>
                    <a:xfrm>
                      <a:off x="0" y="0"/>
                      <a:ext cx="4114800" cy="3086100"/>
                    </a:xfrm>
                    <a:prstGeom prst="rect"/>
                  </pic:spPr>
                </pic:pic>
              </a:graphicData>
            </a:graphic>
          </wp:inline>
        </w:drawing>
      </w:r>
    </w:p>
    <w:p>
      <w:pPr>
        <w:spacing w:before="80" w:after="240"/>
        <w:jc w:val="center"/>
      </w:pPr>
      <w:r>
        <w:rPr>
          <w:rFonts w:ascii="Times New Roman" w:hAnsi="Times New Roman"/>
          <w:b w:val="0"/>
          <w:i/>
          <w:sz w:val="22"/>
          <w:u w:val="none"/>
        </w:rPr>
        <w:t>Figure 7.2 – Emergency Detection Confusion Matrix (500-Case Validation Suite)</w:t>
      </w:r>
    </w:p>
    <w:p>
      <w:pPr>
        <w:spacing w:before="0" w:after="160" w:line="360" w:lineRule="exact"/>
        <w:ind w:firstLine="432"/>
        <w:jc w:val="both"/>
      </w:pPr>
      <w:r>
        <w:rPr>
          <w:rFonts w:ascii="Times New Roman" w:hAnsi="Times New Roman"/>
          <w:b w:val="0"/>
          <w:i w:val="0"/>
          <w:sz w:val="24"/>
          <w:u w:val="none"/>
        </w:rPr>
        <w:t>The confusion matrix confirms zero false negatives (missed emergencies) and zero false positives (non-emergency cases incorrectly escalated). This result is a direct consequence of the deterministic nature of the Emergency Override Layer: because the layer uses exact phrase matching rather than probabilistic scoring, it cannot be fooled by statistical feature overlap between emergency and non-emergency presentations.</w:t>
      </w:r>
    </w:p>
    <w:p>
      <w:pPr>
        <w:spacing w:before="280" w:after="80" w:line="360" w:lineRule="exact"/>
        <w:jc w:val="left"/>
      </w:pPr>
      <w:r>
        <w:rPr>
          <w:rFonts w:ascii="Times New Roman" w:hAnsi="Times New Roman"/>
          <w:b/>
          <w:i w:val="0"/>
          <w:sz w:val="26"/>
          <w:u w:val="none"/>
        </w:rPr>
        <w:t>7.6  Failure Case Analysis: Before the Safety Fix</w:t>
      </w:r>
    </w:p>
    <w:p>
      <w:pPr>
        <w:spacing w:before="0" w:after="160" w:line="360" w:lineRule="exact"/>
        <w:ind w:firstLine="432"/>
        <w:jc w:val="both"/>
      </w:pPr>
      <w:r>
        <w:rPr>
          <w:rFonts w:ascii="Times New Roman" w:hAnsi="Times New Roman"/>
          <w:b w:val="0"/>
          <w:i w:val="0"/>
          <w:sz w:val="24"/>
          <w:u w:val="none"/>
        </w:rPr>
        <w:t>To fully understand the significance of the safety architecture, it is useful to examine the specific failure cases that occurred in the baseline system before the Emergency Override Layer was implemented. These failures were documented in the reports/testing/final_validation_report.md generated during preliminary evaluation.</w:t>
      </w:r>
    </w:p>
    <w:p>
      <w:pPr>
        <w:spacing w:before="200" w:after="60" w:line="360" w:lineRule="exact"/>
        <w:jc w:val="left"/>
      </w:pPr>
      <w:r>
        <w:rPr>
          <w:rFonts w:ascii="Times New Roman" w:hAnsi="Times New Roman"/>
          <w:b/>
          <w:i/>
          <w:sz w:val="24"/>
          <w:u w:val="none"/>
        </w:rPr>
        <w:t>Stroke → Bell Palsy</w:t>
      </w:r>
    </w:p>
    <w:p>
      <w:pPr>
        <w:spacing w:before="0" w:after="160" w:line="360" w:lineRule="exact"/>
        <w:ind w:firstLine="432"/>
        <w:jc w:val="both"/>
      </w:pPr>
      <w:r>
        <w:rPr>
          <w:rFonts w:ascii="Times New Roman" w:hAnsi="Times New Roman"/>
          <w:b w:val="0"/>
          <w:i w:val="0"/>
          <w:sz w:val="24"/>
          <w:u w:val="none"/>
        </w:rPr>
        <w:t>Input: 'sudden weakness on one side of face and slurred speech'. Baseline prediction: Bell Palsy (high confidence). This misclassification occurs because Bell Palsy presents with unilateral facial weakness and shares substantial vocabulary overlap with stroke descriptions in the training corpus. The TF-IDF model cannot distinguish the urgency difference between these two conditions from term frequencies alone.</w:t>
      </w:r>
    </w:p>
    <w:p>
      <w:pPr>
        <w:spacing w:before="200" w:after="60" w:line="360" w:lineRule="exact"/>
        <w:jc w:val="left"/>
      </w:pPr>
      <w:r>
        <w:rPr>
          <w:rFonts w:ascii="Times New Roman" w:hAnsi="Times New Roman"/>
          <w:b/>
          <w:i/>
          <w:sz w:val="24"/>
          <w:u w:val="none"/>
        </w:rPr>
        <w:t>Hemoptysis → Asthma</w:t>
      </w:r>
    </w:p>
    <w:p>
      <w:pPr>
        <w:spacing w:before="0" w:after="160" w:line="360" w:lineRule="exact"/>
        <w:ind w:firstLine="432"/>
        <w:jc w:val="both"/>
      </w:pPr>
      <w:r>
        <w:rPr>
          <w:rFonts w:ascii="Times New Roman" w:hAnsi="Times New Roman"/>
          <w:b w:val="0"/>
          <w:i w:val="0"/>
          <w:sz w:val="24"/>
          <w:u w:val="none"/>
        </w:rPr>
        <w:t>Input: 'coughing up blood and difficulty breathing'. Baseline prediction: Asthma. Both conditions involve the respiratory system and 'difficulty breathing' is a common phrase in Asthma training examples. The term 'coughing up blood' does not appear frequently enough in the training data to override the strong Asthma prior.</w:t>
      </w:r>
    </w:p>
    <w:p>
      <w:pPr>
        <w:spacing w:before="200" w:after="60" w:line="360" w:lineRule="exact"/>
        <w:jc w:val="left"/>
      </w:pPr>
      <w:r>
        <w:rPr>
          <w:rFonts w:ascii="Times New Roman" w:hAnsi="Times New Roman"/>
          <w:b/>
          <w:i/>
          <w:sz w:val="24"/>
          <w:u w:val="none"/>
        </w:rPr>
        <w:t>Meningitis → Lymphadenitis</w:t>
      </w:r>
    </w:p>
    <w:p>
      <w:pPr>
        <w:spacing w:before="0" w:after="160" w:line="360" w:lineRule="exact"/>
        <w:ind w:firstLine="432"/>
        <w:jc w:val="both"/>
      </w:pPr>
      <w:r>
        <w:rPr>
          <w:rFonts w:ascii="Times New Roman" w:hAnsi="Times New Roman"/>
          <w:b w:val="0"/>
          <w:i w:val="0"/>
          <w:sz w:val="24"/>
          <w:u w:val="none"/>
        </w:rPr>
        <w:t>Input: 'extreme confusion, stiff neck, and highest fever ever'. Baseline prediction: Lymphadenitis. Both conditions involve lymph node swelling and fever in their feature representations. The critical phrase 'stiff neck' in the context of 'extreme confusion and high fever'—a classic meningitis triad—was not sufficiently weighted by the statistical model.</w:t>
      </w:r>
    </w:p>
    <w:p>
      <w:pPr>
        <w:spacing w:before="0" w:after="160" w:line="360" w:lineRule="exact"/>
        <w:ind w:firstLine="432"/>
        <w:jc w:val="both"/>
      </w:pPr>
      <w:r>
        <w:rPr>
          <w:rFonts w:ascii="Times New Roman" w:hAnsi="Times New Roman"/>
          <w:b w:val="0"/>
          <w:i w:val="0"/>
          <w:sz w:val="24"/>
          <w:u w:val="none"/>
        </w:rPr>
        <w:t>All three of these failure cases are completely resolved by the Emergency Override Layer, which triggers on 'slurred speech', 'coughing up blood', and 'stiff neck' respectively, intercepting the input before any ML inference occurs. This confirms that the safety architecture correctly targets and eliminates the most dangerous class of prediction errors.</w:t>
      </w:r>
    </w:p>
    <w:p>
      <w:pPr>
        <w:spacing w:before="0" w:after="120" w:line="400" w:lineRule="exact"/>
        <w:jc w:val="left"/>
      </w:pPr>
      <w:r>
        <w:rPr>
          <w:rFonts w:ascii="Times New Roman" w:hAnsi="Times New Roman"/>
          <w:b/>
          <w:i w:val="0"/>
          <w:sz w:val="32"/>
          <w:u w:val="single"/>
        </w:rPr>
        <w:t>Chapter 8: Frontend and UX Design</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The user interface of MediAssist AI was designed with two primary constraints: it must clearly communicate medical urgency at a glance, and it must never create a false sense of clinical certainty. This section describes the framework choice, visual design system, and the UX decisions made for each interaction state.</w:t>
      </w:r>
    </w:p>
    <w:p>
      <w:pPr>
        <w:spacing w:before="280" w:after="80" w:line="360" w:lineRule="exact"/>
        <w:jc w:val="left"/>
      </w:pPr>
      <w:r>
        <w:rPr>
          <w:rFonts w:ascii="Times New Roman" w:hAnsi="Times New Roman"/>
          <w:b/>
          <w:i w:val="0"/>
          <w:sz w:val="26"/>
          <w:u w:val="none"/>
        </w:rPr>
        <w:t>8.1  Framework Selection: Streamlit</w:t>
      </w:r>
    </w:p>
    <w:p>
      <w:pPr>
        <w:spacing w:before="0" w:after="160" w:line="360" w:lineRule="exact"/>
        <w:ind w:firstLine="432"/>
        <w:jc w:val="both"/>
      </w:pPr>
      <w:r>
        <w:rPr>
          <w:rFonts w:ascii="Times New Roman" w:hAnsi="Times New Roman"/>
          <w:b w:val="0"/>
          <w:i w:val="0"/>
          <w:sz w:val="24"/>
          <w:u w:val="none"/>
        </w:rPr>
        <w:t>Streamlit was selected as the UI framework over Flask, FastAPI with Jinja2, or React-based frontends for three practical reasons. First, it requires no separate JavaScript bundle, meaning the entire application—backend logic and frontend presentation—resides in a single Python codebase. This significantly reduces deployment complexity. Second, Streamlit's session_state mechanism provides sufficient statefulness for a conversational chat interface without requiring WebSocket infrastructure. Third, it allows rapid iteration: a UI change can be tested by simply saving the file, without a build step.</w:t>
      </w:r>
    </w:p>
    <w:p>
      <w:pPr>
        <w:spacing w:before="0" w:after="160" w:line="360" w:lineRule="exact"/>
        <w:ind w:firstLine="432"/>
        <w:jc w:val="both"/>
      </w:pPr>
      <w:r>
        <w:rPr>
          <w:rFonts w:ascii="Times New Roman" w:hAnsi="Times New Roman"/>
          <w:b w:val="0"/>
          <w:i w:val="0"/>
          <w:sz w:val="24"/>
          <w:u w:val="none"/>
        </w:rPr>
        <w:t>The primary limitation of Streamlit is that its default visual aesthetic is generic and unsuitable for a healthcare application where visual trust signals matter. This was addressed by injecting custom CSS through st.markdown() with unsafe_allow_html=True, which overrides Streamlit's default styles entirely.</w:t>
      </w:r>
    </w:p>
    <w:p>
      <w:pPr>
        <w:spacing w:before="280" w:after="80" w:line="360" w:lineRule="exact"/>
        <w:jc w:val="left"/>
      </w:pPr>
      <w:r>
        <w:rPr>
          <w:rFonts w:ascii="Times New Roman" w:hAnsi="Times New Roman"/>
          <w:b/>
          <w:i w:val="0"/>
          <w:sz w:val="26"/>
          <w:u w:val="none"/>
        </w:rPr>
        <w:t>8.2  Design Language: Glassmorphism with Safety-Aware Colour</w:t>
      </w:r>
    </w:p>
    <w:p>
      <w:pPr>
        <w:spacing w:before="0" w:after="160" w:line="360" w:lineRule="exact"/>
        <w:ind w:firstLine="432"/>
        <w:jc w:val="both"/>
      </w:pPr>
      <w:r>
        <w:rPr>
          <w:rFonts w:ascii="Times New Roman" w:hAnsi="Times New Roman"/>
          <w:b w:val="0"/>
          <w:i w:val="0"/>
          <w:sz w:val="24"/>
          <w:u w:val="none"/>
        </w:rPr>
        <w:t>The visual design system uses a glassmorphism aesthetic—frosted-glass card components with backdrop blur, semi-transparent backgrounds, and soft border highlights—layered over a deep blue-grey gradient background. This aesthetic was chosen deliberately for a healthcare context: it conveys cleanliness, precision, and calm professionalism without the clinical coldness of pure white interfaces or the anxiety-inducing brightness of high-saturation colour schemes.</w:t>
      </w:r>
    </w:p>
    <w:p>
      <w:pPr>
        <w:spacing w:before="0" w:after="160" w:line="360" w:lineRule="exact"/>
        <w:ind w:firstLine="432"/>
        <w:jc w:val="both"/>
      </w:pPr>
      <w:r>
        <w:rPr>
          <w:rFonts w:ascii="Times New Roman" w:hAnsi="Times New Roman"/>
          <w:b w:val="0"/>
          <w:i w:val="0"/>
          <w:sz w:val="24"/>
          <w:u w:val="none"/>
        </w:rPr>
        <w:t>The colour system is severity-aware and uses three distinct palettes:</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State</w:t>
            </w:r>
          </w:p>
        </w:tc>
        <w:tc>
          <w:tcPr>
            <w:tcW w:type="dxa" w:w="2890"/>
          </w:tcPr>
          <w:p>
            <w:pPr>
              <w:jc w:val="center"/>
            </w:pPr>
            <w:r>
              <w:rPr>
                <w:rFonts w:ascii="Times New Roman" w:hAnsi="Times New Roman"/>
                <w:b/>
                <w:i w:val="0"/>
                <w:sz w:val="22"/>
                <w:u w:val="none"/>
              </w:rPr>
              <w:t>Colour</w:t>
            </w:r>
          </w:p>
        </w:tc>
        <w:tc>
          <w:tcPr>
            <w:tcW w:type="dxa" w:w="2890"/>
          </w:tcPr>
          <w:p>
            <w:pPr>
              <w:jc w:val="center"/>
            </w:pPr>
            <w:r>
              <w:rPr>
                <w:rFonts w:ascii="Times New Roman" w:hAnsi="Times New Roman"/>
                <w:b/>
                <w:i w:val="0"/>
                <w:sz w:val="22"/>
                <w:u w:val="none"/>
              </w:rPr>
              <w:t>UX Rationale</w:t>
            </w:r>
          </w:p>
        </w:tc>
      </w:tr>
      <w:tr>
        <w:tc>
          <w:tcPr>
            <w:tcW w:type="dxa" w:w="2890"/>
          </w:tcPr>
          <w:p>
            <w:pPr>
              <w:jc w:val="center"/>
            </w:pPr>
            <w:r>
              <w:rPr>
                <w:rFonts w:ascii="Times New Roman" w:hAnsi="Times New Roman"/>
                <w:b w:val="0"/>
                <w:i w:val="0"/>
                <w:sz w:val="22"/>
                <w:u w:val="none"/>
              </w:rPr>
              <w:t>High Confidence (&gt; 70%)</w:t>
            </w:r>
          </w:p>
        </w:tc>
        <w:tc>
          <w:tcPr>
            <w:tcW w:type="dxa" w:w="2890"/>
          </w:tcPr>
          <w:p>
            <w:pPr>
              <w:jc w:val="center"/>
            </w:pPr>
            <w:r>
              <w:rPr>
                <w:rFonts w:ascii="Times New Roman" w:hAnsi="Times New Roman"/>
                <w:b w:val="0"/>
                <w:i w:val="0"/>
                <w:sz w:val="22"/>
                <w:u w:val="none"/>
              </w:rPr>
              <w:t>HSL(142, 76%, 36%)</w:t>
            </w:r>
          </w:p>
        </w:tc>
        <w:tc>
          <w:tcPr>
            <w:tcW w:type="dxa" w:w="2890"/>
          </w:tcPr>
          <w:p>
            <w:pPr>
              <w:jc w:val="center"/>
            </w:pPr>
            <w:r>
              <w:rPr>
                <w:rFonts w:ascii="Times New Roman" w:hAnsi="Times New Roman"/>
                <w:b w:val="0"/>
                <w:i w:val="0"/>
                <w:sz w:val="22"/>
                <w:u w:val="none"/>
              </w:rPr>
              <w:t>Muted green – positive signal</w:t>
            </w:r>
          </w:p>
        </w:tc>
      </w:tr>
      <w:tr>
        <w:tc>
          <w:tcPr>
            <w:tcW w:type="dxa" w:w="2890"/>
          </w:tcPr>
          <w:p>
            <w:pPr>
              <w:jc w:val="center"/>
            </w:pPr>
            <w:r>
              <w:rPr>
                <w:rFonts w:ascii="Times New Roman" w:hAnsi="Times New Roman"/>
                <w:b w:val="0"/>
                <w:i w:val="0"/>
                <w:sz w:val="22"/>
                <w:u w:val="none"/>
              </w:rPr>
              <w:t>Medium Confidence (40–70%)</w:t>
            </w:r>
          </w:p>
        </w:tc>
        <w:tc>
          <w:tcPr>
            <w:tcW w:type="dxa" w:w="2890"/>
          </w:tcPr>
          <w:p>
            <w:pPr>
              <w:jc w:val="center"/>
            </w:pPr>
            <w:r>
              <w:rPr>
                <w:rFonts w:ascii="Times New Roman" w:hAnsi="Times New Roman"/>
                <w:b w:val="0"/>
                <w:i w:val="0"/>
                <w:sz w:val="22"/>
                <w:u w:val="none"/>
              </w:rPr>
              <w:t>HSL(38, 92%, 50%)</w:t>
            </w:r>
          </w:p>
        </w:tc>
        <w:tc>
          <w:tcPr>
            <w:tcW w:type="dxa" w:w="2890"/>
          </w:tcPr>
          <w:p>
            <w:pPr>
              <w:jc w:val="center"/>
            </w:pPr>
            <w:r>
              <w:rPr>
                <w:rFonts w:ascii="Times New Roman" w:hAnsi="Times New Roman"/>
                <w:b w:val="0"/>
                <w:i w:val="0"/>
                <w:sz w:val="22"/>
                <w:u w:val="none"/>
              </w:rPr>
              <w:t>Amber – proceed with caution</w:t>
            </w:r>
          </w:p>
        </w:tc>
      </w:tr>
      <w:tr>
        <w:tc>
          <w:tcPr>
            <w:tcW w:type="dxa" w:w="2890"/>
          </w:tcPr>
          <w:p>
            <w:pPr>
              <w:jc w:val="center"/>
            </w:pPr>
            <w:r>
              <w:rPr>
                <w:rFonts w:ascii="Times New Roman" w:hAnsi="Times New Roman"/>
                <w:b w:val="0"/>
                <w:i w:val="0"/>
                <w:sz w:val="22"/>
                <w:u w:val="none"/>
              </w:rPr>
              <w:t>Low Confidence (&lt; 40%)</w:t>
            </w:r>
          </w:p>
        </w:tc>
        <w:tc>
          <w:tcPr>
            <w:tcW w:type="dxa" w:w="2890"/>
          </w:tcPr>
          <w:p>
            <w:pPr>
              <w:jc w:val="center"/>
            </w:pPr>
            <w:r>
              <w:rPr>
                <w:rFonts w:ascii="Times New Roman" w:hAnsi="Times New Roman"/>
                <w:b w:val="0"/>
                <w:i w:val="0"/>
                <w:sz w:val="22"/>
                <w:u w:val="none"/>
              </w:rPr>
              <w:t>HSL(0, 84%, 60%)</w:t>
            </w:r>
          </w:p>
        </w:tc>
        <w:tc>
          <w:tcPr>
            <w:tcW w:type="dxa" w:w="2890"/>
          </w:tcPr>
          <w:p>
            <w:pPr>
              <w:jc w:val="center"/>
            </w:pPr>
            <w:r>
              <w:rPr>
                <w:rFonts w:ascii="Times New Roman" w:hAnsi="Times New Roman"/>
                <w:b w:val="0"/>
                <w:i w:val="0"/>
                <w:sz w:val="22"/>
                <w:u w:val="none"/>
              </w:rPr>
              <w:t>Muted red – uncertainty warning</w:t>
            </w:r>
          </w:p>
        </w:tc>
      </w:tr>
      <w:tr>
        <w:tc>
          <w:tcPr>
            <w:tcW w:type="dxa" w:w="2890"/>
          </w:tcPr>
          <w:p>
            <w:pPr>
              <w:jc w:val="center"/>
            </w:pPr>
            <w:r>
              <w:rPr>
                <w:rFonts w:ascii="Times New Roman" w:hAnsi="Times New Roman"/>
                <w:b w:val="0"/>
                <w:i w:val="0"/>
                <w:sz w:val="22"/>
                <w:u w:val="none"/>
              </w:rPr>
              <w:t>Emergency State</w:t>
            </w:r>
          </w:p>
        </w:tc>
        <w:tc>
          <w:tcPr>
            <w:tcW w:type="dxa" w:w="2890"/>
          </w:tcPr>
          <w:p>
            <w:pPr>
              <w:jc w:val="center"/>
            </w:pPr>
            <w:r>
              <w:rPr>
                <w:rFonts w:ascii="Times New Roman" w:hAnsi="Times New Roman"/>
                <w:b w:val="0"/>
                <w:i w:val="0"/>
                <w:sz w:val="22"/>
                <w:u w:val="none"/>
              </w:rPr>
              <w:t>HSL(0, 90%, 45%) solid</w:t>
            </w:r>
          </w:p>
        </w:tc>
        <w:tc>
          <w:tcPr>
            <w:tcW w:type="dxa" w:w="2890"/>
          </w:tcPr>
          <w:p>
            <w:pPr>
              <w:jc w:val="center"/>
            </w:pPr>
            <w:r>
              <w:rPr>
                <w:rFonts w:ascii="Times New Roman" w:hAnsi="Times New Roman"/>
                <w:b w:val="0"/>
                <w:i w:val="0"/>
                <w:sz w:val="22"/>
                <w:u w:val="none"/>
              </w:rPr>
              <w:t>High-contrast red – urgent action</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8.1 – Severity-Aware Colour System</w:t>
      </w:r>
    </w:p>
    <w:p>
      <w:pPr>
        <w:spacing w:before="280" w:after="80" w:line="360" w:lineRule="exact"/>
        <w:jc w:val="left"/>
      </w:pPr>
      <w:r>
        <w:rPr>
          <w:rFonts w:ascii="Times New Roman" w:hAnsi="Times New Roman"/>
          <w:b/>
          <w:i w:val="0"/>
          <w:sz w:val="26"/>
          <w:u w:val="none"/>
        </w:rPr>
        <w:t>8.3  Interaction States and UI Modes</w:t>
      </w:r>
    </w:p>
    <w:p>
      <w:pPr>
        <w:spacing w:before="200" w:after="60" w:line="360" w:lineRule="exact"/>
        <w:jc w:val="left"/>
      </w:pPr>
      <w:r>
        <w:rPr>
          <w:rFonts w:ascii="Times New Roman" w:hAnsi="Times New Roman"/>
          <w:b/>
          <w:i/>
          <w:sz w:val="24"/>
          <w:u w:val="none"/>
        </w:rPr>
        <w:t>8.3.1  Standard Prediction Mode</w:t>
      </w:r>
    </w:p>
    <w:p>
      <w:pPr>
        <w:spacing w:before="0" w:after="160" w:line="360" w:lineRule="exact"/>
        <w:ind w:firstLine="432"/>
        <w:jc w:val="both"/>
      </w:pPr>
      <w:r>
        <w:rPr>
          <w:rFonts w:ascii="Times New Roman" w:hAnsi="Times New Roman"/>
          <w:b w:val="0"/>
          <w:i w:val="0"/>
          <w:sz w:val="24"/>
          <w:u w:val="none"/>
        </w:rPr>
        <w:t>In the standard prediction state, the interface displays the user's input at the top of a chat-style layout, followed by a response panel containing the top-K prediction cards. Each card shows: the disease name in 14pt bold; a human-friendly translated description in 11pt regular text; a horizontal confidence bar whose fill colour corresponds to the severity palette; the consistency rating badge (HIGH / UNKNOWN / LOW); and a severity chip (Mild / Moderate / Severe) derived from a curated severity mapping. Below the cards, a home care guidance section provides condition-specific self-care instructions for the top prediction, generated from the home_care.py recommendation module.</w:t>
      </w:r>
    </w:p>
    <w:p>
      <w:pPr>
        <w:spacing w:before="200" w:after="60" w:line="360" w:lineRule="exact"/>
        <w:jc w:val="left"/>
      </w:pPr>
      <w:r>
        <w:rPr>
          <w:rFonts w:ascii="Times New Roman" w:hAnsi="Times New Roman"/>
          <w:b/>
          <w:i/>
          <w:sz w:val="24"/>
          <w:u w:val="none"/>
        </w:rPr>
        <w:t>8.3.2  Emergency Escalation Mode</w:t>
      </w:r>
    </w:p>
    <w:p>
      <w:pPr>
        <w:spacing w:before="0" w:after="160" w:line="360" w:lineRule="exact"/>
        <w:ind w:firstLine="432"/>
        <w:jc w:val="both"/>
      </w:pPr>
      <w:r>
        <w:rPr>
          <w:rFonts w:ascii="Times New Roman" w:hAnsi="Times New Roman"/>
          <w:b w:val="0"/>
          <w:i w:val="0"/>
          <w:sz w:val="24"/>
          <w:u w:val="none"/>
        </w:rPr>
        <w:t>When the Emergency Override Layer triggers, the prediction cards are entirely replaced by a full-width emergency banner. The banner uses a solid red background with white text and displays three elements: the detected emergency category (e.g. 'Neurological Emergency'), the urgency message instructing immediate medical attention, and a disclaimer that the system cannot assess the severity of the condition and that calling emergency services or visiting the nearest hospital immediately is strongly advised. The glassmorphism styling is intentionally discarded in this state—the design priority shifts from aesthetic consistency to maximum visual salience.</w:t>
      </w:r>
    </w:p>
    <w:p>
      <w:pPr>
        <w:spacing w:before="200" w:after="60" w:line="360" w:lineRule="exact"/>
        <w:jc w:val="left"/>
      </w:pPr>
      <w:r>
        <w:rPr>
          <w:rFonts w:ascii="Times New Roman" w:hAnsi="Times New Roman"/>
          <w:b/>
          <w:i/>
          <w:sz w:val="24"/>
          <w:u w:val="none"/>
        </w:rPr>
        <w:t>8.3.3  Uncertainty Warning Mode</w:t>
      </w:r>
    </w:p>
    <w:p>
      <w:pPr>
        <w:spacing w:before="0" w:after="160" w:line="360" w:lineRule="exact"/>
        <w:ind w:firstLine="432"/>
        <w:jc w:val="both"/>
      </w:pPr>
      <w:r>
        <w:rPr>
          <w:rFonts w:ascii="Times New Roman" w:hAnsi="Times New Roman"/>
          <w:b w:val="0"/>
          <w:i w:val="0"/>
          <w:sz w:val="24"/>
          <w:u w:val="none"/>
        </w:rPr>
        <w:t>When uncertainty thresholds are exceeded, a yellow advisory banner is displayed above the prediction cards. The banner reads: 'The symptom description is ambiguous. Multiple conditions are equally plausible. Please consult a qualified healthcare professional for an accurate assessment.' The prediction cards remain visible so the user has some guidance, but the warning makes explicit that the system's confidence in this particular case is limited.</w:t>
      </w:r>
    </w:p>
    <w:p>
      <w:pPr>
        <w:spacing w:before="280" w:after="80" w:line="360" w:lineRule="exact"/>
        <w:jc w:val="left"/>
      </w:pPr>
      <w:r>
        <w:rPr>
          <w:rFonts w:ascii="Times New Roman" w:hAnsi="Times New Roman"/>
          <w:b/>
          <w:i w:val="0"/>
          <w:sz w:val="26"/>
          <w:u w:val="none"/>
        </w:rPr>
        <w:t>8.4  Confidence Normalisation Display</w:t>
      </w:r>
    </w:p>
    <w:p>
      <w:pPr>
        <w:spacing w:before="0" w:after="160" w:line="360" w:lineRule="exact"/>
        <w:ind w:firstLine="432"/>
        <w:jc w:val="both"/>
      </w:pPr>
      <w:r>
        <w:rPr>
          <w:rFonts w:ascii="Times New Roman" w:hAnsi="Times New Roman"/>
          <w:b w:val="0"/>
          <w:i w:val="0"/>
          <w:sz w:val="24"/>
          <w:u w:val="none"/>
        </w:rPr>
        <w:t>The raw softmax probability scores from the Logistic Regression model are normalised before display so that the top-K shown predictions sum to 100%. This is done using the confidence_formatter.py utility module. The rationale is partly cosmetic—it avoids displaying confusing fractional values like '12.3%, 8.7%, 6.1%' for a three-way ambiguous case—but more importantly it provides the user with a meaningful relative comparison between the displayed options rather than an absolute probability score that few non-technical users would correctly interpret.</w:t>
      </w:r>
    </w:p>
    <w:p>
      <w:r>
        <w:br w:type="page"/>
      </w:r>
    </w:p>
    <w:p>
      <w:pPr>
        <w:spacing w:before="0" w:after="120" w:line="400" w:lineRule="exact"/>
        <w:jc w:val="left"/>
      </w:pPr>
      <w:r>
        <w:rPr>
          <w:rFonts w:ascii="Times New Roman" w:hAnsi="Times New Roman"/>
          <w:b/>
          <w:i w:val="0"/>
          <w:sz w:val="32"/>
          <w:u w:val="single"/>
        </w:rPr>
        <w:t>Chapter 9: Implementation Details</w:t>
      </w:r>
    </w:p>
    <w:p>
      <w:pPr>
        <w:pBdr>
          <w:bottom w:val="single" w:sz="6" w:space="1" w:color="4472C4"/>
        </w:pBdr>
      </w:pPr>
    </w:p>
    <w:p>
      <w:pPr>
        <w:spacing w:before="120" w:after="80" w:line="360" w:lineRule="exact"/>
        <w:jc w:val="left"/>
      </w:pPr>
      <w:r>
        <w:rPr>
          <w:rFonts w:ascii="Times New Roman" w:hAnsi="Times New Roman"/>
          <w:b/>
          <w:i w:val="0"/>
          <w:sz w:val="26"/>
          <w:u w:val="none"/>
        </w:rPr>
        <w:t>9.1  Project Structure</w:t>
      </w:r>
    </w:p>
    <w:p>
      <w:pPr>
        <w:spacing w:before="0" w:after="160" w:line="360" w:lineRule="exact"/>
        <w:ind w:firstLine="432"/>
        <w:jc w:val="both"/>
      </w:pPr>
      <w:r>
        <w:rPr>
          <w:rFonts w:ascii="Times New Roman" w:hAnsi="Times New Roman"/>
          <w:b w:val="0"/>
          <w:i w:val="0"/>
          <w:sz w:val="24"/>
          <w:u w:val="none"/>
        </w:rPr>
        <w:t>The project follows a modular, research-oriented directory structure designed to separate concerns cleanly across the ML pipeline, safety systems, frontend, and evaluation components. The key directories and their roles are:</w:t>
      </w:r>
    </w:p>
    <w:p>
      <w:pPr>
        <w:spacing w:before="80" w:after="80"/>
        <w:ind w:left="576"/>
      </w:pPr>
      <w:r>
        <w:rPr>
          <w:rFonts w:ascii="Courier New" w:hAnsi="Courier New"/>
          <w:sz w:val="19"/>
        </w:rPr>
        <w:t>MediAssist/</w:t>
        <w:br/>
        <w:t>├── src/</w:t>
        <w:br/>
        <w:t>│   ├── models/classical_ml/     # Training, inference, benchmarking</w:t>
        <w:br/>
        <w:t>│   ├── safety/                  # EmergencyRuleEngine, MedicalConsistencyValidator</w:t>
        <w:br/>
        <w:t>│   ├── conversational/          # ConversationManager, FollowupEngine, IntentDetector</w:t>
        <w:br/>
        <w:t>│   ├── frontend/                # Streamlit app, CSS styles, UI components</w:t>
        <w:br/>
        <w:t>│   ├── recommendation/          # HomeCare guidance module</w:t>
        <w:br/>
        <w:t>│   └── evaluation/              # Advanced report generation scripts</w:t>
        <w:br/>
        <w:t>├── data/</w:t>
        <w:br/>
        <w:t>│   ├── raw/                     # Original datasets (gitignored)</w:t>
        <w:br/>
        <w:t>│   └── processed/ml/ bert/      # Cleaned, split, vectorised data</w:t>
        <w:br/>
        <w:t>├── models/classical/            # Saved .pkl model files (gitignored)</w:t>
        <w:br/>
        <w:t>├── reports/</w:t>
        <w:br/>
        <w:t>│   ├── figures/                 # All evaluation charts and heatmaps</w:t>
        <w:br/>
        <w:t>│   ├── model_benchmarks/        # Leaderboard CSV, best model summary</w:t>
        <w:br/>
        <w:t>│   ├── analysis/                # Confused pairs, hardest classes</w:t>
        <w:br/>
        <w:t>│   └── tables/                  # Final evaluation markdown/CSV</w:t>
        <w:br/>
        <w:t>├── scripts/                     # Validation runner, figure generators</w:t>
        <w:br/>
        <w:t>├── tests/                       # 480-case test suite, safety tests</w:t>
        <w:br/>
        <w:t>├── notebooks/04_classical_ml/   # Experiment notebooks</w:t>
        <w:br/>
        <w:t>└── logs/safety/                 # Emergency override and consistency logs</w:t>
      </w:r>
    </w:p>
    <w:p>
      <w:pPr>
        <w:spacing w:before="280" w:after="80" w:line="360" w:lineRule="exact"/>
        <w:jc w:val="left"/>
      </w:pPr>
      <w:r>
        <w:rPr>
          <w:rFonts w:ascii="Times New Roman" w:hAnsi="Times New Roman"/>
          <w:b/>
          <w:i w:val="0"/>
          <w:sz w:val="26"/>
          <w:u w:val="none"/>
        </w:rPr>
        <w:t>9.2  Backend Modules</w:t>
      </w:r>
    </w:p>
    <w:p>
      <w:pPr>
        <w:spacing w:before="200" w:after="60" w:line="360" w:lineRule="exact"/>
        <w:jc w:val="left"/>
      </w:pPr>
      <w:r>
        <w:rPr>
          <w:rFonts w:ascii="Times New Roman" w:hAnsi="Times New Roman"/>
          <w:b/>
          <w:i/>
          <w:sz w:val="24"/>
          <w:u w:val="none"/>
        </w:rPr>
        <w:t>9.2.1  src/models/classical_ml/predict.py – ClassicalInferencePipeline</w:t>
      </w:r>
    </w:p>
    <w:p>
      <w:pPr>
        <w:spacing w:before="0" w:after="160" w:line="360" w:lineRule="exact"/>
        <w:ind w:firstLine="432"/>
        <w:jc w:val="both"/>
      </w:pPr>
      <w:r>
        <w:rPr>
          <w:rFonts w:ascii="Times New Roman" w:hAnsi="Times New Roman"/>
          <w:b w:val="0"/>
          <w:i w:val="0"/>
          <w:sz w:val="24"/>
          <w:u w:val="none"/>
        </w:rPr>
        <w:t>This module loads the fitted TF-IDF vectoriser and Logistic Regression classifier from disk and exposes a predict(text, top_k=3) method. Internally it calls vectoriser.transform([text]) followed by model.predict_proba(vector), extracts the top-K indices by descending probability, and returns a list of dictionaries containing the disease name, normalised confidence score, original probability, and the rank. The module also computes the Shannon entropy and confidence gap as uncertainty signals and returns them alongside the predictions.</w:t>
      </w:r>
    </w:p>
    <w:p>
      <w:pPr>
        <w:spacing w:before="200" w:after="60" w:line="360" w:lineRule="exact"/>
        <w:jc w:val="left"/>
      </w:pPr>
      <w:r>
        <w:rPr>
          <w:rFonts w:ascii="Times New Roman" w:hAnsi="Times New Roman"/>
          <w:b/>
          <w:i/>
          <w:sz w:val="24"/>
          <w:u w:val="none"/>
        </w:rPr>
        <w:t>9.2.2  src/conversational/conversation_manager.py – ConversationManager</w:t>
      </w:r>
    </w:p>
    <w:p>
      <w:pPr>
        <w:spacing w:before="0" w:after="160" w:line="360" w:lineRule="exact"/>
        <w:ind w:firstLine="432"/>
        <w:jc w:val="both"/>
      </w:pPr>
      <w:r>
        <w:rPr>
          <w:rFonts w:ascii="Times New Roman" w:hAnsi="Times New Roman"/>
          <w:b w:val="0"/>
          <w:i w:val="0"/>
          <w:sz w:val="24"/>
          <w:u w:val="none"/>
        </w:rPr>
        <w:t>This is the central orchestrator of the application. Its handle_message() method implements the full pipeline: first calling the EmergencyRuleEngine, then optionally calling ClassicalInferencePipeline, then calling MedicalConsistencyValidator, and finally storing results in the manager's state attributes (latest_predictions, latest_consistency_data, latest_flag_unreliable). The Streamlit frontend reads these state attributes to determine which UI mode to render. This decoupling of business logic from presentation is intentional and allows the backend to be tested independently of the Streamlit runtime.</w:t>
      </w:r>
    </w:p>
    <w:p>
      <w:pPr>
        <w:spacing w:before="200" w:after="60" w:line="360" w:lineRule="exact"/>
        <w:jc w:val="left"/>
      </w:pPr>
      <w:r>
        <w:rPr>
          <w:rFonts w:ascii="Times New Roman" w:hAnsi="Times New Roman"/>
          <w:b/>
          <w:i/>
          <w:sz w:val="24"/>
          <w:u w:val="none"/>
        </w:rPr>
        <w:t>9.2.3  src/safety/emergency_rules.py – EmergencyRuleEngine</w:t>
      </w:r>
    </w:p>
    <w:p>
      <w:pPr>
        <w:spacing w:before="0" w:after="160" w:line="360" w:lineRule="exact"/>
        <w:ind w:firstLine="432"/>
        <w:jc w:val="both"/>
      </w:pPr>
      <w:r>
        <w:rPr>
          <w:rFonts w:ascii="Times New Roman" w:hAnsi="Times New Roman"/>
          <w:b w:val="0"/>
          <w:i w:val="0"/>
          <w:sz w:val="24"/>
          <w:u w:val="none"/>
        </w:rPr>
        <w:t>Implements the deterministic pre-ML safety gate. Maintains the EMERGENCY_KEYWORDS dictionary as a class attribute for efficient access. All emergency overrides are logged as structured JSON to logs/safety/emergency_overrides.log using Python's standard logging module configured with a FileHandler and JSON formatting.</w:t>
      </w:r>
    </w:p>
    <w:p>
      <w:pPr>
        <w:spacing w:before="200" w:after="60" w:line="360" w:lineRule="exact"/>
        <w:jc w:val="left"/>
      </w:pPr>
      <w:r>
        <w:rPr>
          <w:rFonts w:ascii="Times New Roman" w:hAnsi="Times New Roman"/>
          <w:b/>
          <w:i/>
          <w:sz w:val="24"/>
          <w:u w:val="none"/>
        </w:rPr>
        <w:t>9.2.4  src/safety/medical_consistency.py – MedicalConsistencyValidator</w:t>
      </w:r>
    </w:p>
    <w:p>
      <w:pPr>
        <w:spacing w:before="0" w:after="160" w:line="360" w:lineRule="exact"/>
        <w:ind w:firstLine="432"/>
        <w:jc w:val="both"/>
      </w:pPr>
      <w:r>
        <w:rPr>
          <w:rFonts w:ascii="Times New Roman" w:hAnsi="Times New Roman"/>
          <w:b w:val="0"/>
          <w:i w:val="0"/>
          <w:sz w:val="24"/>
          <w:u w:val="none"/>
        </w:rPr>
        <w:t>Loads disease_categories.json at initialisation. The validate_and_rerank() method applies the three-tier penalty scheme and returns a dictionary containing the reranked predictions, detected symptom categories, reasoning log, and re-ranking changes. Every invocation is logged to logs/safety/medical_consistency.log for audit purposes.</w:t>
      </w:r>
    </w:p>
    <w:p>
      <w:pPr>
        <w:spacing w:before="200" w:after="60" w:line="360" w:lineRule="exact"/>
        <w:jc w:val="left"/>
      </w:pPr>
      <w:r>
        <w:rPr>
          <w:rFonts w:ascii="Times New Roman" w:hAnsi="Times New Roman"/>
          <w:b/>
          <w:i/>
          <w:sz w:val="24"/>
          <w:u w:val="none"/>
        </w:rPr>
        <w:t>9.2.5  src/recommendation/home_care.py – HomeCareRecommender</w:t>
      </w:r>
    </w:p>
    <w:p>
      <w:pPr>
        <w:spacing w:before="0" w:after="160" w:line="360" w:lineRule="exact"/>
        <w:ind w:firstLine="432"/>
        <w:jc w:val="both"/>
      </w:pPr>
      <w:r>
        <w:rPr>
          <w:rFonts w:ascii="Times New Roman" w:hAnsi="Times New Roman"/>
          <w:b w:val="0"/>
          <w:i w:val="0"/>
          <w:sz w:val="24"/>
          <w:u w:val="none"/>
        </w:rPr>
        <w:t>Maps disease names to curated home care guidance using a dictionary-based lookup. For 120+ common conditions it provides specific recommendations (e.g. hydration, rest, when to seek further care). For unmapped conditions it returns a generic 'consult a healthcare professional' response, ensuring no user ever receives an empty recommendation section.</w:t>
      </w:r>
    </w:p>
    <w:p>
      <w:pPr>
        <w:spacing w:before="280" w:after="80" w:line="360" w:lineRule="exact"/>
        <w:jc w:val="left"/>
      </w:pPr>
      <w:r>
        <w:rPr>
          <w:rFonts w:ascii="Times New Roman" w:hAnsi="Times New Roman"/>
          <w:b/>
          <w:i w:val="0"/>
          <w:sz w:val="26"/>
          <w:u w:val="none"/>
        </w:rPr>
        <w:t>9.3  Key Engineering Decisions and Tradeoffs</w:t>
      </w:r>
    </w:p>
    <w:p>
      <w:pPr>
        <w:spacing w:before="200" w:after="60" w:line="360" w:lineRule="exact"/>
        <w:jc w:val="left"/>
      </w:pPr>
      <w:r>
        <w:rPr>
          <w:rFonts w:ascii="Times New Roman" w:hAnsi="Times New Roman"/>
          <w:b/>
          <w:i/>
          <w:sz w:val="24"/>
          <w:u w:val="none"/>
        </w:rPr>
        <w:t>Stateless Safety Modules</w:t>
      </w:r>
    </w:p>
    <w:p>
      <w:pPr>
        <w:spacing w:before="0" w:after="160" w:line="360" w:lineRule="exact"/>
        <w:ind w:firstLine="432"/>
        <w:jc w:val="both"/>
      </w:pPr>
      <w:r>
        <w:rPr>
          <w:rFonts w:ascii="Times New Roman" w:hAnsi="Times New Roman"/>
          <w:b w:val="0"/>
          <w:i w:val="0"/>
          <w:sz w:val="24"/>
          <w:u w:val="none"/>
        </w:rPr>
        <w:t>The EmergencyRuleEngine and MedicalConsistencyValidator are stateless. This means they can be instantiated once and reused across all requests without risk of state contamination between sessions—an important property for concurrent Streamlit deployments.</w:t>
      </w:r>
    </w:p>
    <w:p>
      <w:pPr>
        <w:spacing w:before="200" w:after="60" w:line="360" w:lineRule="exact"/>
        <w:jc w:val="left"/>
      </w:pPr>
      <w:r>
        <w:rPr>
          <w:rFonts w:ascii="Times New Roman" w:hAnsi="Times New Roman"/>
          <w:b/>
          <w:i/>
          <w:sz w:val="24"/>
          <w:u w:val="none"/>
        </w:rPr>
        <w:t>ConversationManager Per-Request Reset</w:t>
      </w:r>
    </w:p>
    <w:p>
      <w:pPr>
        <w:spacing w:before="0" w:after="160" w:line="360" w:lineRule="exact"/>
        <w:ind w:firstLine="432"/>
        <w:jc w:val="both"/>
      </w:pPr>
      <w:r>
        <w:rPr>
          <w:rFonts w:ascii="Times New Roman" w:hAnsi="Times New Roman"/>
          <w:b w:val="0"/>
          <w:i w:val="0"/>
          <w:sz w:val="24"/>
          <w:u w:val="none"/>
        </w:rPr>
        <w:t>In the validation script, a new ConversationManager is instantiated for each test case. This ensures complete isolation between test inputs and prevents chat history from contaminating subsequent predictions.</w:t>
      </w:r>
    </w:p>
    <w:p>
      <w:pPr>
        <w:spacing w:before="200" w:after="60" w:line="360" w:lineRule="exact"/>
        <w:jc w:val="left"/>
      </w:pPr>
      <w:r>
        <w:rPr>
          <w:rFonts w:ascii="Times New Roman" w:hAnsi="Times New Roman"/>
          <w:b/>
          <w:i/>
          <w:sz w:val="24"/>
          <w:u w:val="none"/>
        </w:rPr>
        <w:t>JSON Logging for Explainability</w:t>
      </w:r>
    </w:p>
    <w:p>
      <w:pPr>
        <w:spacing w:before="0" w:after="160" w:line="360" w:lineRule="exact"/>
        <w:ind w:firstLine="432"/>
        <w:jc w:val="both"/>
      </w:pPr>
      <w:r>
        <w:rPr>
          <w:rFonts w:ascii="Times New Roman" w:hAnsi="Times New Roman"/>
          <w:b w:val="0"/>
          <w:i w:val="0"/>
          <w:sz w:val="24"/>
          <w:u w:val="none"/>
        </w:rPr>
        <w:t>All safety decisions are logged as structured JSON rather than plain text. This allows log entries to be programmatically queried and aggregated, supporting the generation of the safety analysis reports in Chapter 10.</w:t>
      </w:r>
    </w:p>
    <w:p>
      <w:pPr>
        <w:spacing w:before="200" w:after="60" w:line="360" w:lineRule="exact"/>
        <w:jc w:val="left"/>
      </w:pPr>
      <w:r>
        <w:rPr>
          <w:rFonts w:ascii="Times New Roman" w:hAnsi="Times New Roman"/>
          <w:b/>
          <w:i/>
          <w:sz w:val="24"/>
          <w:u w:val="none"/>
        </w:rPr>
        <w:t>Gitignored Models and Data</w:t>
      </w:r>
    </w:p>
    <w:p>
      <w:pPr>
        <w:spacing w:before="0" w:after="160" w:line="360" w:lineRule="exact"/>
        <w:ind w:firstLine="432"/>
        <w:jc w:val="both"/>
      </w:pPr>
      <w:r>
        <w:rPr>
          <w:rFonts w:ascii="Times New Roman" w:hAnsi="Times New Roman"/>
          <w:b w:val="0"/>
          <w:i w:val="0"/>
          <w:sz w:val="24"/>
          <w:u w:val="none"/>
        </w:rPr>
        <w:t>The trained model files (.pkl) and raw datasets are excluded from version control via .gitignore. This keeps the repository size manageable and prevents accidental publication of large binary files. The models directory was 9.7 GB at peak (primarily the Random Forest classifier), which was subsequently removed as the Logistic Regression model was identified as the superior choice.</w:t>
      </w:r>
    </w:p>
    <w:p>
      <w:r>
        <w:br w:type="page"/>
      </w:r>
    </w:p>
    <w:p>
      <w:pPr>
        <w:spacing w:before="0" w:after="120" w:line="400" w:lineRule="exact"/>
        <w:jc w:val="left"/>
      </w:pPr>
      <w:r>
        <w:rPr>
          <w:rFonts w:ascii="Times New Roman" w:hAnsi="Times New Roman"/>
          <w:b/>
          <w:i w:val="0"/>
          <w:sz w:val="32"/>
          <w:u w:val="single"/>
        </w:rPr>
        <w:t>Chapter 10: Testing and Validation</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Testing for MediAssist AI was conducted at two levels: unit-level safety testing of individual components, and system-level validation using the 500-case research evaluation suite. This chapter documents both levels, presents the key evaluation figures, and discusses the results in context.</w:t>
      </w:r>
    </w:p>
    <w:p>
      <w:pPr>
        <w:spacing w:before="280" w:after="80" w:line="360" w:lineRule="exact"/>
        <w:jc w:val="left"/>
      </w:pPr>
      <w:r>
        <w:rPr>
          <w:rFonts w:ascii="Times New Roman" w:hAnsi="Times New Roman"/>
          <w:b/>
          <w:i w:val="0"/>
          <w:sz w:val="26"/>
          <w:u w:val="none"/>
        </w:rPr>
        <w:t>10.1  Unit-Level Safety Testing</w:t>
      </w:r>
    </w:p>
    <w:p>
      <w:pPr>
        <w:spacing w:before="0" w:after="160" w:line="360" w:lineRule="exact"/>
        <w:ind w:firstLine="432"/>
        <w:jc w:val="both"/>
      </w:pPr>
      <w:r>
        <w:rPr>
          <w:rFonts w:ascii="Times New Roman" w:hAnsi="Times New Roman"/>
          <w:b w:val="0"/>
          <w:i w:val="0"/>
          <w:sz w:val="24"/>
          <w:u w:val="none"/>
        </w:rPr>
        <w:t>The tests/test_safety.py module contains 113 unit tests covering the EmergencyRuleEngine and MedicalConsistencyValidator. Key test categories include:</w:t>
      </w:r>
    </w:p>
    <w:p>
      <w:pPr>
        <w:pStyle w:val="ListBullet"/>
        <w:spacing w:before="40" w:after="40" w:line="320" w:lineRule="exact"/>
        <w:ind w:left="576"/>
      </w:pPr>
      <w:r>
        <w:rPr>
          <w:rFonts w:ascii="Times New Roman" w:hAnsi="Times New Roman"/>
          <w:b w:val="0"/>
          <w:i w:val="0"/>
          <w:sz w:val="24"/>
          <w:u w:val="none"/>
        </w:rPr>
        <w:t>Positive detection: 25 emergency inputs that must trigger escalation, covering all five emergency categories.</w:t>
      </w:r>
    </w:p>
    <w:p>
      <w:pPr>
        <w:pStyle w:val="ListBullet"/>
        <w:spacing w:before="40" w:after="40" w:line="320" w:lineRule="exact"/>
        <w:ind w:left="576"/>
      </w:pPr>
      <w:r>
        <w:rPr>
          <w:rFonts w:ascii="Times New Roman" w:hAnsi="Times New Roman"/>
          <w:b w:val="0"/>
          <w:i w:val="0"/>
          <w:sz w:val="24"/>
          <w:u w:val="none"/>
        </w:rPr>
        <w:t>Negative detection: 40 common symptom inputs that must not trigger emergency escalation (false positive tests).</w:t>
      </w:r>
    </w:p>
    <w:p>
      <w:pPr>
        <w:pStyle w:val="ListBullet"/>
        <w:spacing w:before="40" w:after="40" w:line="320" w:lineRule="exact"/>
        <w:ind w:left="576"/>
      </w:pPr>
      <w:r>
        <w:rPr>
          <w:rFonts w:ascii="Times New Roman" w:hAnsi="Times New Roman"/>
          <w:b w:val="0"/>
          <w:i w:val="0"/>
          <w:sz w:val="24"/>
          <w:u w:val="none"/>
        </w:rPr>
        <w:t>Boundary cases: 20 inputs designed to probe phrase boundary conditions, such as 'I was told I have Bell Palsy' (should NOT trigger stroke detection).</w:t>
      </w:r>
    </w:p>
    <w:p>
      <w:pPr>
        <w:pStyle w:val="ListBullet"/>
        <w:spacing w:before="40" w:after="40" w:line="320" w:lineRule="exact"/>
        <w:ind w:left="576"/>
      </w:pPr>
      <w:r>
        <w:rPr>
          <w:rFonts w:ascii="Times New Roman" w:hAnsi="Times New Roman"/>
          <w:b w:val="0"/>
          <w:i w:val="0"/>
          <w:sz w:val="24"/>
          <w:u w:val="none"/>
        </w:rPr>
        <w:t>Consistency penalty tests: 28 prediction/input pairs verifying that the correct penalty tier (HIGH/LOW/UNKNOWN) is assigned.</w:t>
      </w:r>
    </w:p>
    <w:p>
      <w:pPr>
        <w:spacing w:before="0" w:after="160" w:line="360" w:lineRule="exact"/>
        <w:ind w:firstLine="432"/>
        <w:jc w:val="both"/>
      </w:pPr>
      <w:r>
        <w:rPr>
          <w:rFonts w:ascii="Times New Roman" w:hAnsi="Times New Roman"/>
          <w:b w:val="0"/>
          <w:i w:val="0"/>
          <w:sz w:val="24"/>
          <w:u w:val="none"/>
        </w:rPr>
        <w:t>All 113 unit tests pass on the current codebase. The boundary condition tests were particularly important to develop, as early versions of the Emergency Override Layer produced false positives on sentences where emergency phrases appeared in a negated or historical context.</w:t>
      </w:r>
    </w:p>
    <w:p>
      <w:pPr>
        <w:spacing w:before="280" w:after="80" w:line="360" w:lineRule="exact"/>
        <w:jc w:val="left"/>
      </w:pPr>
      <w:r>
        <w:rPr>
          <w:rFonts w:ascii="Times New Roman" w:hAnsi="Times New Roman"/>
          <w:b/>
          <w:i w:val="0"/>
          <w:sz w:val="26"/>
          <w:u w:val="none"/>
        </w:rPr>
        <w:t>10.2  System-Level Validation: 500-Case Suite</w:t>
      </w:r>
    </w:p>
    <w:p>
      <w:pPr>
        <w:spacing w:before="0" w:after="160" w:line="360" w:lineRule="exact"/>
        <w:ind w:firstLine="432"/>
        <w:jc w:val="both"/>
      </w:pPr>
      <w:r>
        <w:rPr>
          <w:rFonts w:ascii="Times New Roman" w:hAnsi="Times New Roman"/>
          <w:b w:val="0"/>
          <w:i w:val="0"/>
          <w:sz w:val="24"/>
          <w:u w:val="none"/>
        </w:rPr>
        <w:t>The 500-case validation suite is executed by the scripts/run_final_research_validation.py script, which runs the complete MediAssist AI pipeline on each test case and records the outcome. The validation dataset composition and methodology are described in Section 7.4.</w:t>
      </w:r>
    </w:p>
    <w:p>
      <w:pPr>
        <w:spacing w:before="0" w:after="120" w:line="360" w:lineRule="exact"/>
        <w:ind w:firstLine="0"/>
        <w:jc w:val="both"/>
      </w:pPr>
      <w:r>
        <w:rPr>
          <w:rFonts w:ascii="Times New Roman" w:hAnsi="Times New Roman"/>
          <w:b w:val="0"/>
          <w:i w:val="0"/>
          <w:sz w:val="24"/>
          <w:u w:val="none"/>
        </w:rPr>
        <w:t>Table 10.1 summarises the final safety metric results from the 500-case validation suite.</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jc w:val="center"/>
            </w:pPr>
            <w:r>
              <w:rPr>
                <w:rFonts w:ascii="Times New Roman" w:hAnsi="Times New Roman"/>
                <w:b/>
                <w:i w:val="0"/>
                <w:sz w:val="22"/>
                <w:u w:val="none"/>
              </w:rPr>
              <w:t>Metric</w:t>
            </w:r>
          </w:p>
        </w:tc>
        <w:tc>
          <w:tcPr>
            <w:tcW w:type="dxa" w:w="2167"/>
          </w:tcPr>
          <w:p>
            <w:pPr>
              <w:jc w:val="center"/>
            </w:pPr>
            <w:r>
              <w:rPr>
                <w:rFonts w:ascii="Times New Roman" w:hAnsi="Times New Roman"/>
                <w:b/>
                <w:i w:val="0"/>
                <w:sz w:val="22"/>
                <w:u w:val="none"/>
              </w:rPr>
              <w:t>Value</w:t>
            </w:r>
          </w:p>
        </w:tc>
        <w:tc>
          <w:tcPr>
            <w:tcW w:type="dxa" w:w="2167"/>
          </w:tcPr>
          <w:p>
            <w:pPr>
              <w:jc w:val="center"/>
            </w:pPr>
            <w:r>
              <w:rPr>
                <w:rFonts w:ascii="Times New Roman" w:hAnsi="Times New Roman"/>
                <w:b/>
                <w:i w:val="0"/>
                <w:sz w:val="22"/>
                <w:u w:val="none"/>
              </w:rPr>
              <w:t>Target</w:t>
            </w:r>
          </w:p>
        </w:tc>
        <w:tc>
          <w:tcPr>
            <w:tcW w:type="dxa" w:w="2167"/>
          </w:tcPr>
          <w:p>
            <w:pPr>
              <w:jc w:val="center"/>
            </w:pPr>
            <w:r>
              <w:rPr>
                <w:rFonts w:ascii="Times New Roman" w:hAnsi="Times New Roman"/>
                <w:b/>
                <w:i w:val="0"/>
                <w:sz w:val="22"/>
                <w:u w:val="none"/>
              </w:rPr>
              <w:t>Status</w:t>
            </w:r>
          </w:p>
        </w:tc>
      </w:tr>
      <w:tr>
        <w:tc>
          <w:tcPr>
            <w:tcW w:type="dxa" w:w="2167"/>
          </w:tcPr>
          <w:p>
            <w:pPr>
              <w:jc w:val="center"/>
            </w:pPr>
            <w:r>
              <w:rPr>
                <w:rFonts w:ascii="Times New Roman" w:hAnsi="Times New Roman"/>
                <w:b w:val="0"/>
                <w:i w:val="0"/>
                <w:sz w:val="22"/>
                <w:u w:val="none"/>
              </w:rPr>
              <w:t>Emergency Escalation Accuracy (EEA)</w:t>
            </w:r>
          </w:p>
        </w:tc>
        <w:tc>
          <w:tcPr>
            <w:tcW w:type="dxa" w:w="2167"/>
          </w:tcPr>
          <w:p>
            <w:pPr>
              <w:jc w:val="center"/>
            </w:pPr>
            <w:r>
              <w:rPr>
                <w:rFonts w:ascii="Times New Roman" w:hAnsi="Times New Roman"/>
                <w:b w:val="0"/>
                <w:i w:val="0"/>
                <w:sz w:val="22"/>
                <w:u w:val="none"/>
              </w:rPr>
              <w:t>100.00%</w:t>
            </w:r>
          </w:p>
        </w:tc>
        <w:tc>
          <w:tcPr>
            <w:tcW w:type="dxa" w:w="2167"/>
          </w:tcPr>
          <w:p>
            <w:pPr>
              <w:jc w:val="center"/>
            </w:pPr>
            <w:r>
              <w:rPr>
                <w:rFonts w:ascii="Times New Roman" w:hAnsi="Times New Roman"/>
                <w:b w:val="0"/>
                <w:i w:val="0"/>
                <w:sz w:val="22"/>
                <w:u w:val="none"/>
              </w:rPr>
              <w:t>&gt; 95%</w:t>
            </w:r>
          </w:p>
        </w:tc>
        <w:tc>
          <w:tcPr>
            <w:tcW w:type="dxa" w:w="2167"/>
          </w:tcPr>
          <w:p>
            <w:pPr>
              <w:jc w:val="center"/>
            </w:pPr>
            <w:r>
              <w:rPr>
                <w:rFonts w:ascii="Times New Roman" w:hAnsi="Times New Roman"/>
                <w:b w:val="0"/>
                <w:i w:val="0"/>
                <w:color w:val="007000"/>
                <w:sz w:val="22"/>
                <w:u w:val="none"/>
              </w:rPr>
              <w:t>Passed</w:t>
            </w:r>
          </w:p>
        </w:tc>
      </w:tr>
      <w:tr>
        <w:tc>
          <w:tcPr>
            <w:tcW w:type="dxa" w:w="2167"/>
          </w:tcPr>
          <w:p>
            <w:pPr>
              <w:jc w:val="center"/>
            </w:pPr>
            <w:r>
              <w:rPr>
                <w:rFonts w:ascii="Times New Roman" w:hAnsi="Times New Roman"/>
                <w:b w:val="0"/>
                <w:i w:val="0"/>
                <w:sz w:val="22"/>
                <w:u w:val="none"/>
              </w:rPr>
              <w:t>Missed Emergency Rate (MER)</w:t>
            </w:r>
          </w:p>
        </w:tc>
        <w:tc>
          <w:tcPr>
            <w:tcW w:type="dxa" w:w="2167"/>
          </w:tcPr>
          <w:p>
            <w:pPr>
              <w:jc w:val="center"/>
            </w:pPr>
            <w:r>
              <w:rPr>
                <w:rFonts w:ascii="Times New Roman" w:hAnsi="Times New Roman"/>
                <w:b w:val="0"/>
                <w:i w:val="0"/>
                <w:sz w:val="22"/>
                <w:u w:val="none"/>
              </w:rPr>
              <w:t>0.00%</w:t>
            </w:r>
          </w:p>
        </w:tc>
        <w:tc>
          <w:tcPr>
            <w:tcW w:type="dxa" w:w="2167"/>
          </w:tcPr>
          <w:p>
            <w:pPr>
              <w:jc w:val="center"/>
            </w:pPr>
            <w:r>
              <w:rPr>
                <w:rFonts w:ascii="Times New Roman" w:hAnsi="Times New Roman"/>
                <w:b w:val="0"/>
                <w:i w:val="0"/>
                <w:sz w:val="22"/>
                <w:u w:val="none"/>
              </w:rPr>
              <w:t>&lt; 5%</w:t>
            </w:r>
          </w:p>
        </w:tc>
        <w:tc>
          <w:tcPr>
            <w:tcW w:type="dxa" w:w="2167"/>
          </w:tcPr>
          <w:p>
            <w:pPr>
              <w:jc w:val="center"/>
            </w:pPr>
            <w:r>
              <w:rPr>
                <w:rFonts w:ascii="Times New Roman" w:hAnsi="Times New Roman"/>
                <w:b w:val="0"/>
                <w:i w:val="0"/>
                <w:color w:val="007000"/>
                <w:sz w:val="22"/>
                <w:u w:val="none"/>
              </w:rPr>
              <w:t>Passed</w:t>
            </w:r>
          </w:p>
        </w:tc>
      </w:tr>
      <w:tr>
        <w:tc>
          <w:tcPr>
            <w:tcW w:type="dxa" w:w="2167"/>
          </w:tcPr>
          <w:p>
            <w:pPr>
              <w:jc w:val="center"/>
            </w:pPr>
            <w:r>
              <w:rPr>
                <w:rFonts w:ascii="Times New Roman" w:hAnsi="Times New Roman"/>
                <w:b w:val="0"/>
                <w:i w:val="0"/>
                <w:sz w:val="22"/>
                <w:u w:val="none"/>
              </w:rPr>
              <w:t>Unsafe Prediction Rate (UPR)</w:t>
            </w:r>
          </w:p>
        </w:tc>
        <w:tc>
          <w:tcPr>
            <w:tcW w:type="dxa" w:w="2167"/>
          </w:tcPr>
          <w:p>
            <w:pPr>
              <w:jc w:val="center"/>
            </w:pPr>
            <w:r>
              <w:rPr>
                <w:rFonts w:ascii="Times New Roman" w:hAnsi="Times New Roman"/>
                <w:b w:val="0"/>
                <w:i w:val="0"/>
                <w:sz w:val="22"/>
                <w:u w:val="none"/>
              </w:rPr>
              <w:t>0.00%</w:t>
            </w:r>
          </w:p>
        </w:tc>
        <w:tc>
          <w:tcPr>
            <w:tcW w:type="dxa" w:w="2167"/>
          </w:tcPr>
          <w:p>
            <w:pPr>
              <w:jc w:val="center"/>
            </w:pPr>
            <w:r>
              <w:rPr>
                <w:rFonts w:ascii="Times New Roman" w:hAnsi="Times New Roman"/>
                <w:b w:val="0"/>
                <w:i w:val="0"/>
                <w:sz w:val="22"/>
                <w:u w:val="none"/>
              </w:rPr>
              <w:t>&lt; 5%</w:t>
            </w:r>
          </w:p>
        </w:tc>
        <w:tc>
          <w:tcPr>
            <w:tcW w:type="dxa" w:w="2167"/>
          </w:tcPr>
          <w:p>
            <w:pPr>
              <w:jc w:val="center"/>
            </w:pPr>
            <w:r>
              <w:rPr>
                <w:rFonts w:ascii="Times New Roman" w:hAnsi="Times New Roman"/>
                <w:b w:val="0"/>
                <w:i w:val="0"/>
                <w:color w:val="007000"/>
                <w:sz w:val="22"/>
                <w:u w:val="none"/>
              </w:rPr>
              <w:t>Passed</w:t>
            </w:r>
          </w:p>
        </w:tc>
      </w:tr>
      <w:tr>
        <w:tc>
          <w:tcPr>
            <w:tcW w:type="dxa" w:w="2167"/>
          </w:tcPr>
          <w:p>
            <w:pPr>
              <w:jc w:val="center"/>
            </w:pPr>
            <w:r>
              <w:rPr>
                <w:rFonts w:ascii="Times New Roman" w:hAnsi="Times New Roman"/>
                <w:b w:val="0"/>
                <w:i w:val="0"/>
                <w:sz w:val="22"/>
                <w:u w:val="none"/>
              </w:rPr>
              <w:t>Implausible Suppression Rate</w:t>
            </w:r>
          </w:p>
        </w:tc>
        <w:tc>
          <w:tcPr>
            <w:tcW w:type="dxa" w:w="2167"/>
          </w:tcPr>
          <w:p>
            <w:pPr>
              <w:jc w:val="center"/>
            </w:pPr>
            <w:r>
              <w:rPr>
                <w:rFonts w:ascii="Times New Roman" w:hAnsi="Times New Roman"/>
                <w:b w:val="0"/>
                <w:i w:val="0"/>
                <w:sz w:val="22"/>
                <w:u w:val="none"/>
              </w:rPr>
              <w:t>100.00%</w:t>
            </w:r>
          </w:p>
        </w:tc>
        <w:tc>
          <w:tcPr>
            <w:tcW w:type="dxa" w:w="2167"/>
          </w:tcPr>
          <w:p>
            <w:pPr>
              <w:jc w:val="center"/>
            </w:pPr>
            <w:r>
              <w:rPr>
                <w:rFonts w:ascii="Times New Roman" w:hAnsi="Times New Roman"/>
                <w:b w:val="0"/>
                <w:i w:val="0"/>
                <w:sz w:val="22"/>
                <w:u w:val="none"/>
              </w:rPr>
              <w:t>Near 100%</w:t>
            </w:r>
          </w:p>
        </w:tc>
        <w:tc>
          <w:tcPr>
            <w:tcW w:type="dxa" w:w="2167"/>
          </w:tcPr>
          <w:p>
            <w:pPr>
              <w:jc w:val="center"/>
            </w:pPr>
            <w:r>
              <w:rPr>
                <w:rFonts w:ascii="Times New Roman" w:hAnsi="Times New Roman"/>
                <w:b w:val="0"/>
                <w:i w:val="0"/>
                <w:color w:val="007000"/>
                <w:sz w:val="22"/>
                <w:u w:val="none"/>
              </w:rPr>
              <w:t>Passed</w:t>
            </w:r>
          </w:p>
        </w:tc>
      </w:tr>
      <w:tr>
        <w:tc>
          <w:tcPr>
            <w:tcW w:type="dxa" w:w="2167"/>
          </w:tcPr>
          <w:p>
            <w:pPr>
              <w:jc w:val="center"/>
            </w:pPr>
            <w:r>
              <w:rPr>
                <w:rFonts w:ascii="Times New Roman" w:hAnsi="Times New Roman"/>
                <w:b w:val="0"/>
                <w:i w:val="0"/>
                <w:sz w:val="22"/>
                <w:u w:val="none"/>
              </w:rPr>
              <w:t>Medical Consistency Score</w:t>
            </w:r>
          </w:p>
        </w:tc>
        <w:tc>
          <w:tcPr>
            <w:tcW w:type="dxa" w:w="2167"/>
          </w:tcPr>
          <w:p>
            <w:pPr>
              <w:jc w:val="center"/>
            </w:pPr>
            <w:r>
              <w:rPr>
                <w:rFonts w:ascii="Times New Roman" w:hAnsi="Times New Roman"/>
                <w:b w:val="0"/>
                <w:i w:val="0"/>
                <w:sz w:val="22"/>
                <w:u w:val="none"/>
              </w:rPr>
              <w:t>10.75%</w:t>
            </w:r>
          </w:p>
        </w:tc>
        <w:tc>
          <w:tcPr>
            <w:tcW w:type="dxa" w:w="2167"/>
          </w:tcPr>
          <w:p>
            <w:pPr>
              <w:jc w:val="center"/>
            </w:pPr>
            <w:r>
              <w:rPr>
                <w:rFonts w:ascii="Times New Roman" w:hAnsi="Times New Roman"/>
                <w:b w:val="0"/>
                <w:i w:val="0"/>
                <w:sz w:val="22"/>
                <w:u w:val="none"/>
              </w:rPr>
              <w:t>&gt; 90%</w:t>
            </w:r>
          </w:p>
        </w:tc>
        <w:tc>
          <w:tcPr>
            <w:tcW w:type="dxa" w:w="2167"/>
          </w:tcPr>
          <w:p>
            <w:pPr>
              <w:jc w:val="center"/>
            </w:pPr>
            <w:r>
              <w:rPr>
                <w:rFonts w:ascii="Times New Roman" w:hAnsi="Times New Roman"/>
                <w:b w:val="0"/>
                <w:i w:val="0"/>
                <w:color w:val="B40000"/>
                <w:sz w:val="22"/>
                <w:u w:val="none"/>
              </w:rPr>
              <w:t>Failed*</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10.1 – Final Safety Metrics from 500-Case Validation Suite</w:t>
      </w:r>
    </w:p>
    <w:p>
      <w:pPr>
        <w:spacing w:before="0" w:after="160" w:line="360" w:lineRule="exact"/>
        <w:ind w:firstLine="432"/>
        <w:jc w:val="both"/>
      </w:pPr>
      <w:r>
        <w:rPr>
          <w:rFonts w:ascii="Times New Roman" w:hAnsi="Times New Roman"/>
          <w:b w:val="0"/>
          <w:i w:val="0"/>
          <w:sz w:val="24"/>
          <w:u w:val="none"/>
        </w:rPr>
        <w:t>* Note on Medical Consistency Score: The 10.75% value reflects that the majority of predictions in the validation suite received UNKNOWN category ratings (0.9x penalty) because the disease_categories.json knowledge base does not yet cover all 260+ disease classes comprehensively. The score measures what fraction of consistency checks returned HIGH confidence—it does not measure whether unsafe predictions were displayed to users, which is correctly captured by the UPR (0.00%). Expanding the disease category knowledge base is the primary action item identified for future work.</w:t>
      </w:r>
    </w:p>
    <w:p>
      <w:pPr>
        <w:spacing w:before="280" w:after="80" w:line="360" w:lineRule="exact"/>
        <w:jc w:val="left"/>
      </w:pPr>
      <w:r>
        <w:rPr>
          <w:rFonts w:ascii="Times New Roman" w:hAnsi="Times New Roman"/>
          <w:b/>
          <w:i w:val="0"/>
          <w:sz w:val="26"/>
          <w:u w:val="none"/>
        </w:rPr>
        <w:t>10.3  Model Performance Evaluation</w:t>
      </w:r>
    </w:p>
    <w:p>
      <w:pPr>
        <w:spacing w:before="0" w:after="120" w:line="360" w:lineRule="exact"/>
        <w:ind w:firstLine="0"/>
        <w:jc w:val="both"/>
      </w:pPr>
      <w:r>
        <w:rPr>
          <w:rFonts w:ascii="Times New Roman" w:hAnsi="Times New Roman"/>
          <w:b w:val="0"/>
          <w:i w:val="0"/>
          <w:sz w:val="24"/>
          <w:u w:val="none"/>
        </w:rPr>
        <w:t>Table 10.2 presents the standard ML metrics for each trained classifier, evaluated on the held-out test set of approximately 16,372 examples.</w:t>
      </w:r>
    </w:p>
    <w:tbl>
      <w:tblPr>
        <w:tblStyle w:val="TableGrid"/>
        <w:tblW w:type="auto" w:w="0"/>
        <w:tblLook w:firstColumn="1" w:firstRow="1" w:lastColumn="0" w:lastRow="0" w:noHBand="0" w:noVBand="1" w:val="04A0"/>
      </w:tblPr>
      <w:tblGrid>
        <w:gridCol w:w="1445"/>
        <w:gridCol w:w="1445"/>
        <w:gridCol w:w="1445"/>
        <w:gridCol w:w="1445"/>
        <w:gridCol w:w="1445"/>
        <w:gridCol w:w="1445"/>
      </w:tblGrid>
      <w:tr>
        <w:tc>
          <w:tcPr>
            <w:tcW w:type="dxa" w:w="1445"/>
          </w:tcPr>
          <w:p>
            <w:pPr>
              <w:jc w:val="center"/>
            </w:pPr>
            <w:r>
              <w:rPr>
                <w:rFonts w:ascii="Times New Roman" w:hAnsi="Times New Roman"/>
                <w:b/>
                <w:i w:val="0"/>
                <w:sz w:val="22"/>
                <w:u w:val="none"/>
              </w:rPr>
              <w:t>Model</w:t>
            </w:r>
          </w:p>
        </w:tc>
        <w:tc>
          <w:tcPr>
            <w:tcW w:type="dxa" w:w="1445"/>
          </w:tcPr>
          <w:p>
            <w:pPr>
              <w:jc w:val="center"/>
            </w:pPr>
            <w:r>
              <w:rPr>
                <w:rFonts w:ascii="Times New Roman" w:hAnsi="Times New Roman"/>
                <w:b/>
                <w:i w:val="0"/>
                <w:sz w:val="22"/>
                <w:u w:val="none"/>
              </w:rPr>
              <w:t>Accuracy</w:t>
            </w:r>
          </w:p>
        </w:tc>
        <w:tc>
          <w:tcPr>
            <w:tcW w:type="dxa" w:w="1445"/>
          </w:tcPr>
          <w:p>
            <w:pPr>
              <w:jc w:val="center"/>
            </w:pPr>
            <w:r>
              <w:rPr>
                <w:rFonts w:ascii="Times New Roman" w:hAnsi="Times New Roman"/>
                <w:b/>
                <w:i w:val="0"/>
                <w:sz w:val="22"/>
                <w:u w:val="none"/>
              </w:rPr>
              <w:t>Precision</w:t>
            </w:r>
          </w:p>
        </w:tc>
        <w:tc>
          <w:tcPr>
            <w:tcW w:type="dxa" w:w="1445"/>
          </w:tcPr>
          <w:p>
            <w:pPr>
              <w:jc w:val="center"/>
            </w:pPr>
            <w:r>
              <w:rPr>
                <w:rFonts w:ascii="Times New Roman" w:hAnsi="Times New Roman"/>
                <w:b/>
                <w:i w:val="0"/>
                <w:sz w:val="22"/>
                <w:u w:val="none"/>
              </w:rPr>
              <w:t>F1-Score</w:t>
            </w:r>
          </w:p>
        </w:tc>
        <w:tc>
          <w:tcPr>
            <w:tcW w:type="dxa" w:w="1445"/>
          </w:tcPr>
          <w:p>
            <w:pPr>
              <w:jc w:val="center"/>
            </w:pPr>
            <w:r>
              <w:rPr>
                <w:rFonts w:ascii="Times New Roman" w:hAnsi="Times New Roman"/>
                <w:b/>
                <w:i w:val="0"/>
                <w:sz w:val="22"/>
                <w:u w:val="none"/>
              </w:rPr>
              <w:t>Top-3 Acc.</w:t>
            </w:r>
          </w:p>
        </w:tc>
        <w:tc>
          <w:tcPr>
            <w:tcW w:type="dxa" w:w="1445"/>
          </w:tcPr>
          <w:p>
            <w:pPr>
              <w:jc w:val="center"/>
            </w:pPr>
            <w:r>
              <w:rPr>
                <w:rFonts w:ascii="Times New Roman" w:hAnsi="Times New Roman"/>
                <w:b/>
                <w:i w:val="0"/>
                <w:sz w:val="22"/>
                <w:u w:val="none"/>
              </w:rPr>
              <w:t>Size (MB)</w:t>
            </w:r>
          </w:p>
        </w:tc>
      </w:tr>
      <w:tr>
        <w:tc>
          <w:tcPr>
            <w:tcW w:type="dxa" w:w="1445"/>
          </w:tcPr>
          <w:p>
            <w:pPr>
              <w:jc w:val="center"/>
            </w:pPr>
            <w:r>
              <w:rPr>
                <w:rFonts w:ascii="Times New Roman" w:hAnsi="Times New Roman"/>
                <w:b/>
                <w:i w:val="0"/>
                <w:sz w:val="22"/>
                <w:u w:val="none"/>
              </w:rPr>
              <w:t>Logistic Regression</w:t>
            </w:r>
          </w:p>
        </w:tc>
        <w:tc>
          <w:tcPr>
            <w:tcW w:type="dxa" w:w="1445"/>
          </w:tcPr>
          <w:p>
            <w:pPr>
              <w:jc w:val="center"/>
            </w:pPr>
            <w:r>
              <w:rPr>
                <w:rFonts w:ascii="Times New Roman" w:hAnsi="Times New Roman"/>
                <w:b/>
                <w:i w:val="0"/>
                <w:sz w:val="22"/>
                <w:u w:val="none"/>
              </w:rPr>
              <w:t>0.8436</w:t>
            </w:r>
          </w:p>
        </w:tc>
        <w:tc>
          <w:tcPr>
            <w:tcW w:type="dxa" w:w="1445"/>
          </w:tcPr>
          <w:p>
            <w:pPr>
              <w:jc w:val="center"/>
            </w:pPr>
            <w:r>
              <w:rPr>
                <w:rFonts w:ascii="Times New Roman" w:hAnsi="Times New Roman"/>
                <w:b/>
                <w:i w:val="0"/>
                <w:sz w:val="22"/>
                <w:u w:val="none"/>
              </w:rPr>
              <w:t>0.8507</w:t>
            </w:r>
          </w:p>
        </w:tc>
        <w:tc>
          <w:tcPr>
            <w:tcW w:type="dxa" w:w="1445"/>
          </w:tcPr>
          <w:p>
            <w:pPr>
              <w:jc w:val="center"/>
            </w:pPr>
            <w:r>
              <w:rPr>
                <w:rFonts w:ascii="Times New Roman" w:hAnsi="Times New Roman"/>
                <w:b/>
                <w:i w:val="0"/>
                <w:sz w:val="22"/>
                <w:u w:val="none"/>
              </w:rPr>
              <w:t>0.8447</w:t>
            </w:r>
          </w:p>
        </w:tc>
        <w:tc>
          <w:tcPr>
            <w:tcW w:type="dxa" w:w="1445"/>
          </w:tcPr>
          <w:p>
            <w:pPr>
              <w:jc w:val="center"/>
            </w:pPr>
            <w:r>
              <w:rPr>
                <w:rFonts w:ascii="Times New Roman" w:hAnsi="Times New Roman"/>
                <w:b/>
                <w:i w:val="0"/>
                <w:sz w:val="22"/>
                <w:u w:val="none"/>
              </w:rPr>
              <w:t>0.9578</w:t>
            </w:r>
          </w:p>
        </w:tc>
        <w:tc>
          <w:tcPr>
            <w:tcW w:type="dxa" w:w="1445"/>
          </w:tcPr>
          <w:p>
            <w:pPr>
              <w:jc w:val="center"/>
            </w:pPr>
            <w:r>
              <w:rPr>
                <w:rFonts w:ascii="Times New Roman" w:hAnsi="Times New Roman"/>
                <w:b/>
                <w:i w:val="0"/>
                <w:sz w:val="22"/>
                <w:u w:val="none"/>
              </w:rPr>
              <w:t>6.21</w:t>
            </w:r>
          </w:p>
        </w:tc>
      </w:tr>
      <w:tr>
        <w:tc>
          <w:tcPr>
            <w:tcW w:type="dxa" w:w="1445"/>
          </w:tcPr>
          <w:p>
            <w:pPr>
              <w:jc w:val="center"/>
            </w:pPr>
            <w:r>
              <w:rPr>
                <w:rFonts w:ascii="Times New Roman" w:hAnsi="Times New Roman"/>
                <w:b w:val="0"/>
                <w:i w:val="0"/>
                <w:sz w:val="22"/>
                <w:u w:val="none"/>
              </w:rPr>
              <w:t>Naive Bayes</w:t>
            </w:r>
          </w:p>
        </w:tc>
        <w:tc>
          <w:tcPr>
            <w:tcW w:type="dxa" w:w="1445"/>
          </w:tcPr>
          <w:p>
            <w:pPr>
              <w:jc w:val="center"/>
            </w:pPr>
            <w:r>
              <w:rPr>
                <w:rFonts w:ascii="Times New Roman" w:hAnsi="Times New Roman"/>
                <w:b w:val="0"/>
                <w:i w:val="0"/>
                <w:sz w:val="22"/>
                <w:u w:val="none"/>
              </w:rPr>
              <w:t>0.8051</w:t>
            </w:r>
          </w:p>
        </w:tc>
        <w:tc>
          <w:tcPr>
            <w:tcW w:type="dxa" w:w="1445"/>
          </w:tcPr>
          <w:p>
            <w:pPr>
              <w:jc w:val="center"/>
            </w:pPr>
            <w:r>
              <w:rPr>
                <w:rFonts w:ascii="Times New Roman" w:hAnsi="Times New Roman"/>
                <w:b w:val="0"/>
                <w:i w:val="0"/>
                <w:sz w:val="22"/>
                <w:u w:val="none"/>
              </w:rPr>
              <w:t>0.8389</w:t>
            </w:r>
          </w:p>
        </w:tc>
        <w:tc>
          <w:tcPr>
            <w:tcW w:type="dxa" w:w="1445"/>
          </w:tcPr>
          <w:p>
            <w:pPr>
              <w:jc w:val="center"/>
            </w:pPr>
            <w:r>
              <w:rPr>
                <w:rFonts w:ascii="Times New Roman" w:hAnsi="Times New Roman"/>
                <w:b w:val="0"/>
                <w:i w:val="0"/>
                <w:sz w:val="22"/>
                <w:u w:val="none"/>
              </w:rPr>
              <w:t>0.7989</w:t>
            </w:r>
          </w:p>
        </w:tc>
        <w:tc>
          <w:tcPr>
            <w:tcW w:type="dxa" w:w="1445"/>
          </w:tcPr>
          <w:p>
            <w:pPr>
              <w:jc w:val="center"/>
            </w:pPr>
            <w:r>
              <w:rPr>
                <w:rFonts w:ascii="Times New Roman" w:hAnsi="Times New Roman"/>
                <w:b w:val="0"/>
                <w:i w:val="0"/>
                <w:sz w:val="22"/>
                <w:u w:val="none"/>
              </w:rPr>
              <w:t>0.9438</w:t>
            </w:r>
          </w:p>
        </w:tc>
        <w:tc>
          <w:tcPr>
            <w:tcW w:type="dxa" w:w="1445"/>
          </w:tcPr>
          <w:p>
            <w:pPr>
              <w:jc w:val="center"/>
            </w:pPr>
            <w:r>
              <w:rPr>
                <w:rFonts w:ascii="Times New Roman" w:hAnsi="Times New Roman"/>
                <w:b w:val="0"/>
                <w:i w:val="0"/>
                <w:sz w:val="22"/>
                <w:u w:val="none"/>
              </w:rPr>
              <w:t>12.42</w:t>
            </w:r>
          </w:p>
        </w:tc>
      </w:tr>
      <w:tr>
        <w:tc>
          <w:tcPr>
            <w:tcW w:type="dxa" w:w="1445"/>
          </w:tcPr>
          <w:p>
            <w:pPr>
              <w:jc w:val="center"/>
            </w:pPr>
            <w:r>
              <w:rPr>
                <w:rFonts w:ascii="Times New Roman" w:hAnsi="Times New Roman"/>
                <w:b w:val="0"/>
                <w:i w:val="0"/>
                <w:sz w:val="22"/>
                <w:u w:val="none"/>
              </w:rPr>
              <w:t>Decision Tree</w:t>
            </w:r>
          </w:p>
        </w:tc>
        <w:tc>
          <w:tcPr>
            <w:tcW w:type="dxa" w:w="1445"/>
          </w:tcPr>
          <w:p>
            <w:pPr>
              <w:jc w:val="center"/>
            </w:pPr>
            <w:r>
              <w:rPr>
                <w:rFonts w:ascii="Times New Roman" w:hAnsi="Times New Roman"/>
                <w:b w:val="0"/>
                <w:i w:val="0"/>
                <w:sz w:val="22"/>
                <w:u w:val="none"/>
              </w:rPr>
              <w:t>0.1527</w:t>
            </w:r>
          </w:p>
        </w:tc>
        <w:tc>
          <w:tcPr>
            <w:tcW w:type="dxa" w:w="1445"/>
          </w:tcPr>
          <w:p>
            <w:pPr>
              <w:jc w:val="center"/>
            </w:pPr>
            <w:r>
              <w:rPr>
                <w:rFonts w:ascii="Times New Roman" w:hAnsi="Times New Roman"/>
                <w:b w:val="0"/>
                <w:i w:val="0"/>
                <w:sz w:val="22"/>
                <w:u w:val="none"/>
              </w:rPr>
              <w:t>0.2147</w:t>
            </w:r>
          </w:p>
        </w:tc>
        <w:tc>
          <w:tcPr>
            <w:tcW w:type="dxa" w:w="1445"/>
          </w:tcPr>
          <w:p>
            <w:pPr>
              <w:jc w:val="center"/>
            </w:pPr>
            <w:r>
              <w:rPr>
                <w:rFonts w:ascii="Times New Roman" w:hAnsi="Times New Roman"/>
                <w:b w:val="0"/>
                <w:i w:val="0"/>
                <w:sz w:val="22"/>
                <w:u w:val="none"/>
              </w:rPr>
              <w:t>0.1538</w:t>
            </w:r>
          </w:p>
        </w:tc>
        <w:tc>
          <w:tcPr>
            <w:tcW w:type="dxa" w:w="1445"/>
          </w:tcPr>
          <w:p>
            <w:pPr>
              <w:jc w:val="center"/>
            </w:pPr>
            <w:r>
              <w:rPr>
                <w:rFonts w:ascii="Times New Roman" w:hAnsi="Times New Roman"/>
                <w:b w:val="0"/>
                <w:i w:val="0"/>
                <w:sz w:val="22"/>
                <w:u w:val="none"/>
              </w:rPr>
              <w:t>0.2142</w:t>
            </w:r>
          </w:p>
        </w:tc>
        <w:tc>
          <w:tcPr>
            <w:tcW w:type="dxa" w:w="1445"/>
          </w:tcPr>
          <w:p>
            <w:pPr>
              <w:jc w:val="center"/>
            </w:pPr>
            <w:r>
              <w:rPr>
                <w:rFonts w:ascii="Times New Roman" w:hAnsi="Times New Roman"/>
                <w:b w:val="0"/>
                <w:i w:val="0"/>
                <w:sz w:val="22"/>
                <w:u w:val="none"/>
              </w:rPr>
              <w:t>0.74</w:t>
            </w:r>
          </w:p>
        </w:tc>
      </w:tr>
      <w:tr>
        <w:tc>
          <w:tcPr>
            <w:tcW w:type="dxa" w:w="1445"/>
          </w:tcPr>
          <w:p>
            <w:pPr>
              <w:jc w:val="center"/>
            </w:pPr>
            <w:r>
              <w:rPr>
                <w:rFonts w:ascii="Times New Roman" w:hAnsi="Times New Roman"/>
                <w:b w:val="0"/>
                <w:i w:val="0"/>
                <w:sz w:val="22"/>
                <w:u w:val="none"/>
              </w:rPr>
              <w:t>XGBoost</w:t>
            </w:r>
          </w:p>
        </w:tc>
        <w:tc>
          <w:tcPr>
            <w:tcW w:type="dxa" w:w="1445"/>
          </w:tcPr>
          <w:p>
            <w:pPr>
              <w:jc w:val="center"/>
            </w:pPr>
            <w:r>
              <w:rPr>
                <w:rFonts w:ascii="Times New Roman" w:hAnsi="Times New Roman"/>
                <w:b w:val="0"/>
                <w:i w:val="0"/>
                <w:sz w:val="22"/>
                <w:u w:val="none"/>
              </w:rPr>
              <w:t>0.0715</w:t>
            </w:r>
          </w:p>
        </w:tc>
        <w:tc>
          <w:tcPr>
            <w:tcW w:type="dxa" w:w="1445"/>
          </w:tcPr>
          <w:p>
            <w:pPr>
              <w:jc w:val="center"/>
            </w:pPr>
            <w:r>
              <w:rPr>
                <w:rFonts w:ascii="Times New Roman" w:hAnsi="Times New Roman"/>
                <w:b w:val="0"/>
                <w:i w:val="0"/>
                <w:sz w:val="22"/>
                <w:u w:val="none"/>
              </w:rPr>
              <w:t>0.0486</w:t>
            </w:r>
          </w:p>
        </w:tc>
        <w:tc>
          <w:tcPr>
            <w:tcW w:type="dxa" w:w="1445"/>
          </w:tcPr>
          <w:p>
            <w:pPr>
              <w:jc w:val="center"/>
            </w:pPr>
            <w:r>
              <w:rPr>
                <w:rFonts w:ascii="Times New Roman" w:hAnsi="Times New Roman"/>
                <w:b w:val="0"/>
                <w:i w:val="0"/>
                <w:sz w:val="22"/>
                <w:u w:val="none"/>
              </w:rPr>
              <w:t>0.0312</w:t>
            </w:r>
          </w:p>
        </w:tc>
        <w:tc>
          <w:tcPr>
            <w:tcW w:type="dxa" w:w="1445"/>
          </w:tcPr>
          <w:p>
            <w:pPr>
              <w:jc w:val="center"/>
            </w:pPr>
            <w:r>
              <w:rPr>
                <w:rFonts w:ascii="Times New Roman" w:hAnsi="Times New Roman"/>
                <w:b w:val="0"/>
                <w:i w:val="0"/>
                <w:sz w:val="22"/>
                <w:u w:val="none"/>
              </w:rPr>
              <w:t>0.0885</w:t>
            </w:r>
          </w:p>
        </w:tc>
        <w:tc>
          <w:tcPr>
            <w:tcW w:type="dxa" w:w="1445"/>
          </w:tcPr>
          <w:p>
            <w:pPr>
              <w:jc w:val="center"/>
            </w:pPr>
            <w:r>
              <w:rPr>
                <w:rFonts w:ascii="Times New Roman" w:hAnsi="Times New Roman"/>
                <w:b w:val="0"/>
                <w:i w:val="0"/>
                <w:sz w:val="22"/>
                <w:u w:val="none"/>
              </w:rPr>
              <w:t>17.66</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10.2 – Classifier Performance Comparison on Held-Out Test Set</w:t>
      </w:r>
    </w:p>
    <w:p>
      <w:pPr>
        <w:spacing w:before="280" w:after="80" w:line="360" w:lineRule="exact"/>
        <w:jc w:val="left"/>
      </w:pPr>
      <w:r>
        <w:rPr>
          <w:rFonts w:ascii="Times New Roman" w:hAnsi="Times New Roman"/>
          <w:b/>
          <w:i w:val="0"/>
          <w:sz w:val="26"/>
          <w:u w:val="none"/>
        </w:rPr>
        <w:t>10.4  Confusion Matrix Analysis</w:t>
      </w:r>
    </w:p>
    <w:p>
      <w:pPr>
        <w:spacing w:before="0" w:after="160" w:line="360" w:lineRule="exact"/>
        <w:ind w:firstLine="432"/>
        <w:jc w:val="both"/>
      </w:pPr>
      <w:r>
        <w:rPr>
          <w:rFonts w:ascii="Times New Roman" w:hAnsi="Times New Roman"/>
          <w:b w:val="0"/>
          <w:i w:val="0"/>
          <w:sz w:val="24"/>
          <w:u w:val="none"/>
        </w:rPr>
        <w:t>Figure 10.1 shows the normalised confusion matrix for the Logistic Regression classifier. The diagonal dominance confirms strong overall performance, with most confusion concentrated between medically similar disease pairs (e.g. Infectious vs. Noninfectious Gastroenteritis, Cholecystitis vs. Gallstone).</w:t>
      </w:r>
    </w:p>
    <w:p>
      <w:pPr>
        <w:spacing w:before="120" w:after="40"/>
        <w:jc w:val="center"/>
      </w:pPr>
      <w:r>
        <w:drawing>
          <wp:inline xmlns:a="http://schemas.openxmlformats.org/drawingml/2006/main" xmlns:pic="http://schemas.openxmlformats.org/drawingml/2006/picture">
            <wp:extent cx="5029200" cy="4023360"/>
            <wp:docPr id="11" name="Picture 1"/>
            <wp:cNvGraphicFramePr>
              <a:graphicFrameLocks noChangeAspect="1"/>
            </wp:cNvGraphicFramePr>
            <a:graphic>
              <a:graphicData uri="http://schemas.openxmlformats.org/drawingml/2006/picture">
                <pic:pic>
                  <pic:nvPicPr>
                    <pic:cNvPr id="11" name="logistic_regression_cm_normalized.png"/>
                    <pic:cNvPicPr/>
                  </pic:nvPicPr>
                  <pic:blipFill>
                    <a:blip r:embed="rId18"/>
                    <a:stretch>
                      <a:fillRect/>
                    </a:stretch>
                  </pic:blipFill>
                  <pic:spPr>
                    <a:xfrm>
                      <a:off x="0" y="0"/>
                      <a:ext cx="5029200" cy="4023360"/>
                    </a:xfrm>
                    <a:prstGeom prst="rect"/>
                  </pic:spPr>
                </pic:pic>
              </a:graphicData>
            </a:graphic>
          </wp:inline>
        </w:drawing>
      </w:r>
    </w:p>
    <w:p>
      <w:pPr>
        <w:spacing w:before="80" w:after="240"/>
        <w:jc w:val="center"/>
      </w:pPr>
      <w:r>
        <w:rPr>
          <w:rFonts w:ascii="Times New Roman" w:hAnsi="Times New Roman"/>
          <w:b w:val="0"/>
          <w:i/>
          <w:sz w:val="22"/>
          <w:u w:val="none"/>
        </w:rPr>
        <w:t>Figure 10.1 – Logistic Regression Normalised Confusion Matrix</w:t>
      </w:r>
    </w:p>
    <w:p>
      <w:pPr>
        <w:spacing w:before="0" w:after="160" w:line="360" w:lineRule="exact"/>
        <w:ind w:firstLine="432"/>
        <w:jc w:val="both"/>
      </w:pPr>
      <w:r>
        <w:rPr>
          <w:rFonts w:ascii="Times New Roman" w:hAnsi="Times New Roman"/>
          <w:b w:val="0"/>
          <w:i w:val="0"/>
          <w:sz w:val="24"/>
          <w:u w:val="none"/>
        </w:rPr>
        <w:t>The most frequently confused disease pair is Infectious Gastroenteritis vs. Noninfectious Gastroenteritis (42 misclassifications), followed by Cholecystitis vs. Gallstone (34), and Skin Polyp vs. Skin Pigmentation Disorder (28). These confusions are clinically understandable—the conditions within each pair share substantial symptom overlap—and in most cases the correct diagnosis still appears in the Top-3 results.</w:t>
      </w:r>
    </w:p>
    <w:p>
      <w:pPr>
        <w:spacing w:before="280" w:after="80" w:line="360" w:lineRule="exact"/>
        <w:jc w:val="left"/>
      </w:pPr>
      <w:r>
        <w:rPr>
          <w:rFonts w:ascii="Times New Roman" w:hAnsi="Times New Roman"/>
          <w:b/>
          <w:i w:val="0"/>
          <w:sz w:val="26"/>
          <w:u w:val="none"/>
        </w:rPr>
        <w:t>10.5  Uncertainty Analysis</w:t>
      </w:r>
    </w:p>
    <w:p>
      <w:pPr>
        <w:spacing w:before="0" w:after="160" w:line="360" w:lineRule="exact"/>
        <w:ind w:firstLine="432"/>
        <w:jc w:val="both"/>
      </w:pPr>
      <w:r>
        <w:rPr>
          <w:rFonts w:ascii="Times New Roman" w:hAnsi="Times New Roman"/>
          <w:b w:val="0"/>
          <w:i w:val="0"/>
          <w:sz w:val="24"/>
          <w:u w:val="none"/>
        </w:rPr>
        <w:t>Figure 10.2 shows the confidence score distribution for the Logistic Regression model across the validation set. The distribution is bimodal: a large proportion of predictions fall above 0.75 confidence, and a smaller peak appears below 0.25, corresponding to genuinely ambiguous inputs.</w:t>
      </w:r>
    </w:p>
    <w:p>
      <w:pPr>
        <w:spacing w:before="120" w:after="40"/>
        <w:jc w:val="center"/>
      </w:pPr>
      <w:r>
        <w:drawing>
          <wp:inline xmlns:a="http://schemas.openxmlformats.org/drawingml/2006/main" xmlns:pic="http://schemas.openxmlformats.org/drawingml/2006/picture">
            <wp:extent cx="4572000" cy="2743200"/>
            <wp:docPr id="12" name="Picture 2"/>
            <wp:cNvGraphicFramePr>
              <a:graphicFrameLocks noChangeAspect="1"/>
            </wp:cNvGraphicFramePr>
            <a:graphic>
              <a:graphicData uri="http://schemas.openxmlformats.org/drawingml/2006/picture">
                <pic:pic>
                  <pic:nvPicPr>
                    <pic:cNvPr id="12" name="logistic_regression_confidence_hist.png"/>
                    <pic:cNvPicPr/>
                  </pic:nvPicPr>
                  <pic:blipFill>
                    <a:blip r:embed="rId19"/>
                    <a:stretch>
                      <a:fillRect/>
                    </a:stretch>
                  </pic:blipFill>
                  <pic:spPr>
                    <a:xfrm>
                      <a:off x="0" y="0"/>
                      <a:ext cx="4572000" cy="2743200"/>
                    </a:xfrm>
                    <a:prstGeom prst="rect"/>
                  </pic:spPr>
                </pic:pic>
              </a:graphicData>
            </a:graphic>
          </wp:inline>
        </w:drawing>
      </w:r>
    </w:p>
    <w:p>
      <w:pPr>
        <w:spacing w:before="80" w:after="240"/>
        <w:jc w:val="center"/>
      </w:pPr>
      <w:r>
        <w:rPr>
          <w:rFonts w:ascii="Times New Roman" w:hAnsi="Times New Roman"/>
          <w:b w:val="0"/>
          <w:i/>
          <w:sz w:val="22"/>
          <w:u w:val="none"/>
        </w:rPr>
        <w:t>Figure 10.2 – Logistic Regression Confidence Score Distribution (Validation Set)</w:t>
      </w:r>
    </w:p>
    <w:p>
      <w:pPr>
        <w:spacing w:before="0" w:after="160" w:line="360" w:lineRule="exact"/>
        <w:ind w:firstLine="432"/>
        <w:jc w:val="both"/>
      </w:pPr>
      <w:r>
        <w:rPr>
          <w:rFonts w:ascii="Times New Roman" w:hAnsi="Times New Roman"/>
          <w:b w:val="0"/>
          <w:i w:val="0"/>
          <w:sz w:val="24"/>
          <w:u w:val="none"/>
        </w:rPr>
        <w:t>Figure 10.3 shows the entropy histogram. High-entropy predictions (H &gt; 3.5 bits) correspond precisely to the low-confidence tail in Figure 10.2 and are reliably identified by the uncertainty warning system.</w:t>
      </w:r>
    </w:p>
    <w:p>
      <w:pPr>
        <w:spacing w:before="120" w:after="40"/>
        <w:jc w:val="center"/>
      </w:pPr>
      <w:r>
        <w:drawing>
          <wp:inline xmlns:a="http://schemas.openxmlformats.org/drawingml/2006/main" xmlns:pic="http://schemas.openxmlformats.org/drawingml/2006/picture">
            <wp:extent cx="4572000" cy="2743200"/>
            <wp:docPr id="13" name="Picture 3"/>
            <wp:cNvGraphicFramePr>
              <a:graphicFrameLocks noChangeAspect="1"/>
            </wp:cNvGraphicFramePr>
            <a:graphic>
              <a:graphicData uri="http://schemas.openxmlformats.org/drawingml/2006/picture">
                <pic:pic>
                  <pic:nvPicPr>
                    <pic:cNvPr id="13" name="logistic_regression_entropy_hist.png"/>
                    <pic:cNvPicPr/>
                  </pic:nvPicPr>
                  <pic:blipFill>
                    <a:blip r:embed="rId20"/>
                    <a:stretch>
                      <a:fillRect/>
                    </a:stretch>
                  </pic:blipFill>
                  <pic:spPr>
                    <a:xfrm>
                      <a:off x="0" y="0"/>
                      <a:ext cx="4572000" cy="2743200"/>
                    </a:xfrm>
                    <a:prstGeom prst="rect"/>
                  </pic:spPr>
                </pic:pic>
              </a:graphicData>
            </a:graphic>
          </wp:inline>
        </w:drawing>
      </w:r>
    </w:p>
    <w:p>
      <w:pPr>
        <w:spacing w:before="80" w:after="240"/>
        <w:jc w:val="center"/>
      </w:pPr>
      <w:r>
        <w:rPr>
          <w:rFonts w:ascii="Times New Roman" w:hAnsi="Times New Roman"/>
          <w:b w:val="0"/>
          <w:i/>
          <w:sz w:val="22"/>
          <w:u w:val="none"/>
        </w:rPr>
        <w:t>Figure 10.3 – Prediction Entropy Distribution (Logistic Regression, Validation Set)</w:t>
      </w:r>
    </w:p>
    <w:p>
      <w:pPr>
        <w:spacing w:before="280" w:after="80" w:line="360" w:lineRule="exact"/>
        <w:jc w:val="left"/>
      </w:pPr>
      <w:r>
        <w:rPr>
          <w:rFonts w:ascii="Times New Roman" w:hAnsi="Times New Roman"/>
          <w:b/>
          <w:i w:val="0"/>
          <w:sz w:val="26"/>
          <w:u w:val="none"/>
        </w:rPr>
        <w:t>10.6  Confidence Distribution: Validation Suite</w:t>
      </w:r>
    </w:p>
    <w:p>
      <w:pPr>
        <w:spacing w:before="0" w:after="160" w:line="360" w:lineRule="exact"/>
        <w:ind w:firstLine="432"/>
        <w:jc w:val="both"/>
      </w:pPr>
      <w:r>
        <w:rPr>
          <w:rFonts w:ascii="Times New Roman" w:hAnsi="Times New Roman"/>
          <w:b w:val="0"/>
          <w:i w:val="0"/>
          <w:sz w:val="24"/>
          <w:u w:val="none"/>
        </w:rPr>
        <w:t>Figure 10.4 presents the confidence score distribution across all 500 validation cases, including both emergency and non-emergency inputs.</w:t>
      </w:r>
    </w:p>
    <w:p>
      <w:pPr>
        <w:spacing w:before="120" w:after="40"/>
        <w:jc w:val="center"/>
      </w:pPr>
      <w:r>
        <w:drawing>
          <wp:inline xmlns:a="http://schemas.openxmlformats.org/drawingml/2006/main" xmlns:pic="http://schemas.openxmlformats.org/drawingml/2006/picture">
            <wp:extent cx="4572000" cy="2743200"/>
            <wp:docPr id="14" name="Picture 4"/>
            <wp:cNvGraphicFramePr>
              <a:graphicFrameLocks noChangeAspect="1"/>
            </wp:cNvGraphicFramePr>
            <a:graphic>
              <a:graphicData uri="http://schemas.openxmlformats.org/drawingml/2006/picture">
                <pic:pic>
                  <pic:nvPicPr>
                    <pic:cNvPr id="14" name="confidence_distribution.png"/>
                    <pic:cNvPicPr/>
                  </pic:nvPicPr>
                  <pic:blipFill>
                    <a:blip r:embed="rId21"/>
                    <a:stretch>
                      <a:fillRect/>
                    </a:stretch>
                  </pic:blipFill>
                  <pic:spPr>
                    <a:xfrm>
                      <a:off x="0" y="0"/>
                      <a:ext cx="4572000" cy="2743200"/>
                    </a:xfrm>
                    <a:prstGeom prst="rect"/>
                  </pic:spPr>
                </pic:pic>
              </a:graphicData>
            </a:graphic>
          </wp:inline>
        </w:drawing>
      </w:r>
    </w:p>
    <w:p>
      <w:pPr>
        <w:spacing w:before="80" w:after="240"/>
        <w:jc w:val="center"/>
      </w:pPr>
      <w:r>
        <w:rPr>
          <w:rFonts w:ascii="Times New Roman" w:hAnsi="Times New Roman"/>
          <w:b w:val="0"/>
          <w:i/>
          <w:sz w:val="22"/>
          <w:u w:val="none"/>
        </w:rPr>
        <w:t>Figure 10.4 – Confidence Score Distribution Across 500-Case Validation Suite</w:t>
      </w:r>
    </w:p>
    <w:p>
      <w:pPr>
        <w:spacing w:before="0" w:after="160" w:line="360" w:lineRule="exact"/>
        <w:ind w:firstLine="432"/>
        <w:jc w:val="both"/>
      </w:pPr>
      <w:r>
        <w:rPr>
          <w:rFonts w:ascii="Times New Roman" w:hAnsi="Times New Roman"/>
          <w:b w:val="0"/>
          <w:i w:val="0"/>
          <w:sz w:val="24"/>
          <w:u w:val="none"/>
        </w:rPr>
        <w:t>The spike at the right end of the distribution reflects the 100 emergency cases, which are assigned a synthetic confidence of 1.0 by the Emergency Override Layer (since they bypass ML inference entirely and are therefore deterministically correct). The remaining distribution reflects the natural spread of ML confidence scores across non-emergency inputs.</w:t>
      </w:r>
    </w:p>
    <w:p>
      <w:pPr>
        <w:spacing w:before="280" w:after="80" w:line="360" w:lineRule="exact"/>
        <w:jc w:val="left"/>
      </w:pPr>
      <w:r>
        <w:rPr>
          <w:rFonts w:ascii="Times New Roman" w:hAnsi="Times New Roman"/>
          <w:b/>
          <w:i w:val="0"/>
          <w:sz w:val="26"/>
          <w:u w:val="none"/>
        </w:rPr>
        <w:t>10.7  Severity Distribution Analysis</w:t>
      </w:r>
    </w:p>
    <w:p>
      <w:pPr>
        <w:spacing w:before="0" w:after="160" w:line="360" w:lineRule="exact"/>
        <w:ind w:firstLine="432"/>
        <w:jc w:val="both"/>
      </w:pPr>
      <w:r>
        <w:rPr>
          <w:rFonts w:ascii="Times New Roman" w:hAnsi="Times New Roman"/>
          <w:b w:val="0"/>
          <w:i w:val="0"/>
          <w:sz w:val="24"/>
          <w:u w:val="none"/>
        </w:rPr>
        <w:t>Figure 10.5 shows the distribution of predicted severity levels across the non-emergency test cases. The majority of predictions fall in the Mild to Moderate range, which is consistent with the common-symptom composition of the validation dataset.</w:t>
      </w:r>
    </w:p>
    <w:p>
      <w:pPr>
        <w:spacing w:before="120" w:after="40"/>
        <w:jc w:val="center"/>
      </w:pPr>
      <w:r>
        <w:drawing>
          <wp:inline xmlns:a="http://schemas.openxmlformats.org/drawingml/2006/main" xmlns:pic="http://schemas.openxmlformats.org/drawingml/2006/picture">
            <wp:extent cx="4572000" cy="2857500"/>
            <wp:docPr id="15" name="Picture 5"/>
            <wp:cNvGraphicFramePr>
              <a:graphicFrameLocks noChangeAspect="1"/>
            </wp:cNvGraphicFramePr>
            <a:graphic>
              <a:graphicData uri="http://schemas.openxmlformats.org/drawingml/2006/picture">
                <pic:pic>
                  <pic:nvPicPr>
                    <pic:cNvPr id="15" name="severity_distribution.png"/>
                    <pic:cNvPicPr/>
                  </pic:nvPicPr>
                  <pic:blipFill>
                    <a:blip r:embed="rId22"/>
                    <a:stretch>
                      <a:fillRect/>
                    </a:stretch>
                  </pic:blipFill>
                  <pic:spPr>
                    <a:xfrm>
                      <a:off x="0" y="0"/>
                      <a:ext cx="4572000" cy="2857500"/>
                    </a:xfrm>
                    <a:prstGeom prst="rect"/>
                  </pic:spPr>
                </pic:pic>
              </a:graphicData>
            </a:graphic>
          </wp:inline>
        </w:drawing>
      </w:r>
    </w:p>
    <w:p>
      <w:pPr>
        <w:spacing w:before="80" w:after="240"/>
        <w:jc w:val="center"/>
      </w:pPr>
      <w:r>
        <w:rPr>
          <w:rFonts w:ascii="Times New Roman" w:hAnsi="Times New Roman"/>
          <w:b w:val="0"/>
          <w:i/>
          <w:sz w:val="22"/>
          <w:u w:val="none"/>
        </w:rPr>
        <w:t>Figure 10.5 – Predicted Severity Distribution Across Non-Emergency Validation Cases</w:t>
      </w:r>
    </w:p>
    <w:p>
      <w:pPr>
        <w:spacing w:before="280" w:after="80" w:line="360" w:lineRule="exact"/>
        <w:jc w:val="left"/>
      </w:pPr>
      <w:r>
        <w:rPr>
          <w:rFonts w:ascii="Times New Roman" w:hAnsi="Times New Roman"/>
          <w:b/>
          <w:i w:val="0"/>
          <w:sz w:val="26"/>
          <w:u w:val="none"/>
        </w:rPr>
        <w:t>10.8  Calibration Analysis</w:t>
      </w:r>
    </w:p>
    <w:p>
      <w:pPr>
        <w:spacing w:before="0" w:after="160" w:line="360" w:lineRule="exact"/>
        <w:ind w:firstLine="432"/>
        <w:jc w:val="both"/>
      </w:pPr>
      <w:r>
        <w:rPr>
          <w:rFonts w:ascii="Times New Roman" w:hAnsi="Times New Roman"/>
          <w:b w:val="0"/>
          <w:i w:val="0"/>
          <w:sz w:val="24"/>
          <w:u w:val="none"/>
        </w:rPr>
        <w:t>Model calibration—whether the predicted confidence scores accurately reflect empirical accuracy—was evaluated for both classifiers. Figure 10.6 shows the calibration curve for the Logistic Regression model.</w:t>
      </w:r>
    </w:p>
    <w:p>
      <w:pPr>
        <w:spacing w:before="120" w:after="40"/>
        <w:jc w:val="center"/>
      </w:pPr>
      <w:r>
        <w:drawing>
          <wp:inline xmlns:a="http://schemas.openxmlformats.org/drawingml/2006/main" xmlns:pic="http://schemas.openxmlformats.org/drawingml/2006/picture">
            <wp:extent cx="4754880" cy="3067544"/>
            <wp:docPr id="16" name="Picture 6"/>
            <wp:cNvGraphicFramePr>
              <a:graphicFrameLocks noChangeAspect="1"/>
            </wp:cNvGraphicFramePr>
            <a:graphic>
              <a:graphicData uri="http://schemas.openxmlformats.org/drawingml/2006/picture">
                <pic:pic>
                  <pic:nvPicPr>
                    <pic:cNvPr id="16" name="logistic_regression_calibration.png"/>
                    <pic:cNvPicPr/>
                  </pic:nvPicPr>
                  <pic:blipFill>
                    <a:blip r:embed="rId23"/>
                    <a:stretch>
                      <a:fillRect/>
                    </a:stretch>
                  </pic:blipFill>
                  <pic:spPr>
                    <a:xfrm>
                      <a:off x="0" y="0"/>
                      <a:ext cx="4754880" cy="3067544"/>
                    </a:xfrm>
                    <a:prstGeom prst="rect"/>
                  </pic:spPr>
                </pic:pic>
              </a:graphicData>
            </a:graphic>
          </wp:inline>
        </w:drawing>
      </w:r>
    </w:p>
    <w:p>
      <w:pPr>
        <w:spacing w:before="80" w:after="240"/>
        <w:jc w:val="center"/>
      </w:pPr>
      <w:r>
        <w:rPr>
          <w:rFonts w:ascii="Times New Roman" w:hAnsi="Times New Roman"/>
          <w:b w:val="0"/>
          <w:i/>
          <w:sz w:val="22"/>
          <w:u w:val="none"/>
        </w:rPr>
        <w:t>Figure 10.6 – Logistic Regression Calibration Curve (Reliability Diagram)</w:t>
      </w:r>
    </w:p>
    <w:p>
      <w:pPr>
        <w:spacing w:before="0" w:after="160" w:line="360" w:lineRule="exact"/>
        <w:ind w:firstLine="432"/>
        <w:jc w:val="both"/>
      </w:pPr>
      <w:r>
        <w:rPr>
          <w:rFonts w:ascii="Times New Roman" w:hAnsi="Times New Roman"/>
          <w:b w:val="0"/>
          <w:i w:val="0"/>
          <w:sz w:val="24"/>
          <w:u w:val="none"/>
        </w:rPr>
        <w:t>The calibration curve shows mild overconfidence in the 0.6–0.8 confidence range, which is a known property of Logistic Regression on multi-class problems. This motivates the use of confidence normalisation and the uncertainty warning system rather than displaying raw probability scores, as raw scores slightly overestimate model reliability in this range.</w:t>
      </w:r>
    </w:p>
    <w:p>
      <w:pPr>
        <w:spacing w:before="0" w:after="120" w:line="400" w:lineRule="exact"/>
        <w:jc w:val="left"/>
      </w:pPr>
      <w:r>
        <w:rPr>
          <w:rFonts w:ascii="Times New Roman" w:hAnsi="Times New Roman"/>
          <w:b/>
          <w:i w:val="0"/>
          <w:sz w:val="32"/>
          <w:u w:val="single"/>
        </w:rPr>
        <w:t>Chapter 11: Results and Analysis</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This chapter consolidates and analyses all quantitative results produced during the evaluation of MediAssist AI, including ML classifier performance, safety metric outcomes, before-vs-after failure reduction, medical plausibility improvements, and model comparison insights.</w:t>
      </w:r>
    </w:p>
    <w:p>
      <w:pPr>
        <w:spacing w:before="280" w:after="80" w:line="360" w:lineRule="exact"/>
        <w:jc w:val="left"/>
      </w:pPr>
      <w:r>
        <w:rPr>
          <w:rFonts w:ascii="Times New Roman" w:hAnsi="Times New Roman"/>
          <w:b/>
          <w:i w:val="0"/>
          <w:sz w:val="26"/>
          <w:u w:val="none"/>
        </w:rPr>
        <w:t>11.1  Primary Result: Safety Metric Achievement</w:t>
      </w:r>
    </w:p>
    <w:p>
      <w:pPr>
        <w:spacing w:before="0" w:after="120" w:line="360" w:lineRule="exact"/>
        <w:ind w:firstLine="0"/>
        <w:jc w:val="both"/>
      </w:pPr>
      <w:r>
        <w:rPr>
          <w:rFonts w:ascii="Times New Roman" w:hAnsi="Times New Roman"/>
          <w:b w:val="0"/>
          <w:i w:val="0"/>
          <w:sz w:val="24"/>
          <w:u w:val="none"/>
        </w:rPr>
        <w:t>The headline result of this project is the complete elimination of emergency misclassification through the hybrid architecture. Table 11.1 presents the final safety metrics alongside the baseline (ML-only) values and the improvement achieved.</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jc w:val="center"/>
            </w:pPr>
            <w:r>
              <w:rPr>
                <w:rFonts w:ascii="Times New Roman" w:hAnsi="Times New Roman"/>
                <w:b/>
                <w:i w:val="0"/>
                <w:sz w:val="22"/>
                <w:u w:val="none"/>
              </w:rPr>
              <w:t>Metric</w:t>
            </w:r>
          </w:p>
        </w:tc>
        <w:tc>
          <w:tcPr>
            <w:tcW w:type="dxa" w:w="2167"/>
          </w:tcPr>
          <w:p>
            <w:pPr>
              <w:jc w:val="center"/>
            </w:pPr>
            <w:r>
              <w:rPr>
                <w:rFonts w:ascii="Times New Roman" w:hAnsi="Times New Roman"/>
                <w:b/>
                <w:i w:val="0"/>
                <w:sz w:val="22"/>
                <w:u w:val="none"/>
              </w:rPr>
              <w:t>Baseline (ML Only)</w:t>
            </w:r>
          </w:p>
        </w:tc>
        <w:tc>
          <w:tcPr>
            <w:tcW w:type="dxa" w:w="2167"/>
          </w:tcPr>
          <w:p>
            <w:pPr>
              <w:jc w:val="center"/>
            </w:pPr>
            <w:r>
              <w:rPr>
                <w:rFonts w:ascii="Times New Roman" w:hAnsi="Times New Roman"/>
                <w:b/>
                <w:i w:val="0"/>
                <w:sz w:val="22"/>
                <w:u w:val="none"/>
              </w:rPr>
              <w:t>MediAssist AI (Hybrid)</w:t>
            </w:r>
          </w:p>
        </w:tc>
        <w:tc>
          <w:tcPr>
            <w:tcW w:type="dxa" w:w="2167"/>
          </w:tcPr>
          <w:p>
            <w:pPr>
              <w:jc w:val="center"/>
            </w:pPr>
            <w:r>
              <w:rPr>
                <w:rFonts w:ascii="Times New Roman" w:hAnsi="Times New Roman"/>
                <w:b/>
                <w:i w:val="0"/>
                <w:sz w:val="22"/>
                <w:u w:val="none"/>
              </w:rPr>
              <w:t>Improvement</w:t>
            </w:r>
          </w:p>
        </w:tc>
      </w:tr>
      <w:tr>
        <w:tc>
          <w:tcPr>
            <w:tcW w:type="dxa" w:w="2167"/>
          </w:tcPr>
          <w:p>
            <w:pPr>
              <w:jc w:val="center"/>
            </w:pPr>
            <w:r>
              <w:rPr>
                <w:rFonts w:ascii="Times New Roman" w:hAnsi="Times New Roman"/>
                <w:b w:val="0"/>
                <w:i w:val="0"/>
                <w:sz w:val="22"/>
                <w:u w:val="none"/>
              </w:rPr>
              <w:t>EEA</w:t>
            </w:r>
          </w:p>
        </w:tc>
        <w:tc>
          <w:tcPr>
            <w:tcW w:type="dxa" w:w="2167"/>
          </w:tcPr>
          <w:p>
            <w:pPr>
              <w:jc w:val="center"/>
            </w:pPr>
            <w:r>
              <w:rPr>
                <w:rFonts w:ascii="Times New Roman" w:hAnsi="Times New Roman"/>
                <w:b w:val="0"/>
                <w:i w:val="0"/>
                <w:sz w:val="22"/>
                <w:u w:val="none"/>
              </w:rPr>
              <w:t>65.8%</w:t>
            </w:r>
          </w:p>
        </w:tc>
        <w:tc>
          <w:tcPr>
            <w:tcW w:type="dxa" w:w="2167"/>
          </w:tcPr>
          <w:p>
            <w:pPr>
              <w:jc w:val="center"/>
            </w:pPr>
            <w:r>
              <w:rPr>
                <w:rFonts w:ascii="Times New Roman" w:hAnsi="Times New Roman"/>
                <w:b w:val="0"/>
                <w:i w:val="0"/>
                <w:sz w:val="22"/>
                <w:u w:val="none"/>
              </w:rPr>
              <w:t>100.0%</w:t>
            </w:r>
          </w:p>
        </w:tc>
        <w:tc>
          <w:tcPr>
            <w:tcW w:type="dxa" w:w="2167"/>
          </w:tcPr>
          <w:p>
            <w:pPr>
              <w:jc w:val="center"/>
            </w:pPr>
            <w:r>
              <w:rPr>
                <w:rFonts w:ascii="Times New Roman" w:hAnsi="Times New Roman"/>
                <w:b w:val="0"/>
                <w:i w:val="0"/>
                <w:sz w:val="22"/>
                <w:u w:val="none"/>
              </w:rPr>
              <w:t>+34.2 pp</w:t>
            </w:r>
          </w:p>
        </w:tc>
      </w:tr>
      <w:tr>
        <w:tc>
          <w:tcPr>
            <w:tcW w:type="dxa" w:w="2167"/>
          </w:tcPr>
          <w:p>
            <w:pPr>
              <w:jc w:val="center"/>
            </w:pPr>
            <w:r>
              <w:rPr>
                <w:rFonts w:ascii="Times New Roman" w:hAnsi="Times New Roman"/>
                <w:b w:val="0"/>
                <w:i w:val="0"/>
                <w:sz w:val="22"/>
                <w:u w:val="none"/>
              </w:rPr>
              <w:t>MER</w:t>
            </w:r>
          </w:p>
        </w:tc>
        <w:tc>
          <w:tcPr>
            <w:tcW w:type="dxa" w:w="2167"/>
          </w:tcPr>
          <w:p>
            <w:pPr>
              <w:jc w:val="center"/>
            </w:pPr>
            <w:r>
              <w:rPr>
                <w:rFonts w:ascii="Times New Roman" w:hAnsi="Times New Roman"/>
                <w:b w:val="0"/>
                <w:i w:val="0"/>
                <w:sz w:val="22"/>
                <w:u w:val="none"/>
              </w:rPr>
              <w:t>34.2%</w:t>
            </w:r>
          </w:p>
        </w:tc>
        <w:tc>
          <w:tcPr>
            <w:tcW w:type="dxa" w:w="2167"/>
          </w:tcPr>
          <w:p>
            <w:pPr>
              <w:jc w:val="center"/>
            </w:pPr>
            <w:r>
              <w:rPr>
                <w:rFonts w:ascii="Times New Roman" w:hAnsi="Times New Roman"/>
                <w:b w:val="0"/>
                <w:i w:val="0"/>
                <w:sz w:val="22"/>
                <w:u w:val="none"/>
              </w:rPr>
              <w:t>0.0%</w:t>
            </w:r>
          </w:p>
        </w:tc>
        <w:tc>
          <w:tcPr>
            <w:tcW w:type="dxa" w:w="2167"/>
          </w:tcPr>
          <w:p>
            <w:pPr>
              <w:jc w:val="center"/>
            </w:pPr>
            <w:r>
              <w:rPr>
                <w:rFonts w:ascii="Times New Roman" w:hAnsi="Times New Roman"/>
                <w:b w:val="0"/>
                <w:i w:val="0"/>
                <w:sz w:val="22"/>
                <w:u w:val="none"/>
              </w:rPr>
              <w:t>-34.2 pp</w:t>
            </w:r>
          </w:p>
        </w:tc>
      </w:tr>
      <w:tr>
        <w:tc>
          <w:tcPr>
            <w:tcW w:type="dxa" w:w="2167"/>
          </w:tcPr>
          <w:p>
            <w:pPr>
              <w:jc w:val="center"/>
            </w:pPr>
            <w:r>
              <w:rPr>
                <w:rFonts w:ascii="Times New Roman" w:hAnsi="Times New Roman"/>
                <w:b w:val="0"/>
                <w:i w:val="0"/>
                <w:sz w:val="22"/>
                <w:u w:val="none"/>
              </w:rPr>
              <w:t>UPR</w:t>
            </w:r>
          </w:p>
        </w:tc>
        <w:tc>
          <w:tcPr>
            <w:tcW w:type="dxa" w:w="2167"/>
          </w:tcPr>
          <w:p>
            <w:pPr>
              <w:jc w:val="center"/>
            </w:pPr>
            <w:r>
              <w:rPr>
                <w:rFonts w:ascii="Times New Roman" w:hAnsi="Times New Roman"/>
                <w:b w:val="0"/>
                <w:i w:val="0"/>
                <w:sz w:val="22"/>
                <w:u w:val="none"/>
              </w:rPr>
              <w:t>12.5%</w:t>
            </w:r>
          </w:p>
        </w:tc>
        <w:tc>
          <w:tcPr>
            <w:tcW w:type="dxa" w:w="2167"/>
          </w:tcPr>
          <w:p>
            <w:pPr>
              <w:jc w:val="center"/>
            </w:pPr>
            <w:r>
              <w:rPr>
                <w:rFonts w:ascii="Times New Roman" w:hAnsi="Times New Roman"/>
                <w:b w:val="0"/>
                <w:i w:val="0"/>
                <w:sz w:val="22"/>
                <w:u w:val="none"/>
              </w:rPr>
              <w:t>0.0%</w:t>
            </w:r>
          </w:p>
        </w:tc>
        <w:tc>
          <w:tcPr>
            <w:tcW w:type="dxa" w:w="2167"/>
          </w:tcPr>
          <w:p>
            <w:pPr>
              <w:jc w:val="center"/>
            </w:pPr>
            <w:r>
              <w:rPr>
                <w:rFonts w:ascii="Times New Roman" w:hAnsi="Times New Roman"/>
                <w:b w:val="0"/>
                <w:i w:val="0"/>
                <w:sz w:val="22"/>
                <w:u w:val="none"/>
              </w:rPr>
              <w:t>-12.5 pp</w:t>
            </w:r>
          </w:p>
        </w:tc>
      </w:tr>
      <w:tr>
        <w:tc>
          <w:tcPr>
            <w:tcW w:type="dxa" w:w="2167"/>
          </w:tcPr>
          <w:p>
            <w:pPr>
              <w:jc w:val="center"/>
            </w:pPr>
            <w:r>
              <w:rPr>
                <w:rFonts w:ascii="Times New Roman" w:hAnsi="Times New Roman"/>
                <w:b w:val="0"/>
                <w:i w:val="0"/>
                <w:sz w:val="22"/>
                <w:u w:val="none"/>
              </w:rPr>
              <w:t>Implausible Rate</w:t>
            </w:r>
          </w:p>
        </w:tc>
        <w:tc>
          <w:tcPr>
            <w:tcW w:type="dxa" w:w="2167"/>
          </w:tcPr>
          <w:p>
            <w:pPr>
              <w:jc w:val="center"/>
            </w:pPr>
            <w:r>
              <w:rPr>
                <w:rFonts w:ascii="Times New Roman" w:hAnsi="Times New Roman"/>
                <w:b w:val="0"/>
                <w:i w:val="0"/>
                <w:sz w:val="22"/>
                <w:u w:val="none"/>
              </w:rPr>
              <w:t>28.4%</w:t>
            </w:r>
          </w:p>
        </w:tc>
        <w:tc>
          <w:tcPr>
            <w:tcW w:type="dxa" w:w="2167"/>
          </w:tcPr>
          <w:p>
            <w:pPr>
              <w:jc w:val="center"/>
            </w:pPr>
            <w:r>
              <w:rPr>
                <w:rFonts w:ascii="Times New Roman" w:hAnsi="Times New Roman"/>
                <w:b w:val="0"/>
                <w:i w:val="0"/>
                <w:sz w:val="22"/>
                <w:u w:val="none"/>
              </w:rPr>
              <w:t>0.0%</w:t>
            </w:r>
          </w:p>
        </w:tc>
        <w:tc>
          <w:tcPr>
            <w:tcW w:type="dxa" w:w="2167"/>
          </w:tcPr>
          <w:p>
            <w:pPr>
              <w:jc w:val="center"/>
            </w:pPr>
            <w:r>
              <w:rPr>
                <w:rFonts w:ascii="Times New Roman" w:hAnsi="Times New Roman"/>
                <w:b w:val="0"/>
                <w:i w:val="0"/>
                <w:sz w:val="22"/>
                <w:u w:val="none"/>
              </w:rPr>
              <w:t>-28.4 pp</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11.1 – Safety Metric Comparison: Baseline vs. MediAssist AI Hybrid Architecture</w:t>
      </w:r>
    </w:p>
    <w:p>
      <w:pPr>
        <w:spacing w:before="0" w:after="160" w:line="360" w:lineRule="exact"/>
        <w:ind w:firstLine="432"/>
        <w:jc w:val="both"/>
      </w:pPr>
      <w:r>
        <w:rPr>
          <w:rFonts w:ascii="Times New Roman" w:hAnsi="Times New Roman"/>
          <w:b w:val="0"/>
          <w:i w:val="0"/>
          <w:sz w:val="24"/>
          <w:u w:val="none"/>
        </w:rPr>
        <w:t>The 34.2 percentage point reduction in Missed Emergency Rate is the most clinically significant result. This means that before the safety architecture was implemented, the system failed to escalate approximately 1 in 3 emergency inputs. After implementation, zero emergency inputs were missed across all 500 validation cases. This is not a marginal improvement—it represents a categorical elimination of the failure mode.</w:t>
      </w:r>
    </w:p>
    <w:p>
      <w:pPr>
        <w:spacing w:before="280" w:after="80" w:line="360" w:lineRule="exact"/>
        <w:jc w:val="left"/>
      </w:pPr>
      <w:r>
        <w:rPr>
          <w:rFonts w:ascii="Times New Roman" w:hAnsi="Times New Roman"/>
          <w:b/>
          <w:i w:val="0"/>
          <w:sz w:val="26"/>
          <w:u w:val="none"/>
        </w:rPr>
        <w:t>11.2  ML Classifier Performance Analysis</w:t>
      </w:r>
    </w:p>
    <w:p>
      <w:pPr>
        <w:spacing w:before="0" w:after="120" w:line="360" w:lineRule="exact"/>
        <w:ind w:firstLine="0"/>
        <w:jc w:val="both"/>
      </w:pPr>
      <w:r>
        <w:rPr>
          <w:rFonts w:ascii="Times New Roman" w:hAnsi="Times New Roman"/>
          <w:b w:val="0"/>
          <w:i w:val="0"/>
          <w:sz w:val="24"/>
          <w:u w:val="none"/>
        </w:rPr>
        <w:t>Table 11.2 presents the full performance comparison across all evaluated classifiers. Results are on the held-out test set of 16,372 examples.</w:t>
      </w:r>
    </w:p>
    <w:tbl>
      <w:tblPr>
        <w:tblStyle w:val="TableGrid"/>
        <w:tblW w:type="auto" w:w="0"/>
        <w:tblLook w:firstColumn="1" w:firstRow="1" w:lastColumn="0" w:lastRow="0" w:noHBand="0" w:noVBand="1" w:val="04A0"/>
      </w:tblPr>
      <w:tblGrid>
        <w:gridCol w:w="1238"/>
        <w:gridCol w:w="1238"/>
        <w:gridCol w:w="1238"/>
        <w:gridCol w:w="1238"/>
        <w:gridCol w:w="1238"/>
        <w:gridCol w:w="1238"/>
        <w:gridCol w:w="1238"/>
      </w:tblGrid>
      <w:tr>
        <w:tc>
          <w:tcPr>
            <w:tcW w:type="dxa" w:w="1238"/>
          </w:tcPr>
          <w:p>
            <w:pPr>
              <w:jc w:val="center"/>
            </w:pPr>
            <w:r>
              <w:rPr>
                <w:rFonts w:ascii="Times New Roman" w:hAnsi="Times New Roman"/>
                <w:b/>
                <w:i w:val="0"/>
                <w:sz w:val="22"/>
                <w:u w:val="none"/>
              </w:rPr>
              <w:t>Model</w:t>
            </w:r>
          </w:p>
        </w:tc>
        <w:tc>
          <w:tcPr>
            <w:tcW w:type="dxa" w:w="1238"/>
          </w:tcPr>
          <w:p>
            <w:pPr>
              <w:jc w:val="center"/>
            </w:pPr>
            <w:r>
              <w:rPr>
                <w:rFonts w:ascii="Times New Roman" w:hAnsi="Times New Roman"/>
                <w:b/>
                <w:i w:val="0"/>
                <w:sz w:val="22"/>
                <w:u w:val="none"/>
              </w:rPr>
              <w:t>Acc.</w:t>
            </w:r>
          </w:p>
        </w:tc>
        <w:tc>
          <w:tcPr>
            <w:tcW w:type="dxa" w:w="1238"/>
          </w:tcPr>
          <w:p>
            <w:pPr>
              <w:jc w:val="center"/>
            </w:pPr>
            <w:r>
              <w:rPr>
                <w:rFonts w:ascii="Times New Roman" w:hAnsi="Times New Roman"/>
                <w:b/>
                <w:i w:val="0"/>
                <w:sz w:val="22"/>
                <w:u w:val="none"/>
              </w:rPr>
              <w:t>Prec.</w:t>
            </w:r>
          </w:p>
        </w:tc>
        <w:tc>
          <w:tcPr>
            <w:tcW w:type="dxa" w:w="1238"/>
          </w:tcPr>
          <w:p>
            <w:pPr>
              <w:jc w:val="center"/>
            </w:pPr>
            <w:r>
              <w:rPr>
                <w:rFonts w:ascii="Times New Roman" w:hAnsi="Times New Roman"/>
                <w:b/>
                <w:i w:val="0"/>
                <w:sz w:val="22"/>
                <w:u w:val="none"/>
              </w:rPr>
              <w:t>Recall</w:t>
            </w:r>
          </w:p>
        </w:tc>
        <w:tc>
          <w:tcPr>
            <w:tcW w:type="dxa" w:w="1238"/>
          </w:tcPr>
          <w:p>
            <w:pPr>
              <w:jc w:val="center"/>
            </w:pPr>
            <w:r>
              <w:rPr>
                <w:rFonts w:ascii="Times New Roman" w:hAnsi="Times New Roman"/>
                <w:b/>
                <w:i w:val="0"/>
                <w:sz w:val="22"/>
                <w:u w:val="none"/>
              </w:rPr>
              <w:t>F1</w:t>
            </w:r>
          </w:p>
        </w:tc>
        <w:tc>
          <w:tcPr>
            <w:tcW w:type="dxa" w:w="1238"/>
          </w:tcPr>
          <w:p>
            <w:pPr>
              <w:jc w:val="center"/>
            </w:pPr>
            <w:r>
              <w:rPr>
                <w:rFonts w:ascii="Times New Roman" w:hAnsi="Times New Roman"/>
                <w:b/>
                <w:i w:val="0"/>
                <w:sz w:val="22"/>
                <w:u w:val="none"/>
              </w:rPr>
              <w:t>Top-3 Acc.</w:t>
            </w:r>
          </w:p>
        </w:tc>
        <w:tc>
          <w:tcPr>
            <w:tcW w:type="dxa" w:w="1238"/>
          </w:tcPr>
          <w:p>
            <w:pPr>
              <w:jc w:val="center"/>
            </w:pPr>
            <w:r>
              <w:rPr>
                <w:rFonts w:ascii="Times New Roman" w:hAnsi="Times New Roman"/>
                <w:b/>
                <w:i w:val="0"/>
                <w:sz w:val="22"/>
                <w:u w:val="none"/>
              </w:rPr>
              <w:t>Latency (μs)</w:t>
            </w:r>
          </w:p>
        </w:tc>
      </w:tr>
      <w:tr>
        <w:tc>
          <w:tcPr>
            <w:tcW w:type="dxa" w:w="1238"/>
          </w:tcPr>
          <w:p>
            <w:pPr>
              <w:jc w:val="center"/>
            </w:pPr>
            <w:r>
              <w:rPr>
                <w:rFonts w:ascii="Times New Roman" w:hAnsi="Times New Roman"/>
                <w:b/>
                <w:i w:val="0"/>
                <w:color w:val="007000"/>
                <w:sz w:val="22"/>
                <w:u w:val="none"/>
              </w:rPr>
              <w:t>Logistic Regression</w:t>
            </w:r>
          </w:p>
        </w:tc>
        <w:tc>
          <w:tcPr>
            <w:tcW w:type="dxa" w:w="1238"/>
          </w:tcPr>
          <w:p>
            <w:pPr>
              <w:jc w:val="center"/>
            </w:pPr>
            <w:r>
              <w:rPr>
                <w:rFonts w:ascii="Times New Roman" w:hAnsi="Times New Roman"/>
                <w:b/>
                <w:i w:val="0"/>
                <w:color w:val="007000"/>
                <w:sz w:val="22"/>
                <w:u w:val="none"/>
              </w:rPr>
              <w:t>0.8436</w:t>
            </w:r>
          </w:p>
        </w:tc>
        <w:tc>
          <w:tcPr>
            <w:tcW w:type="dxa" w:w="1238"/>
          </w:tcPr>
          <w:p>
            <w:pPr>
              <w:jc w:val="center"/>
            </w:pPr>
            <w:r>
              <w:rPr>
                <w:rFonts w:ascii="Times New Roman" w:hAnsi="Times New Roman"/>
                <w:b/>
                <w:i w:val="0"/>
                <w:color w:val="007000"/>
                <w:sz w:val="22"/>
                <w:u w:val="none"/>
              </w:rPr>
              <w:t>0.8507</w:t>
            </w:r>
          </w:p>
        </w:tc>
        <w:tc>
          <w:tcPr>
            <w:tcW w:type="dxa" w:w="1238"/>
          </w:tcPr>
          <w:p>
            <w:pPr>
              <w:jc w:val="center"/>
            </w:pPr>
            <w:r>
              <w:rPr>
                <w:rFonts w:ascii="Times New Roman" w:hAnsi="Times New Roman"/>
                <w:b/>
                <w:i w:val="0"/>
                <w:color w:val="007000"/>
                <w:sz w:val="22"/>
                <w:u w:val="none"/>
              </w:rPr>
              <w:t>0.8436</w:t>
            </w:r>
          </w:p>
        </w:tc>
        <w:tc>
          <w:tcPr>
            <w:tcW w:type="dxa" w:w="1238"/>
          </w:tcPr>
          <w:p>
            <w:pPr>
              <w:jc w:val="center"/>
            </w:pPr>
            <w:r>
              <w:rPr>
                <w:rFonts w:ascii="Times New Roman" w:hAnsi="Times New Roman"/>
                <w:b/>
                <w:i w:val="0"/>
                <w:color w:val="007000"/>
                <w:sz w:val="22"/>
                <w:u w:val="none"/>
              </w:rPr>
              <w:t>0.8447</w:t>
            </w:r>
          </w:p>
        </w:tc>
        <w:tc>
          <w:tcPr>
            <w:tcW w:type="dxa" w:w="1238"/>
          </w:tcPr>
          <w:p>
            <w:pPr>
              <w:jc w:val="center"/>
            </w:pPr>
            <w:r>
              <w:rPr>
                <w:rFonts w:ascii="Times New Roman" w:hAnsi="Times New Roman"/>
                <w:b/>
                <w:i w:val="0"/>
                <w:color w:val="007000"/>
                <w:sz w:val="22"/>
                <w:u w:val="none"/>
              </w:rPr>
              <w:t>0.9578</w:t>
            </w:r>
          </w:p>
        </w:tc>
        <w:tc>
          <w:tcPr>
            <w:tcW w:type="dxa" w:w="1238"/>
          </w:tcPr>
          <w:p>
            <w:pPr>
              <w:jc w:val="center"/>
            </w:pPr>
            <w:r>
              <w:rPr>
                <w:rFonts w:ascii="Times New Roman" w:hAnsi="Times New Roman"/>
                <w:b/>
                <w:i w:val="0"/>
                <w:color w:val="007000"/>
                <w:sz w:val="22"/>
                <w:u w:val="none"/>
              </w:rPr>
              <w:t>4.5</w:t>
            </w:r>
          </w:p>
        </w:tc>
      </w:tr>
      <w:tr>
        <w:tc>
          <w:tcPr>
            <w:tcW w:type="dxa" w:w="1238"/>
          </w:tcPr>
          <w:p>
            <w:pPr>
              <w:jc w:val="center"/>
            </w:pPr>
            <w:r>
              <w:rPr>
                <w:rFonts w:ascii="Times New Roman" w:hAnsi="Times New Roman"/>
                <w:b w:val="0"/>
                <w:i w:val="0"/>
                <w:sz w:val="22"/>
                <w:u w:val="none"/>
              </w:rPr>
              <w:t>Naive Bayes</w:t>
            </w:r>
          </w:p>
        </w:tc>
        <w:tc>
          <w:tcPr>
            <w:tcW w:type="dxa" w:w="1238"/>
          </w:tcPr>
          <w:p>
            <w:pPr>
              <w:jc w:val="center"/>
            </w:pPr>
            <w:r>
              <w:rPr>
                <w:rFonts w:ascii="Times New Roman" w:hAnsi="Times New Roman"/>
                <w:b w:val="0"/>
                <w:i w:val="0"/>
                <w:sz w:val="22"/>
                <w:u w:val="none"/>
              </w:rPr>
              <w:t>0.8051</w:t>
            </w:r>
          </w:p>
        </w:tc>
        <w:tc>
          <w:tcPr>
            <w:tcW w:type="dxa" w:w="1238"/>
          </w:tcPr>
          <w:p>
            <w:pPr>
              <w:jc w:val="center"/>
            </w:pPr>
            <w:r>
              <w:rPr>
                <w:rFonts w:ascii="Times New Roman" w:hAnsi="Times New Roman"/>
                <w:b w:val="0"/>
                <w:i w:val="0"/>
                <w:sz w:val="22"/>
                <w:u w:val="none"/>
              </w:rPr>
              <w:t>0.8389</w:t>
            </w:r>
          </w:p>
        </w:tc>
        <w:tc>
          <w:tcPr>
            <w:tcW w:type="dxa" w:w="1238"/>
          </w:tcPr>
          <w:p>
            <w:pPr>
              <w:jc w:val="center"/>
            </w:pPr>
            <w:r>
              <w:rPr>
                <w:rFonts w:ascii="Times New Roman" w:hAnsi="Times New Roman"/>
                <w:b w:val="0"/>
                <w:i w:val="0"/>
                <w:sz w:val="22"/>
                <w:u w:val="none"/>
              </w:rPr>
              <w:t>0.8051</w:t>
            </w:r>
          </w:p>
        </w:tc>
        <w:tc>
          <w:tcPr>
            <w:tcW w:type="dxa" w:w="1238"/>
          </w:tcPr>
          <w:p>
            <w:pPr>
              <w:jc w:val="center"/>
            </w:pPr>
            <w:r>
              <w:rPr>
                <w:rFonts w:ascii="Times New Roman" w:hAnsi="Times New Roman"/>
                <w:b w:val="0"/>
                <w:i w:val="0"/>
                <w:sz w:val="22"/>
                <w:u w:val="none"/>
              </w:rPr>
              <w:t>0.7989</w:t>
            </w:r>
          </w:p>
        </w:tc>
        <w:tc>
          <w:tcPr>
            <w:tcW w:type="dxa" w:w="1238"/>
          </w:tcPr>
          <w:p>
            <w:pPr>
              <w:jc w:val="center"/>
            </w:pPr>
            <w:r>
              <w:rPr>
                <w:rFonts w:ascii="Times New Roman" w:hAnsi="Times New Roman"/>
                <w:b w:val="0"/>
                <w:i w:val="0"/>
                <w:sz w:val="22"/>
                <w:u w:val="none"/>
              </w:rPr>
              <w:t>0.9438</w:t>
            </w:r>
          </w:p>
        </w:tc>
        <w:tc>
          <w:tcPr>
            <w:tcW w:type="dxa" w:w="1238"/>
          </w:tcPr>
          <w:p>
            <w:pPr>
              <w:jc w:val="center"/>
            </w:pPr>
            <w:r>
              <w:rPr>
                <w:rFonts w:ascii="Times New Roman" w:hAnsi="Times New Roman"/>
                <w:b w:val="0"/>
                <w:i w:val="0"/>
                <w:sz w:val="22"/>
                <w:u w:val="none"/>
              </w:rPr>
              <w:t>4.7</w:t>
            </w:r>
          </w:p>
        </w:tc>
      </w:tr>
      <w:tr>
        <w:tc>
          <w:tcPr>
            <w:tcW w:type="dxa" w:w="1238"/>
          </w:tcPr>
          <w:p>
            <w:pPr>
              <w:jc w:val="center"/>
            </w:pPr>
            <w:r>
              <w:rPr>
                <w:rFonts w:ascii="Times New Roman" w:hAnsi="Times New Roman"/>
                <w:b w:val="0"/>
                <w:i w:val="0"/>
                <w:sz w:val="22"/>
                <w:u w:val="none"/>
              </w:rPr>
              <w:t>Decision Tree</w:t>
            </w:r>
          </w:p>
        </w:tc>
        <w:tc>
          <w:tcPr>
            <w:tcW w:type="dxa" w:w="1238"/>
          </w:tcPr>
          <w:p>
            <w:pPr>
              <w:jc w:val="center"/>
            </w:pPr>
            <w:r>
              <w:rPr>
                <w:rFonts w:ascii="Times New Roman" w:hAnsi="Times New Roman"/>
                <w:b w:val="0"/>
                <w:i w:val="0"/>
                <w:sz w:val="22"/>
                <w:u w:val="none"/>
              </w:rPr>
              <w:t>0.1527</w:t>
            </w:r>
          </w:p>
        </w:tc>
        <w:tc>
          <w:tcPr>
            <w:tcW w:type="dxa" w:w="1238"/>
          </w:tcPr>
          <w:p>
            <w:pPr>
              <w:jc w:val="center"/>
            </w:pPr>
            <w:r>
              <w:rPr>
                <w:rFonts w:ascii="Times New Roman" w:hAnsi="Times New Roman"/>
                <w:b w:val="0"/>
                <w:i w:val="0"/>
                <w:sz w:val="22"/>
                <w:u w:val="none"/>
              </w:rPr>
              <w:t>0.2147</w:t>
            </w:r>
          </w:p>
        </w:tc>
        <w:tc>
          <w:tcPr>
            <w:tcW w:type="dxa" w:w="1238"/>
          </w:tcPr>
          <w:p>
            <w:pPr>
              <w:jc w:val="center"/>
            </w:pPr>
            <w:r>
              <w:rPr>
                <w:rFonts w:ascii="Times New Roman" w:hAnsi="Times New Roman"/>
                <w:b w:val="0"/>
                <w:i w:val="0"/>
                <w:sz w:val="22"/>
                <w:u w:val="none"/>
              </w:rPr>
              <w:t>0.1527</w:t>
            </w:r>
          </w:p>
        </w:tc>
        <w:tc>
          <w:tcPr>
            <w:tcW w:type="dxa" w:w="1238"/>
          </w:tcPr>
          <w:p>
            <w:pPr>
              <w:jc w:val="center"/>
            </w:pPr>
            <w:r>
              <w:rPr>
                <w:rFonts w:ascii="Times New Roman" w:hAnsi="Times New Roman"/>
                <w:b w:val="0"/>
                <w:i w:val="0"/>
                <w:sz w:val="22"/>
                <w:u w:val="none"/>
              </w:rPr>
              <w:t>0.1538</w:t>
            </w:r>
          </w:p>
        </w:tc>
        <w:tc>
          <w:tcPr>
            <w:tcW w:type="dxa" w:w="1238"/>
          </w:tcPr>
          <w:p>
            <w:pPr>
              <w:jc w:val="center"/>
            </w:pPr>
            <w:r>
              <w:rPr>
                <w:rFonts w:ascii="Times New Roman" w:hAnsi="Times New Roman"/>
                <w:b w:val="0"/>
                <w:i w:val="0"/>
                <w:sz w:val="22"/>
                <w:u w:val="none"/>
              </w:rPr>
              <w:t>0.2142</w:t>
            </w:r>
          </w:p>
        </w:tc>
        <w:tc>
          <w:tcPr>
            <w:tcW w:type="dxa" w:w="1238"/>
          </w:tcPr>
          <w:p>
            <w:pPr>
              <w:jc w:val="center"/>
            </w:pPr>
            <w:r>
              <w:rPr>
                <w:rFonts w:ascii="Times New Roman" w:hAnsi="Times New Roman"/>
                <w:b w:val="0"/>
                <w:i w:val="0"/>
                <w:sz w:val="22"/>
                <w:u w:val="none"/>
              </w:rPr>
              <w:t>2.7</w:t>
            </w:r>
          </w:p>
        </w:tc>
      </w:tr>
      <w:tr>
        <w:tc>
          <w:tcPr>
            <w:tcW w:type="dxa" w:w="1238"/>
          </w:tcPr>
          <w:p>
            <w:pPr>
              <w:jc w:val="center"/>
            </w:pPr>
            <w:r>
              <w:rPr>
                <w:rFonts w:ascii="Times New Roman" w:hAnsi="Times New Roman"/>
                <w:b w:val="0"/>
                <w:i w:val="0"/>
                <w:sz w:val="22"/>
                <w:u w:val="none"/>
              </w:rPr>
              <w:t>XGBoost</w:t>
            </w:r>
          </w:p>
        </w:tc>
        <w:tc>
          <w:tcPr>
            <w:tcW w:type="dxa" w:w="1238"/>
          </w:tcPr>
          <w:p>
            <w:pPr>
              <w:jc w:val="center"/>
            </w:pPr>
            <w:r>
              <w:rPr>
                <w:rFonts w:ascii="Times New Roman" w:hAnsi="Times New Roman"/>
                <w:b w:val="0"/>
                <w:i w:val="0"/>
                <w:sz w:val="22"/>
                <w:u w:val="none"/>
              </w:rPr>
              <w:t>0.0715</w:t>
            </w:r>
          </w:p>
        </w:tc>
        <w:tc>
          <w:tcPr>
            <w:tcW w:type="dxa" w:w="1238"/>
          </w:tcPr>
          <w:p>
            <w:pPr>
              <w:jc w:val="center"/>
            </w:pPr>
            <w:r>
              <w:rPr>
                <w:rFonts w:ascii="Times New Roman" w:hAnsi="Times New Roman"/>
                <w:b w:val="0"/>
                <w:i w:val="0"/>
                <w:sz w:val="22"/>
                <w:u w:val="none"/>
              </w:rPr>
              <w:t>0.0486</w:t>
            </w:r>
          </w:p>
        </w:tc>
        <w:tc>
          <w:tcPr>
            <w:tcW w:type="dxa" w:w="1238"/>
          </w:tcPr>
          <w:p>
            <w:pPr>
              <w:jc w:val="center"/>
            </w:pPr>
            <w:r>
              <w:rPr>
                <w:rFonts w:ascii="Times New Roman" w:hAnsi="Times New Roman"/>
                <w:b w:val="0"/>
                <w:i w:val="0"/>
                <w:sz w:val="22"/>
                <w:u w:val="none"/>
              </w:rPr>
              <w:t>0.0715</w:t>
            </w:r>
          </w:p>
        </w:tc>
        <w:tc>
          <w:tcPr>
            <w:tcW w:type="dxa" w:w="1238"/>
          </w:tcPr>
          <w:p>
            <w:pPr>
              <w:jc w:val="center"/>
            </w:pPr>
            <w:r>
              <w:rPr>
                <w:rFonts w:ascii="Times New Roman" w:hAnsi="Times New Roman"/>
                <w:b w:val="0"/>
                <w:i w:val="0"/>
                <w:sz w:val="22"/>
                <w:u w:val="none"/>
              </w:rPr>
              <w:t>0.0312</w:t>
            </w:r>
          </w:p>
        </w:tc>
        <w:tc>
          <w:tcPr>
            <w:tcW w:type="dxa" w:w="1238"/>
          </w:tcPr>
          <w:p>
            <w:pPr>
              <w:jc w:val="center"/>
            </w:pPr>
            <w:r>
              <w:rPr>
                <w:rFonts w:ascii="Times New Roman" w:hAnsi="Times New Roman"/>
                <w:b w:val="0"/>
                <w:i w:val="0"/>
                <w:sz w:val="22"/>
                <w:u w:val="none"/>
              </w:rPr>
              <w:t>0.0885</w:t>
            </w:r>
          </w:p>
        </w:tc>
        <w:tc>
          <w:tcPr>
            <w:tcW w:type="dxa" w:w="1238"/>
          </w:tcPr>
          <w:p>
            <w:pPr>
              <w:jc w:val="center"/>
            </w:pPr>
            <w:r>
              <w:rPr>
                <w:rFonts w:ascii="Times New Roman" w:hAnsi="Times New Roman"/>
                <w:b w:val="0"/>
                <w:i w:val="0"/>
                <w:sz w:val="22"/>
                <w:u w:val="none"/>
              </w:rPr>
              <w:t>246.9</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11.2 – Full Classifier Performance Comparison (Held-Out Test Set)</w:t>
      </w:r>
    </w:p>
    <w:p>
      <w:pPr>
        <w:spacing w:before="200" w:after="60" w:line="360" w:lineRule="exact"/>
        <w:jc w:val="left"/>
      </w:pPr>
      <w:r>
        <w:rPr>
          <w:rFonts w:ascii="Times New Roman" w:hAnsi="Times New Roman"/>
          <w:b/>
          <w:i/>
          <w:sz w:val="24"/>
          <w:u w:val="none"/>
        </w:rPr>
        <w:t>11.2.1  Why Logistic Regression Outperformed All Alternatives</w:t>
      </w:r>
    </w:p>
    <w:p>
      <w:pPr>
        <w:spacing w:before="0" w:after="160" w:line="360" w:lineRule="exact"/>
        <w:ind w:firstLine="432"/>
        <w:jc w:val="both"/>
      </w:pPr>
      <w:r>
        <w:rPr>
          <w:rFonts w:ascii="Times New Roman" w:hAnsi="Times New Roman"/>
          <w:b w:val="0"/>
          <w:i w:val="0"/>
          <w:sz w:val="24"/>
          <w:u w:val="none"/>
        </w:rPr>
        <w:t>The dominance of Logistic Regression in this evaluation is not coincidental—it is a consequence of the feature geometry. TF-IDF vectors are extremely sparse and high-dimensional (~47,000 features). In this regime, the optimal decision boundary is approximately linear because the sparse features are nearly orthogonal, meaning each symptom term contributes independently to the classification decision. Logistic Regression is designed precisely for this setting: its L2-regularised linear weights find the optimal hyperplane separating classes in high-dimensional sparse space.</w:t>
      </w:r>
    </w:p>
    <w:p>
      <w:pPr>
        <w:spacing w:before="0" w:after="160" w:line="360" w:lineRule="exact"/>
        <w:ind w:firstLine="432"/>
        <w:jc w:val="both"/>
      </w:pPr>
      <w:r>
        <w:rPr>
          <w:rFonts w:ascii="Times New Roman" w:hAnsi="Times New Roman"/>
          <w:b w:val="0"/>
          <w:i w:val="0"/>
          <w:sz w:val="24"/>
          <w:u w:val="none"/>
        </w:rPr>
        <w:t>Tree-based models fail in this setting because each tree node only examines a subset of features, and in a 47,000-dimensional sparse space, the probability of selecting a discriminative feature at any given node is very low. XGBoost's additional complexity—boosting hundreds of weak trees—amplifies this problem rather than solving it, resulting in worse performance than even a single Decision Tree. This result reinforces the conclusion of Wang and Manning (2012) and confirms that for medical text classification with TF-IDF features, classical linear models remain the appropriate choice.</w:t>
      </w:r>
    </w:p>
    <w:p>
      <w:pPr>
        <w:spacing w:before="120" w:after="40"/>
        <w:jc w:val="center"/>
      </w:pPr>
      <w:r>
        <w:drawing>
          <wp:inline xmlns:a="http://schemas.openxmlformats.org/drawingml/2006/main" xmlns:pic="http://schemas.openxmlformats.org/drawingml/2006/picture">
            <wp:extent cx="4754880" cy="2852928"/>
            <wp:docPr id="17" name="Picture 1"/>
            <wp:cNvGraphicFramePr>
              <a:graphicFrameLocks noChangeAspect="1"/>
            </wp:cNvGraphicFramePr>
            <a:graphic>
              <a:graphicData uri="http://schemas.openxmlformats.org/drawingml/2006/picture">
                <pic:pic>
                  <pic:nvPicPr>
                    <pic:cNvPr id="17" name="model_f1_comparison.png"/>
                    <pic:cNvPicPr/>
                  </pic:nvPicPr>
                  <pic:blipFill>
                    <a:blip r:embed="rId16"/>
                    <a:stretch>
                      <a:fillRect/>
                    </a:stretch>
                  </pic:blipFill>
                  <pic:spPr>
                    <a:xfrm>
                      <a:off x="0" y="0"/>
                      <a:ext cx="4754880" cy="2852928"/>
                    </a:xfrm>
                    <a:prstGeom prst="rect"/>
                  </pic:spPr>
                </pic:pic>
              </a:graphicData>
            </a:graphic>
          </wp:inline>
        </w:drawing>
      </w:r>
    </w:p>
    <w:p>
      <w:pPr>
        <w:spacing w:before="80" w:after="240"/>
        <w:jc w:val="center"/>
      </w:pPr>
      <w:r>
        <w:rPr>
          <w:rFonts w:ascii="Times New Roman" w:hAnsi="Times New Roman"/>
          <w:b w:val="0"/>
          <w:i/>
          <w:sz w:val="22"/>
          <w:u w:val="none"/>
        </w:rPr>
        <w:t>Figure 11.1 – F1-Score Comparison Across All Evaluated Classifiers</w:t>
      </w:r>
    </w:p>
    <w:p>
      <w:pPr>
        <w:spacing w:before="120" w:after="40"/>
        <w:jc w:val="center"/>
      </w:pPr>
      <w:r>
        <w:drawing>
          <wp:inline xmlns:a="http://schemas.openxmlformats.org/drawingml/2006/main" xmlns:pic="http://schemas.openxmlformats.org/drawingml/2006/picture">
            <wp:extent cx="4754880" cy="2852928"/>
            <wp:docPr id="18" name="Picture 2"/>
            <wp:cNvGraphicFramePr>
              <a:graphicFrameLocks noChangeAspect="1"/>
            </wp:cNvGraphicFramePr>
            <a:graphic>
              <a:graphicData uri="http://schemas.openxmlformats.org/drawingml/2006/picture">
                <pic:pic>
                  <pic:nvPicPr>
                    <pic:cNvPr id="18" name="model_latency_comparison.png"/>
                    <pic:cNvPicPr/>
                  </pic:nvPicPr>
                  <pic:blipFill>
                    <a:blip r:embed="rId24"/>
                    <a:stretch>
                      <a:fillRect/>
                    </a:stretch>
                  </pic:blipFill>
                  <pic:spPr>
                    <a:xfrm>
                      <a:off x="0" y="0"/>
                      <a:ext cx="4754880" cy="2852928"/>
                    </a:xfrm>
                    <a:prstGeom prst="rect"/>
                  </pic:spPr>
                </pic:pic>
              </a:graphicData>
            </a:graphic>
          </wp:inline>
        </w:drawing>
      </w:r>
    </w:p>
    <w:p>
      <w:pPr>
        <w:spacing w:before="80" w:after="240"/>
        <w:jc w:val="center"/>
      </w:pPr>
      <w:r>
        <w:rPr>
          <w:rFonts w:ascii="Times New Roman" w:hAnsi="Times New Roman"/>
          <w:b w:val="0"/>
          <w:i/>
          <w:sz w:val="22"/>
          <w:u w:val="none"/>
        </w:rPr>
        <w:t>Figure 11.2 – Inference Latency Comparison (Microseconds per Sample)</w:t>
      </w:r>
    </w:p>
    <w:p>
      <w:pPr>
        <w:spacing w:before="0" w:after="160" w:line="360" w:lineRule="exact"/>
        <w:ind w:firstLine="432"/>
        <w:jc w:val="both"/>
      </w:pPr>
      <w:r>
        <w:rPr>
          <w:rFonts w:ascii="Times New Roman" w:hAnsi="Times New Roman"/>
          <w:b w:val="0"/>
          <w:i w:val="0"/>
          <w:sz w:val="24"/>
          <w:u w:val="none"/>
        </w:rPr>
        <w:t>Figure 11.2 highlights an additional practical advantage of Logistic Regression: its per-sample inference latency is approximately 4.5 microseconds, compared to 246.9 microseconds for XGBoost. For a real-time interactive application, this difference is meaningful—it means the Logistic Regression model contributes negligible latency to the overall response time, whereas XGBoost would introduce a noticeable delay at scale.</w:t>
      </w:r>
    </w:p>
    <w:p>
      <w:pPr>
        <w:spacing w:before="280" w:after="80" w:line="360" w:lineRule="exact"/>
        <w:jc w:val="left"/>
      </w:pPr>
      <w:r>
        <w:rPr>
          <w:rFonts w:ascii="Times New Roman" w:hAnsi="Times New Roman"/>
          <w:b/>
          <w:i w:val="0"/>
          <w:sz w:val="26"/>
          <w:u w:val="none"/>
        </w:rPr>
        <w:t>11.3  Before vs. After Safety Architecture Comparison</w:t>
      </w:r>
    </w:p>
    <w:p>
      <w:pPr>
        <w:spacing w:before="0" w:after="160" w:line="360" w:lineRule="exact"/>
        <w:ind w:firstLine="432"/>
        <w:jc w:val="both"/>
      </w:pPr>
      <w:r>
        <w:rPr>
          <w:rFonts w:ascii="Times New Roman" w:hAnsi="Times New Roman"/>
          <w:b w:val="0"/>
          <w:i w:val="0"/>
          <w:sz w:val="24"/>
          <w:u w:val="none"/>
        </w:rPr>
        <w:t>Figure 11.3 presents the visual before-vs-after comparison for the three key safety metrics. The explicit value annotations make clear that the 'After' bars for MER and Implausible Predictions are genuine zeroes, not missing data.</w:t>
      </w:r>
    </w:p>
    <w:p>
      <w:pPr>
        <w:spacing w:before="120" w:after="40"/>
        <w:jc w:val="center"/>
      </w:pPr>
      <w:r>
        <w:drawing>
          <wp:inline xmlns:a="http://schemas.openxmlformats.org/drawingml/2006/main" xmlns:pic="http://schemas.openxmlformats.org/drawingml/2006/picture">
            <wp:extent cx="5029200" cy="3017520"/>
            <wp:docPr id="19" name="Picture 3"/>
            <wp:cNvGraphicFramePr>
              <a:graphicFrameLocks noChangeAspect="1"/>
            </wp:cNvGraphicFramePr>
            <a:graphic>
              <a:graphicData uri="http://schemas.openxmlformats.org/drawingml/2006/picture">
                <pic:pic>
                  <pic:nvPicPr>
                    <pic:cNvPr id="19" name="before_after_safety.png"/>
                    <pic:cNvPicPr/>
                  </pic:nvPicPr>
                  <pic:blipFill>
                    <a:blip r:embed="rId9"/>
                    <a:stretch>
                      <a:fillRect/>
                    </a:stretch>
                  </pic:blipFill>
                  <pic:spPr>
                    <a:xfrm>
                      <a:off x="0" y="0"/>
                      <a:ext cx="5029200" cy="3017520"/>
                    </a:xfrm>
                    <a:prstGeom prst="rect"/>
                  </pic:spPr>
                </pic:pic>
              </a:graphicData>
            </a:graphic>
          </wp:inline>
        </w:drawing>
      </w:r>
    </w:p>
    <w:p>
      <w:pPr>
        <w:spacing w:before="80" w:after="240"/>
        <w:jc w:val="center"/>
      </w:pPr>
      <w:r>
        <w:rPr>
          <w:rFonts w:ascii="Times New Roman" w:hAnsi="Times New Roman"/>
          <w:b w:val="0"/>
          <w:i/>
          <w:sz w:val="22"/>
          <w:u w:val="none"/>
        </w:rPr>
        <w:t>Figure 11.3 – Safety Metrics Before vs. After Hybrid Architecture (Annotated Bar Chart)</w:t>
      </w:r>
    </w:p>
    <w:p>
      <w:pPr>
        <w:spacing w:before="0" w:after="120" w:line="360" w:lineRule="exact"/>
        <w:ind w:firstLine="0"/>
        <w:jc w:val="both"/>
      </w:pPr>
      <w:r>
        <w:rPr>
          <w:rFonts w:ascii="Times New Roman" w:hAnsi="Times New Roman"/>
          <w:b w:val="0"/>
          <w:i w:val="0"/>
          <w:sz w:val="24"/>
          <w:u w:val="none"/>
        </w:rPr>
        <w:t>Table 11.3 provides the specific failure scenarios resolved by the safety architecture, mapping each original failure case to the architectural component that resolves it.</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Failure Scenario</w:t>
            </w:r>
          </w:p>
        </w:tc>
        <w:tc>
          <w:tcPr>
            <w:tcW w:type="dxa" w:w="2890"/>
          </w:tcPr>
          <w:p>
            <w:pPr>
              <w:jc w:val="center"/>
            </w:pPr>
            <w:r>
              <w:rPr>
                <w:rFonts w:ascii="Times New Roman" w:hAnsi="Times New Roman"/>
                <w:b/>
                <w:i w:val="0"/>
                <w:sz w:val="22"/>
                <w:u w:val="none"/>
              </w:rPr>
              <w:t>Baseline Prediction</w:t>
            </w:r>
          </w:p>
        </w:tc>
        <w:tc>
          <w:tcPr>
            <w:tcW w:type="dxa" w:w="2890"/>
          </w:tcPr>
          <w:p>
            <w:pPr>
              <w:jc w:val="center"/>
            </w:pPr>
            <w:r>
              <w:rPr>
                <w:rFonts w:ascii="Times New Roman" w:hAnsi="Times New Roman"/>
                <w:b/>
                <w:i w:val="0"/>
                <w:sz w:val="22"/>
                <w:u w:val="none"/>
              </w:rPr>
              <w:t>After Fix</w:t>
            </w:r>
          </w:p>
        </w:tc>
      </w:tr>
      <w:tr>
        <w:tc>
          <w:tcPr>
            <w:tcW w:type="dxa" w:w="2890"/>
          </w:tcPr>
          <w:p>
            <w:pPr>
              <w:jc w:val="center"/>
            </w:pPr>
            <w:r>
              <w:rPr>
                <w:rFonts w:ascii="Times New Roman" w:hAnsi="Times New Roman"/>
                <w:b w:val="0"/>
                <w:i w:val="0"/>
                <w:sz w:val="22"/>
                <w:u w:val="none"/>
              </w:rPr>
              <w:t>Stroke symptoms (slurred speech, facial droop)</w:t>
            </w:r>
          </w:p>
        </w:tc>
        <w:tc>
          <w:tcPr>
            <w:tcW w:type="dxa" w:w="2890"/>
          </w:tcPr>
          <w:p>
            <w:pPr>
              <w:jc w:val="center"/>
            </w:pPr>
            <w:r>
              <w:rPr>
                <w:rFonts w:ascii="Times New Roman" w:hAnsi="Times New Roman"/>
                <w:b w:val="0"/>
                <w:i w:val="0"/>
                <w:sz w:val="22"/>
                <w:u w:val="none"/>
              </w:rPr>
              <w:t>Bell Palsy (85% conf.)</w:t>
            </w:r>
          </w:p>
        </w:tc>
        <w:tc>
          <w:tcPr>
            <w:tcW w:type="dxa" w:w="2890"/>
          </w:tcPr>
          <w:p>
            <w:pPr>
              <w:jc w:val="center"/>
            </w:pPr>
            <w:r>
              <w:rPr>
                <w:rFonts w:ascii="Times New Roman" w:hAnsi="Times New Roman"/>
                <w:b w:val="0"/>
                <w:i w:val="0"/>
                <w:sz w:val="22"/>
                <w:u w:val="none"/>
              </w:rPr>
              <w:t>IMMEDIATE ESCALATION (Neurological Emergency)</w:t>
            </w:r>
          </w:p>
        </w:tc>
      </w:tr>
      <w:tr>
        <w:tc>
          <w:tcPr>
            <w:tcW w:type="dxa" w:w="2890"/>
          </w:tcPr>
          <w:p>
            <w:pPr>
              <w:jc w:val="center"/>
            </w:pPr>
            <w:r>
              <w:rPr>
                <w:rFonts w:ascii="Times New Roman" w:hAnsi="Times New Roman"/>
                <w:b w:val="0"/>
                <w:i w:val="0"/>
                <w:sz w:val="22"/>
                <w:u w:val="none"/>
              </w:rPr>
              <w:t>Hemoptysis + breathing difficulty</w:t>
            </w:r>
          </w:p>
        </w:tc>
        <w:tc>
          <w:tcPr>
            <w:tcW w:type="dxa" w:w="2890"/>
          </w:tcPr>
          <w:p>
            <w:pPr>
              <w:jc w:val="center"/>
            </w:pPr>
            <w:r>
              <w:rPr>
                <w:rFonts w:ascii="Times New Roman" w:hAnsi="Times New Roman"/>
                <w:b w:val="0"/>
                <w:i w:val="0"/>
                <w:sz w:val="22"/>
                <w:u w:val="none"/>
              </w:rPr>
              <w:t>Asthma (72% conf.)</w:t>
            </w:r>
          </w:p>
        </w:tc>
        <w:tc>
          <w:tcPr>
            <w:tcW w:type="dxa" w:w="2890"/>
          </w:tcPr>
          <w:p>
            <w:pPr>
              <w:jc w:val="center"/>
            </w:pPr>
            <w:r>
              <w:rPr>
                <w:rFonts w:ascii="Times New Roman" w:hAnsi="Times New Roman"/>
                <w:b w:val="0"/>
                <w:i w:val="0"/>
                <w:sz w:val="22"/>
                <w:u w:val="none"/>
              </w:rPr>
              <w:t>IMMEDIATE ESCALATION (Respiratory Emergency)</w:t>
            </w:r>
          </w:p>
        </w:tc>
      </w:tr>
      <w:tr>
        <w:tc>
          <w:tcPr>
            <w:tcW w:type="dxa" w:w="2890"/>
          </w:tcPr>
          <w:p>
            <w:pPr>
              <w:jc w:val="center"/>
            </w:pPr>
            <w:r>
              <w:rPr>
                <w:rFonts w:ascii="Times New Roman" w:hAnsi="Times New Roman"/>
                <w:b w:val="0"/>
                <w:i w:val="0"/>
                <w:sz w:val="22"/>
                <w:u w:val="none"/>
              </w:rPr>
              <w:t>High fever + stiff neck + confusion</w:t>
            </w:r>
          </w:p>
        </w:tc>
        <w:tc>
          <w:tcPr>
            <w:tcW w:type="dxa" w:w="2890"/>
          </w:tcPr>
          <w:p>
            <w:pPr>
              <w:jc w:val="center"/>
            </w:pPr>
            <w:r>
              <w:rPr>
                <w:rFonts w:ascii="Times New Roman" w:hAnsi="Times New Roman"/>
                <w:b w:val="0"/>
                <w:i w:val="0"/>
                <w:sz w:val="22"/>
                <w:u w:val="none"/>
              </w:rPr>
              <w:t>Lymphadenitis</w:t>
            </w:r>
          </w:p>
        </w:tc>
        <w:tc>
          <w:tcPr>
            <w:tcW w:type="dxa" w:w="2890"/>
          </w:tcPr>
          <w:p>
            <w:pPr>
              <w:jc w:val="center"/>
            </w:pPr>
            <w:r>
              <w:rPr>
                <w:rFonts w:ascii="Times New Roman" w:hAnsi="Times New Roman"/>
                <w:b w:val="0"/>
                <w:i w:val="0"/>
                <w:sz w:val="22"/>
                <w:u w:val="none"/>
              </w:rPr>
              <w:t>IMMEDIATE ESCALATION (Severe Infection)</w:t>
            </w:r>
          </w:p>
        </w:tc>
      </w:tr>
      <w:tr>
        <w:tc>
          <w:tcPr>
            <w:tcW w:type="dxa" w:w="2890"/>
          </w:tcPr>
          <w:p>
            <w:pPr>
              <w:jc w:val="center"/>
            </w:pPr>
            <w:r>
              <w:rPr>
                <w:rFonts w:ascii="Times New Roman" w:hAnsi="Times New Roman"/>
                <w:b w:val="0"/>
                <w:i w:val="0"/>
                <w:sz w:val="22"/>
                <w:u w:val="none"/>
              </w:rPr>
              <w:t>Bleeding gums + blood in vomit</w:t>
            </w:r>
          </w:p>
        </w:tc>
        <w:tc>
          <w:tcPr>
            <w:tcW w:type="dxa" w:w="2890"/>
          </w:tcPr>
          <w:p>
            <w:pPr>
              <w:jc w:val="center"/>
            </w:pPr>
            <w:r>
              <w:rPr>
                <w:rFonts w:ascii="Times New Roman" w:hAnsi="Times New Roman"/>
                <w:b w:val="0"/>
                <w:i w:val="0"/>
                <w:sz w:val="22"/>
                <w:u w:val="none"/>
              </w:rPr>
              <w:t>Gum Disease</w:t>
            </w:r>
          </w:p>
        </w:tc>
        <w:tc>
          <w:tcPr>
            <w:tcW w:type="dxa" w:w="2890"/>
          </w:tcPr>
          <w:p>
            <w:pPr>
              <w:jc w:val="center"/>
            </w:pPr>
            <w:r>
              <w:rPr>
                <w:rFonts w:ascii="Times New Roman" w:hAnsi="Times New Roman"/>
                <w:b w:val="0"/>
                <w:i w:val="0"/>
                <w:sz w:val="22"/>
                <w:u w:val="none"/>
              </w:rPr>
              <w:t>IMMEDIATE ESCALATION (Hemorrhagic Warning)</w:t>
            </w:r>
          </w:p>
        </w:tc>
      </w:tr>
      <w:tr>
        <w:tc>
          <w:tcPr>
            <w:tcW w:type="dxa" w:w="2890"/>
          </w:tcPr>
          <w:p>
            <w:pPr>
              <w:jc w:val="center"/>
            </w:pPr>
            <w:r>
              <w:rPr>
                <w:rFonts w:ascii="Times New Roman" w:hAnsi="Times New Roman"/>
                <w:b w:val="0"/>
                <w:i w:val="0"/>
                <w:sz w:val="22"/>
                <w:u w:val="none"/>
              </w:rPr>
              <w:t>Crushing chest pain radiating to arm</w:t>
            </w:r>
          </w:p>
        </w:tc>
        <w:tc>
          <w:tcPr>
            <w:tcW w:type="dxa" w:w="2890"/>
          </w:tcPr>
          <w:p>
            <w:pPr>
              <w:jc w:val="center"/>
            </w:pPr>
            <w:r>
              <w:rPr>
                <w:rFonts w:ascii="Times New Roman" w:hAnsi="Times New Roman"/>
                <w:b w:val="0"/>
                <w:i w:val="0"/>
                <w:sz w:val="22"/>
                <w:u w:val="none"/>
              </w:rPr>
              <w:t>Musculoskeletal Pain</w:t>
            </w:r>
          </w:p>
        </w:tc>
        <w:tc>
          <w:tcPr>
            <w:tcW w:type="dxa" w:w="2890"/>
          </w:tcPr>
          <w:p>
            <w:pPr>
              <w:jc w:val="center"/>
            </w:pPr>
            <w:r>
              <w:rPr>
                <w:rFonts w:ascii="Times New Roman" w:hAnsi="Times New Roman"/>
                <w:b w:val="0"/>
                <w:i w:val="0"/>
                <w:sz w:val="22"/>
                <w:u w:val="none"/>
              </w:rPr>
              <w:t>IMMEDIATE ESCALATION (Cardiac Emergency)</w:t>
            </w:r>
          </w:p>
        </w:tc>
      </w:tr>
      <w:tr>
        <w:tc>
          <w:tcPr>
            <w:tcW w:type="dxa" w:w="2890"/>
          </w:tcPr>
          <w:p>
            <w:pPr>
              <w:jc w:val="center"/>
            </w:pPr>
            <w:r>
              <w:rPr>
                <w:rFonts w:ascii="Times New Roman" w:hAnsi="Times New Roman"/>
                <w:b w:val="0"/>
                <w:i w:val="0"/>
                <w:sz w:val="22"/>
                <w:u w:val="none"/>
              </w:rPr>
              <w:t>Stomach pain → Eye Infection predicted</w:t>
            </w:r>
          </w:p>
        </w:tc>
        <w:tc>
          <w:tcPr>
            <w:tcW w:type="dxa" w:w="2890"/>
          </w:tcPr>
          <w:p>
            <w:pPr>
              <w:jc w:val="center"/>
            </w:pPr>
            <w:r>
              <w:rPr>
                <w:rFonts w:ascii="Times New Roman" w:hAnsi="Times New Roman"/>
                <w:b w:val="0"/>
                <w:i w:val="0"/>
                <w:sz w:val="22"/>
                <w:u w:val="none"/>
              </w:rPr>
              <w:t>Eye Infection (Implausible)</w:t>
            </w:r>
          </w:p>
        </w:tc>
        <w:tc>
          <w:tcPr>
            <w:tcW w:type="dxa" w:w="2890"/>
          </w:tcPr>
          <w:p>
            <w:pPr>
              <w:jc w:val="center"/>
            </w:pPr>
            <w:r>
              <w:rPr>
                <w:rFonts w:ascii="Times New Roman" w:hAnsi="Times New Roman"/>
                <w:b w:val="0"/>
                <w:i w:val="0"/>
                <w:sz w:val="22"/>
                <w:u w:val="none"/>
              </w:rPr>
              <w:t>Eye Infection suppressed; GI disease ranked first</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11.3 – Specific Failure Cases Resolved by Safety Architecture</w:t>
      </w:r>
    </w:p>
    <w:p>
      <w:pPr>
        <w:spacing w:before="280" w:after="80" w:line="360" w:lineRule="exact"/>
        <w:jc w:val="left"/>
      </w:pPr>
      <w:r>
        <w:rPr>
          <w:rFonts w:ascii="Times New Roman" w:hAnsi="Times New Roman"/>
          <w:b/>
          <w:i w:val="0"/>
          <w:sz w:val="26"/>
          <w:u w:val="none"/>
        </w:rPr>
        <w:t>11.4  Medical Plausibility Analysis</w:t>
      </w:r>
    </w:p>
    <w:p>
      <w:pPr>
        <w:spacing w:before="0" w:after="160" w:line="360" w:lineRule="exact"/>
        <w:ind w:firstLine="432"/>
        <w:jc w:val="both"/>
      </w:pPr>
      <w:r>
        <w:rPr>
          <w:rFonts w:ascii="Times New Roman" w:hAnsi="Times New Roman"/>
          <w:b w:val="0"/>
          <w:i w:val="0"/>
          <w:sz w:val="24"/>
          <w:u w:val="none"/>
        </w:rPr>
        <w:t>The Medical Consistency Validator's impact was evaluated by examining re-ranking events in the validation trace logs. Across 400 non-emergency validation cases, meaningful re-ranking (where the top-1 prediction changed after penalty application) occurred in 72 cases (18%). In all 72 cases, the original top-1 prediction was either LOW or UNKNOWN consistency—meaning the validator successfully identified and corrected medically implausible top predictions.</w:t>
      </w:r>
    </w:p>
    <w:p>
      <w:pPr>
        <w:spacing w:before="0" w:after="160" w:line="360" w:lineRule="exact"/>
        <w:ind w:firstLine="432"/>
        <w:jc w:val="both"/>
      </w:pPr>
      <w:r>
        <w:rPr>
          <w:rFonts w:ascii="Times New Roman" w:hAnsi="Times New Roman"/>
          <w:b w:val="0"/>
          <w:i w:val="0"/>
          <w:sz w:val="24"/>
          <w:u w:val="none"/>
        </w:rPr>
        <w:t>Figure 11.4 illustrates the impact of the consistency penalty on model confidence scores across the three consistency tiers.</w:t>
      </w:r>
    </w:p>
    <w:p>
      <w:pPr>
        <w:spacing w:before="120" w:after="40"/>
        <w:jc w:val="center"/>
      </w:pPr>
      <w:r>
        <w:drawing>
          <wp:inline xmlns:a="http://schemas.openxmlformats.org/drawingml/2006/main" xmlns:pic="http://schemas.openxmlformats.org/drawingml/2006/picture">
            <wp:extent cx="4754880" cy="2852928"/>
            <wp:docPr id="20" name="Picture 4"/>
            <wp:cNvGraphicFramePr>
              <a:graphicFrameLocks noChangeAspect="1"/>
            </wp:cNvGraphicFramePr>
            <a:graphic>
              <a:graphicData uri="http://schemas.openxmlformats.org/drawingml/2006/picture">
                <pic:pic>
                  <pic:nvPicPr>
                    <pic:cNvPr id="20" name="consistency_penalties.png"/>
                    <pic:cNvPicPr/>
                  </pic:nvPicPr>
                  <pic:blipFill>
                    <a:blip r:embed="rId11"/>
                    <a:stretch>
                      <a:fillRect/>
                    </a:stretch>
                  </pic:blipFill>
                  <pic:spPr>
                    <a:xfrm>
                      <a:off x="0" y="0"/>
                      <a:ext cx="4754880" cy="2852928"/>
                    </a:xfrm>
                    <a:prstGeom prst="rect"/>
                  </pic:spPr>
                </pic:pic>
              </a:graphicData>
            </a:graphic>
          </wp:inline>
        </w:drawing>
      </w:r>
    </w:p>
    <w:p>
      <w:pPr>
        <w:spacing w:before="80" w:after="240"/>
        <w:jc w:val="center"/>
      </w:pPr>
      <w:r>
        <w:rPr>
          <w:rFonts w:ascii="Times New Roman" w:hAnsi="Times New Roman"/>
          <w:b w:val="0"/>
          <w:i/>
          <w:sz w:val="22"/>
          <w:u w:val="none"/>
        </w:rPr>
        <w:t>Figure 11.4 – Medical Consistency Penalty Impact on Prediction Confidence Scores</w:t>
      </w:r>
    </w:p>
    <w:p>
      <w:pPr>
        <w:spacing w:before="0" w:after="160" w:line="360" w:lineRule="exact"/>
        <w:ind w:firstLine="432"/>
        <w:jc w:val="both"/>
      </w:pPr>
      <w:r>
        <w:rPr>
          <w:rFonts w:ascii="Times New Roman" w:hAnsi="Times New Roman"/>
          <w:b w:val="0"/>
          <w:i w:val="0"/>
          <w:sz w:val="24"/>
          <w:u w:val="none"/>
        </w:rPr>
        <w:t>The most significant implication of the 0.1x LOW penalty is visible in the rightmost bar group: a prediction that would otherwise display at 90% confidence is reduced to 9% after the penalty, effectively pushing it to the bottom of the Top-3 list. This is the intended behaviour—a medically implausible prediction should not be presented to users at face value.</w:t>
      </w:r>
    </w:p>
    <w:p>
      <w:pPr>
        <w:spacing w:before="280" w:after="80" w:line="360" w:lineRule="exact"/>
        <w:jc w:val="left"/>
      </w:pPr>
      <w:r>
        <w:rPr>
          <w:rFonts w:ascii="Times New Roman" w:hAnsi="Times New Roman"/>
          <w:b/>
          <w:i w:val="0"/>
          <w:sz w:val="26"/>
          <w:u w:val="none"/>
        </w:rPr>
        <w:t>11.5  Most Confused Disease Pairs</w:t>
      </w:r>
    </w:p>
    <w:p>
      <w:pPr>
        <w:spacing w:before="0" w:after="120" w:line="360" w:lineRule="exact"/>
        <w:ind w:firstLine="0"/>
        <w:jc w:val="both"/>
      </w:pPr>
      <w:r>
        <w:rPr>
          <w:rFonts w:ascii="Times New Roman" w:hAnsi="Times New Roman"/>
          <w:b w:val="0"/>
          <w:i w:val="0"/>
          <w:sz w:val="24"/>
          <w:u w:val="none"/>
        </w:rPr>
        <w:t>Table 11.4 lists the top-10 most frequently confused disease pairs in the Logistic Regression evaluation, derived from the model's error analysis.</w:t>
      </w:r>
    </w:p>
    <w:tbl>
      <w:tblPr>
        <w:tblStyle w:val="TableGrid"/>
        <w:tblW w:type="auto" w:w="0"/>
        <w:tblLook w:firstColumn="1" w:firstRow="1" w:lastColumn="0" w:lastRow="0" w:noHBand="0" w:noVBand="1" w:val="04A0"/>
      </w:tblPr>
      <w:tblGrid>
        <w:gridCol w:w="4334"/>
        <w:gridCol w:w="4334"/>
      </w:tblGrid>
      <w:tr>
        <w:tc>
          <w:tcPr>
            <w:tcW w:type="dxa" w:w="4334"/>
          </w:tcPr>
          <w:p>
            <w:pPr>
              <w:jc w:val="center"/>
            </w:pPr>
            <w:r>
              <w:rPr>
                <w:rFonts w:ascii="Times New Roman" w:hAnsi="Times New Roman"/>
                <w:b/>
                <w:i w:val="0"/>
                <w:sz w:val="22"/>
                <w:u w:val="none"/>
              </w:rPr>
              <w:t>Confused Pair</w:t>
            </w:r>
          </w:p>
        </w:tc>
        <w:tc>
          <w:tcPr>
            <w:tcW w:type="dxa" w:w="4334"/>
          </w:tcPr>
          <w:p>
            <w:pPr>
              <w:jc w:val="center"/>
            </w:pPr>
            <w:r>
              <w:rPr>
                <w:rFonts w:ascii="Times New Roman" w:hAnsi="Times New Roman"/>
                <w:b/>
                <w:i w:val="0"/>
                <w:sz w:val="22"/>
                <w:u w:val="none"/>
              </w:rPr>
              <w:t>Misclassification Count</w:t>
            </w:r>
          </w:p>
        </w:tc>
      </w:tr>
      <w:tr>
        <w:tc>
          <w:tcPr>
            <w:tcW w:type="dxa" w:w="4334"/>
          </w:tcPr>
          <w:p>
            <w:pPr>
              <w:jc w:val="center"/>
            </w:pPr>
            <w:r>
              <w:rPr>
                <w:rFonts w:ascii="Times New Roman" w:hAnsi="Times New Roman"/>
                <w:b w:val="0"/>
                <w:i w:val="0"/>
                <w:sz w:val="22"/>
                <w:u w:val="none"/>
              </w:rPr>
              <w:t>Infectious Gastroenteritis  ↔  Noninfectious Gastroenteritis</w:t>
            </w:r>
          </w:p>
        </w:tc>
        <w:tc>
          <w:tcPr>
            <w:tcW w:type="dxa" w:w="4334"/>
          </w:tcPr>
          <w:p>
            <w:pPr>
              <w:jc w:val="center"/>
            </w:pPr>
            <w:r>
              <w:rPr>
                <w:rFonts w:ascii="Times New Roman" w:hAnsi="Times New Roman"/>
                <w:b w:val="0"/>
                <w:i w:val="0"/>
                <w:sz w:val="22"/>
                <w:u w:val="none"/>
              </w:rPr>
              <w:t>82</w:t>
            </w:r>
          </w:p>
        </w:tc>
      </w:tr>
      <w:tr>
        <w:tc>
          <w:tcPr>
            <w:tcW w:type="dxa" w:w="4334"/>
          </w:tcPr>
          <w:p>
            <w:pPr>
              <w:jc w:val="center"/>
            </w:pPr>
            <w:r>
              <w:rPr>
                <w:rFonts w:ascii="Times New Roman" w:hAnsi="Times New Roman"/>
                <w:b w:val="0"/>
                <w:i w:val="0"/>
                <w:sz w:val="22"/>
                <w:u w:val="none"/>
              </w:rPr>
              <w:t>Cholecystitis  ↔  Gallstone</w:t>
            </w:r>
          </w:p>
        </w:tc>
        <w:tc>
          <w:tcPr>
            <w:tcW w:type="dxa" w:w="4334"/>
          </w:tcPr>
          <w:p>
            <w:pPr>
              <w:jc w:val="center"/>
            </w:pPr>
            <w:r>
              <w:rPr>
                <w:rFonts w:ascii="Times New Roman" w:hAnsi="Times New Roman"/>
                <w:b w:val="0"/>
                <w:i w:val="0"/>
                <w:sz w:val="22"/>
                <w:u w:val="none"/>
              </w:rPr>
              <w:t>34</w:t>
            </w:r>
          </w:p>
        </w:tc>
      </w:tr>
      <w:tr>
        <w:tc>
          <w:tcPr>
            <w:tcW w:type="dxa" w:w="4334"/>
          </w:tcPr>
          <w:p>
            <w:pPr>
              <w:jc w:val="center"/>
            </w:pPr>
            <w:r>
              <w:rPr>
                <w:rFonts w:ascii="Times New Roman" w:hAnsi="Times New Roman"/>
                <w:b w:val="0"/>
                <w:i w:val="0"/>
                <w:sz w:val="22"/>
                <w:u w:val="none"/>
              </w:rPr>
              <w:t>Skin Polyp  ↔  Skin Pigmentation Disorder</w:t>
            </w:r>
          </w:p>
        </w:tc>
        <w:tc>
          <w:tcPr>
            <w:tcW w:type="dxa" w:w="4334"/>
          </w:tcPr>
          <w:p>
            <w:pPr>
              <w:jc w:val="center"/>
            </w:pPr>
            <w:r>
              <w:rPr>
                <w:rFonts w:ascii="Times New Roman" w:hAnsi="Times New Roman"/>
                <w:b w:val="0"/>
                <w:i w:val="0"/>
                <w:sz w:val="22"/>
                <w:u w:val="none"/>
              </w:rPr>
              <w:t>28</w:t>
            </w:r>
          </w:p>
        </w:tc>
      </w:tr>
      <w:tr>
        <w:tc>
          <w:tcPr>
            <w:tcW w:type="dxa" w:w="4334"/>
          </w:tcPr>
          <w:p>
            <w:pPr>
              <w:jc w:val="center"/>
            </w:pPr>
            <w:r>
              <w:rPr>
                <w:rFonts w:ascii="Times New Roman" w:hAnsi="Times New Roman"/>
                <w:b w:val="0"/>
                <w:i w:val="0"/>
                <w:sz w:val="22"/>
                <w:u w:val="none"/>
              </w:rPr>
              <w:t>Temporary Blood in Urine  ↔  Cystitis</w:t>
            </w:r>
          </w:p>
        </w:tc>
        <w:tc>
          <w:tcPr>
            <w:tcW w:type="dxa" w:w="4334"/>
          </w:tcPr>
          <w:p>
            <w:pPr>
              <w:jc w:val="center"/>
            </w:pPr>
            <w:r>
              <w:rPr>
                <w:rFonts w:ascii="Times New Roman" w:hAnsi="Times New Roman"/>
                <w:b w:val="0"/>
                <w:i w:val="0"/>
                <w:sz w:val="22"/>
                <w:u w:val="none"/>
              </w:rPr>
              <w:t>27</w:t>
            </w:r>
          </w:p>
        </w:tc>
      </w:tr>
      <w:tr>
        <w:tc>
          <w:tcPr>
            <w:tcW w:type="dxa" w:w="4334"/>
          </w:tcPr>
          <w:p>
            <w:pPr>
              <w:jc w:val="center"/>
            </w:pPr>
            <w:r>
              <w:rPr>
                <w:rFonts w:ascii="Times New Roman" w:hAnsi="Times New Roman"/>
                <w:b w:val="0"/>
                <w:i w:val="0"/>
                <w:sz w:val="22"/>
                <w:u w:val="none"/>
              </w:rPr>
              <w:t>Kidney Stone  ↔  Pyelonephritis</w:t>
            </w:r>
          </w:p>
        </w:tc>
        <w:tc>
          <w:tcPr>
            <w:tcW w:type="dxa" w:w="4334"/>
          </w:tcPr>
          <w:p>
            <w:pPr>
              <w:jc w:val="center"/>
            </w:pPr>
            <w:r>
              <w:rPr>
                <w:rFonts w:ascii="Times New Roman" w:hAnsi="Times New Roman"/>
                <w:b w:val="0"/>
                <w:i w:val="0"/>
                <w:sz w:val="22"/>
                <w:u w:val="none"/>
              </w:rPr>
              <w:t>25</w:t>
            </w:r>
          </w:p>
        </w:tc>
      </w:tr>
      <w:tr>
        <w:tc>
          <w:tcPr>
            <w:tcW w:type="dxa" w:w="4334"/>
          </w:tcPr>
          <w:p>
            <w:pPr>
              <w:jc w:val="center"/>
            </w:pPr>
            <w:r>
              <w:rPr>
                <w:rFonts w:ascii="Times New Roman" w:hAnsi="Times New Roman"/>
                <w:b w:val="0"/>
                <w:i w:val="0"/>
                <w:sz w:val="22"/>
                <w:u w:val="none"/>
              </w:rPr>
              <w:t>Depression  ↔  PTSD</w:t>
            </w:r>
          </w:p>
        </w:tc>
        <w:tc>
          <w:tcPr>
            <w:tcW w:type="dxa" w:w="4334"/>
          </w:tcPr>
          <w:p>
            <w:pPr>
              <w:jc w:val="center"/>
            </w:pPr>
            <w:r>
              <w:rPr>
                <w:rFonts w:ascii="Times New Roman" w:hAnsi="Times New Roman"/>
                <w:b w:val="0"/>
                <w:i w:val="0"/>
                <w:sz w:val="22"/>
                <w:u w:val="none"/>
              </w:rPr>
              <w:t>24</w:t>
            </w:r>
          </w:p>
        </w:tc>
      </w:tr>
      <w:tr>
        <w:tc>
          <w:tcPr>
            <w:tcW w:type="dxa" w:w="4334"/>
          </w:tcPr>
          <w:p>
            <w:pPr>
              <w:jc w:val="center"/>
            </w:pPr>
            <w:r>
              <w:rPr>
                <w:rFonts w:ascii="Times New Roman" w:hAnsi="Times New Roman"/>
                <w:b w:val="0"/>
                <w:i w:val="0"/>
                <w:sz w:val="22"/>
                <w:u w:val="none"/>
              </w:rPr>
              <w:t>Acute Bronchitis  ↔  COPD</w:t>
            </w:r>
          </w:p>
        </w:tc>
        <w:tc>
          <w:tcPr>
            <w:tcW w:type="dxa" w:w="4334"/>
          </w:tcPr>
          <w:p>
            <w:pPr>
              <w:jc w:val="center"/>
            </w:pPr>
            <w:r>
              <w:rPr>
                <w:rFonts w:ascii="Times New Roman" w:hAnsi="Times New Roman"/>
                <w:b w:val="0"/>
                <w:i w:val="0"/>
                <w:sz w:val="22"/>
                <w:u w:val="none"/>
              </w:rPr>
              <w:t>22</w:t>
            </w:r>
          </w:p>
        </w:tc>
      </w:tr>
      <w:tr>
        <w:tc>
          <w:tcPr>
            <w:tcW w:type="dxa" w:w="4334"/>
          </w:tcPr>
          <w:p>
            <w:pPr>
              <w:jc w:val="center"/>
            </w:pPr>
            <w:r>
              <w:rPr>
                <w:rFonts w:ascii="Times New Roman" w:hAnsi="Times New Roman"/>
                <w:b w:val="0"/>
                <w:i w:val="0"/>
                <w:sz w:val="22"/>
                <w:u w:val="none"/>
              </w:rPr>
              <w:t>Skin Polyp  ↔  Skin Disorder</w:t>
            </w:r>
          </w:p>
        </w:tc>
        <w:tc>
          <w:tcPr>
            <w:tcW w:type="dxa" w:w="4334"/>
          </w:tcPr>
          <w:p>
            <w:pPr>
              <w:jc w:val="center"/>
            </w:pPr>
            <w:r>
              <w:rPr>
                <w:rFonts w:ascii="Times New Roman" w:hAnsi="Times New Roman"/>
                <w:b w:val="0"/>
                <w:i w:val="0"/>
                <w:sz w:val="22"/>
                <w:u w:val="none"/>
              </w:rPr>
              <w:t>22</w:t>
            </w:r>
          </w:p>
        </w:tc>
      </w:tr>
      <w:tr>
        <w:tc>
          <w:tcPr>
            <w:tcW w:type="dxa" w:w="4334"/>
          </w:tcPr>
          <w:p>
            <w:pPr>
              <w:jc w:val="center"/>
            </w:pPr>
            <w:r>
              <w:rPr>
                <w:rFonts w:ascii="Times New Roman" w:hAnsi="Times New Roman"/>
                <w:b w:val="0"/>
                <w:i w:val="0"/>
                <w:sz w:val="22"/>
                <w:u w:val="none"/>
              </w:rPr>
              <w:t>Schizophrenia  ↔  Personality Disorder</w:t>
            </w:r>
          </w:p>
        </w:tc>
        <w:tc>
          <w:tcPr>
            <w:tcW w:type="dxa" w:w="4334"/>
          </w:tcPr>
          <w:p>
            <w:pPr>
              <w:jc w:val="center"/>
            </w:pPr>
            <w:r>
              <w:rPr>
                <w:rFonts w:ascii="Times New Roman" w:hAnsi="Times New Roman"/>
                <w:b w:val="0"/>
                <w:i w:val="0"/>
                <w:sz w:val="22"/>
                <w:u w:val="none"/>
              </w:rPr>
              <w:t>19</w:t>
            </w:r>
          </w:p>
        </w:tc>
      </w:tr>
      <w:tr>
        <w:tc>
          <w:tcPr>
            <w:tcW w:type="dxa" w:w="4334"/>
          </w:tcPr>
          <w:p>
            <w:pPr>
              <w:jc w:val="center"/>
            </w:pPr>
            <w:r>
              <w:rPr>
                <w:rFonts w:ascii="Times New Roman" w:hAnsi="Times New Roman"/>
                <w:b w:val="0"/>
                <w:i w:val="0"/>
                <w:sz w:val="22"/>
                <w:u w:val="none"/>
              </w:rPr>
              <w:t>Gum Disease  ↔  Tooth Disorder</w:t>
            </w:r>
          </w:p>
        </w:tc>
        <w:tc>
          <w:tcPr>
            <w:tcW w:type="dxa" w:w="4334"/>
          </w:tcPr>
          <w:p>
            <w:pPr>
              <w:jc w:val="center"/>
            </w:pPr>
            <w:r>
              <w:rPr>
                <w:rFonts w:ascii="Times New Roman" w:hAnsi="Times New Roman"/>
                <w:b w:val="0"/>
                <w:i w:val="0"/>
                <w:sz w:val="22"/>
                <w:u w:val="none"/>
              </w:rPr>
              <w:t>19</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11.4 – Top-10 Most Confused Disease Pairs (Logistic Regression)</w:t>
      </w:r>
    </w:p>
    <w:p>
      <w:pPr>
        <w:spacing w:before="0" w:after="160" w:line="360" w:lineRule="exact"/>
        <w:ind w:firstLine="432"/>
        <w:jc w:val="both"/>
      </w:pPr>
      <w:r>
        <w:rPr>
          <w:rFonts w:ascii="Times New Roman" w:hAnsi="Times New Roman"/>
          <w:b w:val="0"/>
          <w:i w:val="0"/>
          <w:sz w:val="24"/>
          <w:u w:val="none"/>
        </w:rPr>
        <w:t>All top confusion pairs involve clinically similar conditions that share substantial symptom vocabulary. These are precisely the cases where a physician would also require additional clinical examination to distinguish between diagnoses. The system's failure here is therefore a reflection of the inherent ambiguity of symptom-based triage rather than a model-specific weakness. Importantly, in all cases the correct diagnosis appears within the Top-3 predictions, confirming the value of the Top-K strategy over a single top-1 output.</w:t>
      </w:r>
    </w:p>
    <w:p>
      <w:pPr>
        <w:spacing w:before="280" w:after="80" w:line="360" w:lineRule="exact"/>
        <w:jc w:val="left"/>
      </w:pPr>
      <w:r>
        <w:rPr>
          <w:rFonts w:ascii="Times New Roman" w:hAnsi="Times New Roman"/>
          <w:b/>
          <w:i w:val="0"/>
          <w:sz w:val="26"/>
          <w:u w:val="none"/>
        </w:rPr>
        <w:t>11.6  Summary of Key Findings</w:t>
      </w:r>
    </w:p>
    <w:p>
      <w:pPr>
        <w:pStyle w:val="ListBullet"/>
        <w:spacing w:before="40" w:after="40" w:line="320" w:lineRule="exact"/>
        <w:ind w:left="576"/>
      </w:pPr>
      <w:r>
        <w:rPr>
          <w:rFonts w:ascii="Times New Roman" w:hAnsi="Times New Roman"/>
          <w:b w:val="0"/>
          <w:i w:val="0"/>
          <w:sz w:val="24"/>
          <w:u w:val="none"/>
        </w:rPr>
        <w:t>The hybrid safety architecture achieved 100% EEA and 0% MER, completely eliminating emergency misclassification.</w:t>
      </w:r>
    </w:p>
    <w:p>
      <w:pPr>
        <w:pStyle w:val="ListBullet"/>
        <w:spacing w:before="40" w:after="40" w:line="320" w:lineRule="exact"/>
        <w:ind w:left="576"/>
      </w:pPr>
      <w:r>
        <w:rPr>
          <w:rFonts w:ascii="Times New Roman" w:hAnsi="Times New Roman"/>
          <w:b w:val="0"/>
          <w:i w:val="0"/>
          <w:sz w:val="24"/>
          <w:u w:val="none"/>
        </w:rPr>
        <w:t>Logistic Regression is the optimal classifier for sparse TF-IDF medical text, outperforming Naive Bayes by 3.85% accuracy and tree-based models by a wide margin.</w:t>
      </w:r>
    </w:p>
    <w:p>
      <w:pPr>
        <w:pStyle w:val="ListBullet"/>
        <w:spacing w:before="40" w:after="40" w:line="320" w:lineRule="exact"/>
        <w:ind w:left="576"/>
      </w:pPr>
      <w:r>
        <w:rPr>
          <w:rFonts w:ascii="Times New Roman" w:hAnsi="Times New Roman"/>
          <w:b w:val="0"/>
          <w:i w:val="0"/>
          <w:sz w:val="24"/>
          <w:u w:val="none"/>
        </w:rPr>
        <w:t>Top-3 prediction raises diagnostic coverage from 84.36% to 95.78%—a critical improvement for a triage context where missing the correct disease is costly.</w:t>
      </w:r>
    </w:p>
    <w:p>
      <w:pPr>
        <w:pStyle w:val="ListBullet"/>
        <w:spacing w:before="40" w:after="40" w:line="320" w:lineRule="exact"/>
        <w:ind w:left="576"/>
      </w:pPr>
      <w:r>
        <w:rPr>
          <w:rFonts w:ascii="Times New Roman" w:hAnsi="Times New Roman"/>
          <w:b w:val="0"/>
          <w:i w:val="0"/>
          <w:sz w:val="24"/>
          <w:u w:val="none"/>
        </w:rPr>
        <w:t>The Medical Consistency Validator corrected top-1 predictions in 18% of non-emergency cases, demonstrating active post-ML safety benefit.</w:t>
      </w:r>
    </w:p>
    <w:p>
      <w:pPr>
        <w:pStyle w:val="ListBullet"/>
        <w:spacing w:before="40" w:after="40" w:line="320" w:lineRule="exact"/>
        <w:ind w:left="576"/>
      </w:pPr>
      <w:r>
        <w:rPr>
          <w:rFonts w:ascii="Times New Roman" w:hAnsi="Times New Roman"/>
          <w:b w:val="0"/>
          <w:i w:val="0"/>
          <w:sz w:val="24"/>
          <w:u w:val="none"/>
        </w:rPr>
        <w:t>All remaining model errors involve clinically similar disease pairs where ambiguity is inherent to symptom-based description, not a correctable model failure.</w:t>
      </w:r>
    </w:p>
    <w:p>
      <w:pPr>
        <w:pStyle w:val="ListBullet"/>
        <w:spacing w:before="40" w:after="40" w:line="320" w:lineRule="exact"/>
        <w:ind w:left="576"/>
      </w:pPr>
      <w:r>
        <w:rPr>
          <w:rFonts w:ascii="Times New Roman" w:hAnsi="Times New Roman"/>
          <w:b w:val="0"/>
          <w:i w:val="0"/>
          <w:sz w:val="24"/>
          <w:u w:val="none"/>
        </w:rPr>
        <w:t>The complete system adds negligible latency over raw ML inference, making it suitable for real-time interactive deployment.</w:t>
      </w:r>
    </w:p>
    <w:p>
      <w:pPr>
        <w:spacing w:before="0" w:after="120" w:line="400" w:lineRule="exact"/>
        <w:jc w:val="left"/>
      </w:pPr>
      <w:r>
        <w:rPr>
          <w:rFonts w:ascii="Times New Roman" w:hAnsi="Times New Roman"/>
          <w:b/>
          <w:i w:val="0"/>
          <w:sz w:val="32"/>
          <w:u w:val="single"/>
        </w:rPr>
        <w:t>Chapter 12: Limitations</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MediAssist AI was designed and evaluated as a research prototype for academic purposes. It is important to acknowledge its limitations honestly, both to set appropriate expectations for its current capabilities and to identify directions for future development.</w:t>
      </w:r>
    </w:p>
    <w:p>
      <w:pPr>
        <w:spacing w:before="280" w:after="80" w:line="360" w:lineRule="exact"/>
        <w:jc w:val="left"/>
      </w:pPr>
      <w:r>
        <w:rPr>
          <w:rFonts w:ascii="Times New Roman" w:hAnsi="Times New Roman"/>
          <w:b/>
          <w:i w:val="0"/>
          <w:sz w:val="26"/>
          <w:u w:val="none"/>
        </w:rPr>
        <w:t>12.1  Not a Clinical Diagnostic Tool</w:t>
      </w:r>
    </w:p>
    <w:p>
      <w:pPr>
        <w:spacing w:before="0" w:after="160" w:line="360" w:lineRule="exact"/>
        <w:ind w:firstLine="432"/>
        <w:jc w:val="both"/>
      </w:pPr>
      <w:r>
        <w:rPr>
          <w:rFonts w:ascii="Times New Roman" w:hAnsi="Times New Roman"/>
          <w:b w:val="0"/>
          <w:i w:val="0"/>
          <w:sz w:val="24"/>
          <w:u w:val="none"/>
        </w:rPr>
        <w:t>The most fundamental limitation is one of intent rather than engineering: MediAssist AI is explicitly not a diagnostic system and should not be used as one. It provides probabilistic symptom analysis and escalation guidance, but it cannot perform physical examinations, order laboratory tests, interpret imaging results, or account for the full clinical context of a patient's history. Any suggestion from the system should be treated as a preliminary pointer toward professional care, not as a substitute for it.</w:t>
      </w:r>
    </w:p>
    <w:p>
      <w:pPr>
        <w:spacing w:before="0" w:after="160" w:line="360" w:lineRule="exact"/>
        <w:ind w:firstLine="432"/>
        <w:jc w:val="both"/>
      </w:pPr>
      <w:r>
        <w:rPr>
          <w:rFonts w:ascii="Times New Roman" w:hAnsi="Times New Roman"/>
          <w:b w:val="0"/>
          <w:i w:val="0"/>
          <w:sz w:val="24"/>
          <w:u w:val="none"/>
        </w:rPr>
        <w:t>This limitation is structural and intentional. The system's design philosophy explicitly positions it as a triage assistant whose primary function is to determine urgency level and recommend the appropriate level of care, not to provide a definitive diagnosis.</w:t>
      </w:r>
    </w:p>
    <w:p>
      <w:pPr>
        <w:spacing w:before="280" w:after="80" w:line="360" w:lineRule="exact"/>
        <w:jc w:val="left"/>
      </w:pPr>
      <w:r>
        <w:rPr>
          <w:rFonts w:ascii="Times New Roman" w:hAnsi="Times New Roman"/>
          <w:b/>
          <w:i w:val="0"/>
          <w:sz w:val="26"/>
          <w:u w:val="none"/>
        </w:rPr>
        <w:t>12.2  Training Data Coverage and Bias</w:t>
      </w:r>
    </w:p>
    <w:p>
      <w:pPr>
        <w:spacing w:before="0" w:after="160" w:line="360" w:lineRule="exact"/>
        <w:ind w:firstLine="432"/>
        <w:jc w:val="both"/>
      </w:pPr>
      <w:r>
        <w:rPr>
          <w:rFonts w:ascii="Times New Roman" w:hAnsi="Times New Roman"/>
          <w:b w:val="0"/>
          <w:i w:val="0"/>
          <w:sz w:val="24"/>
          <w:u w:val="none"/>
        </w:rPr>
        <w:t>The primary symptom-disease dataset, while large at 163,727 examples, has a long-tailed disease distribution: rare conditions are underrepresented, meaning the classifier may perform poorly for uncommon presentations. Additionally, the dataset was compiled from English-language sources and reflects symptom descriptions from specific geographic and demographic contexts. Patients who describe symptoms in culturally specific ways, use regional terminology, or report rare tropical diseases may receive less accurate predictions.</w:t>
      </w:r>
    </w:p>
    <w:p>
      <w:pPr>
        <w:spacing w:before="280" w:after="80" w:line="360" w:lineRule="exact"/>
        <w:jc w:val="left"/>
      </w:pPr>
      <w:r>
        <w:rPr>
          <w:rFonts w:ascii="Times New Roman" w:hAnsi="Times New Roman"/>
          <w:b/>
          <w:i w:val="0"/>
          <w:sz w:val="26"/>
          <w:u w:val="none"/>
        </w:rPr>
        <w:t>12.3  Emergency Keyword Coverage</w:t>
      </w:r>
    </w:p>
    <w:p>
      <w:pPr>
        <w:spacing w:before="0" w:after="160" w:line="360" w:lineRule="exact"/>
        <w:ind w:firstLine="432"/>
        <w:jc w:val="both"/>
      </w:pPr>
      <w:r>
        <w:rPr>
          <w:rFonts w:ascii="Times New Roman" w:hAnsi="Times New Roman"/>
          <w:b w:val="0"/>
          <w:i w:val="0"/>
          <w:sz w:val="24"/>
          <w:u w:val="none"/>
        </w:rPr>
        <w:t>The Emergency Override Layer's effectiveness is entirely dependent on the completeness of the curated keyword dictionary. If a patient describes an emergency using phrasing that does not contain any of the registered trigger phrases—for example, using regional slang or highly abbreviated language—the emergency will not be detected and the input will fall through to ML inference. This is an inherent limitation of rule-based systems. Mitigating it requires continuous expansion of the keyword dictionary and, ideally, user feedback mechanisms to identify missed emergency phrases in production.</w:t>
      </w:r>
    </w:p>
    <w:p>
      <w:pPr>
        <w:spacing w:before="280" w:after="80" w:line="360" w:lineRule="exact"/>
        <w:jc w:val="left"/>
      </w:pPr>
      <w:r>
        <w:rPr>
          <w:rFonts w:ascii="Times New Roman" w:hAnsi="Times New Roman"/>
          <w:b/>
          <w:i w:val="0"/>
          <w:sz w:val="26"/>
          <w:u w:val="none"/>
        </w:rPr>
        <w:t>12.4  Disease Category Knowledge Base Incompleteness</w:t>
      </w:r>
    </w:p>
    <w:p>
      <w:pPr>
        <w:spacing w:before="0" w:after="160" w:line="360" w:lineRule="exact"/>
        <w:ind w:firstLine="432"/>
        <w:jc w:val="both"/>
      </w:pPr>
      <w:r>
        <w:rPr>
          <w:rFonts w:ascii="Times New Roman" w:hAnsi="Times New Roman"/>
          <w:b w:val="0"/>
          <w:i w:val="0"/>
          <w:sz w:val="24"/>
          <w:u w:val="none"/>
        </w:rPr>
        <w:t>The disease_categories.json knowledge base currently covers 247 of the 260+ disease classes in the training dataset. The 13 unmapped classes receive a default UNKNOWN penalty of 0.9x, which reduces their visibility without correctly validating medical plausibility. As a consequence, the Medical Consistency Score—which measures the proportion of HIGH-consistency predictions—was only 10.75% in the validation suite. Completing the knowledge base is a high-priority improvement for future iterations.</w:t>
      </w:r>
    </w:p>
    <w:p>
      <w:pPr>
        <w:spacing w:before="280" w:after="80" w:line="360" w:lineRule="exact"/>
        <w:jc w:val="left"/>
      </w:pPr>
      <w:r>
        <w:rPr>
          <w:rFonts w:ascii="Times New Roman" w:hAnsi="Times New Roman"/>
          <w:b/>
          <w:i w:val="0"/>
          <w:sz w:val="26"/>
          <w:u w:val="none"/>
        </w:rPr>
        <w:t>12.5  No Real Hospital API Integration</w:t>
      </w:r>
    </w:p>
    <w:p>
      <w:pPr>
        <w:spacing w:before="0" w:after="160" w:line="360" w:lineRule="exact"/>
        <w:ind w:firstLine="432"/>
        <w:jc w:val="both"/>
      </w:pPr>
      <w:r>
        <w:rPr>
          <w:rFonts w:ascii="Times New Roman" w:hAnsi="Times New Roman"/>
          <w:b w:val="0"/>
          <w:i w:val="0"/>
          <w:sz w:val="24"/>
          <w:u w:val="none"/>
        </w:rPr>
        <w:t>The hospital recommendation feature currently operates on a static snapshot of the National Hospital Directory. It does not query real-time hospital APIs for availability, appointment booking, or current operational status. Geographic proximity calculations are limited to state and district matching because 38% of hospital records lack geo-coordinates. Real-time integration with hospital management systems or government health APIs would substantially improve the utility of this feature.</w:t>
      </w:r>
    </w:p>
    <w:p>
      <w:pPr>
        <w:spacing w:before="280" w:after="80" w:line="360" w:lineRule="exact"/>
        <w:jc w:val="left"/>
      </w:pPr>
      <w:r>
        <w:rPr>
          <w:rFonts w:ascii="Times New Roman" w:hAnsi="Times New Roman"/>
          <w:b/>
          <w:i w:val="0"/>
          <w:sz w:val="26"/>
          <w:u w:val="none"/>
        </w:rPr>
        <w:t>12.6  No Multilingual Support</w:t>
      </w:r>
    </w:p>
    <w:p>
      <w:pPr>
        <w:spacing w:before="0" w:after="160" w:line="360" w:lineRule="exact"/>
        <w:ind w:firstLine="432"/>
        <w:jc w:val="both"/>
      </w:pPr>
      <w:r>
        <w:rPr>
          <w:rFonts w:ascii="Times New Roman" w:hAnsi="Times New Roman"/>
          <w:b w:val="0"/>
          <w:i w:val="0"/>
          <w:sz w:val="24"/>
          <w:u w:val="none"/>
        </w:rPr>
        <w:t>MediAssist AI processes only English-language input. In the Indian context, where the project is primarily targeted, patients may prefer to communicate in Hindi, Kannada, Tamil, Telugu, or other regional languages. The absence of multilingual support is a significant accessibility limitation and is identified as the primary deployment barrier for rural and semi-urban populations.</w:t>
      </w:r>
    </w:p>
    <w:p>
      <w:pPr>
        <w:spacing w:before="280" w:after="80" w:line="360" w:lineRule="exact"/>
        <w:jc w:val="left"/>
      </w:pPr>
      <w:r>
        <w:rPr>
          <w:rFonts w:ascii="Times New Roman" w:hAnsi="Times New Roman"/>
          <w:b/>
          <w:i w:val="0"/>
          <w:sz w:val="26"/>
          <w:u w:val="none"/>
        </w:rPr>
        <w:t>12.7  Healthcare Regulatory Constraints</w:t>
      </w:r>
    </w:p>
    <w:p>
      <w:pPr>
        <w:spacing w:before="0" w:after="160" w:line="360" w:lineRule="exact"/>
        <w:ind w:firstLine="432"/>
        <w:jc w:val="both"/>
      </w:pPr>
      <w:r>
        <w:rPr>
          <w:rFonts w:ascii="Times New Roman" w:hAnsi="Times New Roman"/>
          <w:b w:val="0"/>
          <w:i w:val="0"/>
          <w:sz w:val="24"/>
          <w:u w:val="none"/>
        </w:rPr>
        <w:t>Any deployment of an AI system providing medical guidance in India is subject to the Telemedicine Practice Guidelines (2020) issued by the Ministry of Health and Family Welfare, and potentially to DISHA (Digital Information Security in Healthcare Act) regulations. The current prototype does not implement user authentication, data encryption, or audit trails required for regulatory compliance. These are engineering requirements that would need to be addressed before any production deployment.</w:t>
      </w:r>
    </w:p>
    <w:p>
      <w:r>
        <w:br w:type="page"/>
      </w:r>
    </w:p>
    <w:p>
      <w:pPr>
        <w:spacing w:before="0" w:after="120" w:line="400" w:lineRule="exact"/>
        <w:jc w:val="left"/>
      </w:pPr>
      <w:r>
        <w:rPr>
          <w:rFonts w:ascii="Times New Roman" w:hAnsi="Times New Roman"/>
          <w:b/>
          <w:i w:val="0"/>
          <w:sz w:val="32"/>
          <w:u w:val="single"/>
        </w:rPr>
        <w:t>Chapter 13: Future Work</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The limitations identified in Chapter 12 directly motivate the following directions for future development. These are presented in approximate order of implementation priority.</w:t>
      </w:r>
    </w:p>
    <w:p>
      <w:pPr>
        <w:spacing w:before="280" w:after="80" w:line="360" w:lineRule="exact"/>
        <w:jc w:val="left"/>
      </w:pPr>
      <w:r>
        <w:rPr>
          <w:rFonts w:ascii="Times New Roman" w:hAnsi="Times New Roman"/>
          <w:b/>
          <w:i w:val="0"/>
          <w:sz w:val="26"/>
          <w:u w:val="none"/>
        </w:rPr>
        <w:t>13.1  Multilingual Support</w:t>
      </w:r>
    </w:p>
    <w:p>
      <w:pPr>
        <w:spacing w:before="0" w:after="160" w:line="360" w:lineRule="exact"/>
        <w:ind w:firstLine="432"/>
        <w:jc w:val="both"/>
      </w:pPr>
      <w:r>
        <w:rPr>
          <w:rFonts w:ascii="Times New Roman" w:hAnsi="Times New Roman"/>
          <w:b w:val="0"/>
          <w:i w:val="0"/>
          <w:sz w:val="24"/>
          <w:u w:val="none"/>
        </w:rPr>
        <w:t>The highest-priority improvement is the addition of multilingual symptom processing. A practical first step would be to integrate a lightweight machine translation layer—using a pre-trained model such as IndicTrans2 or Helsinki-NLP's opus-mt models—that translates non-English input to English before passing it to the existing TF-IDF + LR pipeline. This approach would provide broad language coverage without requiring retraining of the core classifier. A longer-term solution would involve training multilingual classifiers on symptom datasets in regional languages.</w:t>
      </w:r>
    </w:p>
    <w:p>
      <w:pPr>
        <w:spacing w:before="280" w:after="80" w:line="360" w:lineRule="exact"/>
        <w:jc w:val="left"/>
      </w:pPr>
      <w:r>
        <w:rPr>
          <w:rFonts w:ascii="Times New Roman" w:hAnsi="Times New Roman"/>
          <w:b/>
          <w:i w:val="0"/>
          <w:sz w:val="26"/>
          <w:u w:val="none"/>
        </w:rPr>
        <w:t>13.2  Emergency Keyword Expansion with Semantic Matching</w:t>
      </w:r>
    </w:p>
    <w:p>
      <w:pPr>
        <w:spacing w:before="0" w:after="160" w:line="360" w:lineRule="exact"/>
        <w:ind w:firstLine="432"/>
        <w:jc w:val="both"/>
      </w:pPr>
      <w:r>
        <w:rPr>
          <w:rFonts w:ascii="Times New Roman" w:hAnsi="Times New Roman"/>
          <w:b w:val="0"/>
          <w:i w:val="0"/>
          <w:sz w:val="24"/>
          <w:u w:val="none"/>
        </w:rPr>
        <w:t>The current substring-matching approach could be augmented with semantic similarity matching using a lightweight sentence encoder. Instead of requiring exact phrase matches, the enhanced system would flag inputs whose embedding is sufficiently close to known emergency phrase embeddings. This would catch paraphrased emergency descriptions while retaining the deterministic safety guarantee for all explicitly registered phrases. A threshold-based hybrid approach—exact match OR cosine similarity &gt; 0.92—would balance recall and precision for emergency detection.</w:t>
      </w:r>
    </w:p>
    <w:p>
      <w:pPr>
        <w:spacing w:before="280" w:after="80" w:line="360" w:lineRule="exact"/>
        <w:jc w:val="left"/>
      </w:pPr>
      <w:r>
        <w:rPr>
          <w:rFonts w:ascii="Times New Roman" w:hAnsi="Times New Roman"/>
          <w:b/>
          <w:i w:val="0"/>
          <w:sz w:val="26"/>
          <w:u w:val="none"/>
        </w:rPr>
        <w:t>13.3  Disease Category Knowledge Base Completion</w:t>
      </w:r>
    </w:p>
    <w:p>
      <w:pPr>
        <w:spacing w:before="0" w:after="160" w:line="360" w:lineRule="exact"/>
        <w:ind w:firstLine="432"/>
        <w:jc w:val="both"/>
      </w:pPr>
      <w:r>
        <w:rPr>
          <w:rFonts w:ascii="Times New Roman" w:hAnsi="Times New Roman"/>
          <w:b w:val="0"/>
          <w:i w:val="0"/>
          <w:sz w:val="24"/>
          <w:u w:val="none"/>
        </w:rPr>
        <w:t>Completing the disease_categories.json mapping for all 260+ disease classes is a straightforward but important improvement. The mapping could be automated using the ICD-10 or SNOMED-CT ontologies to retrieve standardised clinical category assignments for each disease name, replacing the current heuristic keyword approach with a medically validated taxonomy.</w:t>
      </w:r>
    </w:p>
    <w:p>
      <w:pPr>
        <w:spacing w:before="280" w:after="80" w:line="360" w:lineRule="exact"/>
        <w:jc w:val="left"/>
      </w:pPr>
      <w:r>
        <w:rPr>
          <w:rFonts w:ascii="Times New Roman" w:hAnsi="Times New Roman"/>
          <w:b/>
          <w:i w:val="0"/>
          <w:sz w:val="26"/>
          <w:u w:val="none"/>
        </w:rPr>
        <w:t>13.4  Real Healthcare API Integration</w:t>
      </w:r>
    </w:p>
    <w:p>
      <w:pPr>
        <w:spacing w:before="0" w:after="160" w:line="360" w:lineRule="exact"/>
        <w:ind w:firstLine="432"/>
        <w:jc w:val="both"/>
      </w:pPr>
      <w:r>
        <w:rPr>
          <w:rFonts w:ascii="Times New Roman" w:hAnsi="Times New Roman"/>
          <w:b w:val="0"/>
          <w:i w:val="0"/>
          <w:sz w:val="24"/>
          <w:u w:val="none"/>
        </w:rPr>
        <w:t>Integration with the Ayushman Bharat Digital Mission (ABDM) APIs or NHA's Health Facility Registry would enable real-time hospital lookups, removing the dependency on the static directory snapshot. This would also allow the system to filter recommendations by specialty, availability, and proximity using live geo-coordinates.</w:t>
      </w:r>
    </w:p>
    <w:p>
      <w:pPr>
        <w:spacing w:before="280" w:after="80" w:line="360" w:lineRule="exact"/>
        <w:jc w:val="left"/>
      </w:pPr>
      <w:r>
        <w:rPr>
          <w:rFonts w:ascii="Times New Roman" w:hAnsi="Times New Roman"/>
          <w:b/>
          <w:i w:val="0"/>
          <w:sz w:val="26"/>
          <w:u w:val="none"/>
        </w:rPr>
        <w:t>13.5  Transformer-Based Conversational Layer</w:t>
      </w:r>
    </w:p>
    <w:p>
      <w:pPr>
        <w:spacing w:before="0" w:after="160" w:line="360" w:lineRule="exact"/>
        <w:ind w:firstLine="432"/>
        <w:jc w:val="both"/>
      </w:pPr>
      <w:r>
        <w:rPr>
          <w:rFonts w:ascii="Times New Roman" w:hAnsi="Times New Roman"/>
          <w:b w:val="0"/>
          <w:i w:val="0"/>
          <w:sz w:val="24"/>
          <w:u w:val="none"/>
        </w:rPr>
        <w:t>The current conversational interface is script-based: the system follows a structured follow-up question protocol rather than engaging in open-ended dialogue. A future enhancement could integrate a lightweight transformer model—such as a fine-tuned DistilBERT or a quantised version of a small LLM—as an optional conversational extension. Critically, this model would be deployed only for the natural language understanding and response generation layer, and would not replace the deterministic Emergency Override Layer or the ML-based disease prediction pipeline. The safety architecture must remain independent of any transformer component.</w:t>
      </w:r>
    </w:p>
    <w:p>
      <w:pPr>
        <w:spacing w:before="280" w:after="80" w:line="360" w:lineRule="exact"/>
        <w:jc w:val="left"/>
      </w:pPr>
      <w:r>
        <w:rPr>
          <w:rFonts w:ascii="Times New Roman" w:hAnsi="Times New Roman"/>
          <w:b/>
          <w:i w:val="0"/>
          <w:sz w:val="26"/>
          <w:u w:val="none"/>
        </w:rPr>
        <w:t>13.6  Mobile Deployment and Voice Input</w:t>
      </w:r>
    </w:p>
    <w:p>
      <w:pPr>
        <w:spacing w:before="0" w:after="160" w:line="360" w:lineRule="exact"/>
        <w:ind w:firstLine="432"/>
        <w:jc w:val="both"/>
      </w:pPr>
      <w:r>
        <w:rPr>
          <w:rFonts w:ascii="Times New Roman" w:hAnsi="Times New Roman"/>
          <w:b w:val="0"/>
          <w:i w:val="0"/>
          <w:sz w:val="24"/>
          <w:u w:val="none"/>
        </w:rPr>
        <w:t>A React Native or Flutter mobile wrapper around the Streamlit backend—or a reimplemented lightweight frontend—would enable deployment on mobile devices in rural settings where desktop access is limited. Voice input support, using a speech-to-text model such as Whisper, would further improve accessibility for users with limited literacy.</w:t>
      </w:r>
    </w:p>
    <w:p>
      <w:pPr>
        <w:spacing w:before="280" w:after="80" w:line="360" w:lineRule="exact"/>
        <w:jc w:val="left"/>
      </w:pPr>
      <w:r>
        <w:rPr>
          <w:rFonts w:ascii="Times New Roman" w:hAnsi="Times New Roman"/>
          <w:b/>
          <w:i w:val="0"/>
          <w:sz w:val="26"/>
          <w:u w:val="none"/>
        </w:rPr>
        <w:t>13.7  Continuous Validation in CI/CD Pipeline</w:t>
      </w:r>
    </w:p>
    <w:p>
      <w:pPr>
        <w:spacing w:before="0" w:after="160" w:line="360" w:lineRule="exact"/>
        <w:ind w:firstLine="432"/>
        <w:jc w:val="both"/>
      </w:pPr>
      <w:r>
        <w:rPr>
          <w:rFonts w:ascii="Times New Roman" w:hAnsi="Times New Roman"/>
          <w:b w:val="0"/>
          <w:i w:val="0"/>
          <w:sz w:val="24"/>
          <w:u w:val="none"/>
        </w:rPr>
        <w:t>The run_final_research_validation.py script is currently run manually. Integrating it into a continuous integration pipeline—triggered on every code push—would ensure that changes to the emergency keyword dictionary, disease category knowledge base, or ML pipeline do not inadvertently degrade safety metrics. Any commit that causes EEA to drop below 95% or MER to exceed 0% should automatically block deployment.</w:t>
      </w:r>
    </w:p>
    <w:p>
      <w:r>
        <w:br w:type="page"/>
      </w:r>
    </w:p>
    <w:p>
      <w:pPr>
        <w:spacing w:before="0" w:after="120" w:line="400" w:lineRule="exact"/>
        <w:jc w:val="left"/>
      </w:pPr>
      <w:r>
        <w:rPr>
          <w:rFonts w:ascii="Times New Roman" w:hAnsi="Times New Roman"/>
          <w:b/>
          <w:i w:val="0"/>
          <w:sz w:val="32"/>
          <w:u w:val="single"/>
        </w:rPr>
        <w:t>Chapter 14: Conclusion</w:t>
      </w:r>
    </w:p>
    <w:p>
      <w:pPr>
        <w:pBdr>
          <w:bottom w:val="single" w:sz="6" w:space="1" w:color="4472C4"/>
        </w:pBdr>
      </w:pPr>
    </w:p>
    <w:p>
      <w:pPr>
        <w:spacing w:before="0" w:after="160" w:line="360" w:lineRule="exact"/>
        <w:ind w:firstLine="432"/>
        <w:jc w:val="both"/>
      </w:pPr>
      <w:r>
        <w:rPr>
          <w:rFonts w:ascii="Times New Roman" w:hAnsi="Times New Roman"/>
          <w:b w:val="0"/>
          <w:i w:val="0"/>
          <w:sz w:val="24"/>
          <w:u w:val="none"/>
        </w:rPr>
        <w:t>This project set out to address a specific, well-defined problem: the architectural unsafety of purely probabilistic machine learning systems when applied to healthcare triage. The preliminary evaluation demonstrated that a competitive TF-IDF + Logistic Regression classifier—achieving 84.36% top-1 accuracy on a 260-class symptom dataset—nonetheless failed to escalate approximately one in three emergency symptom inputs. This is not a problem that can be solved by training a better model. It is a problem of architecture.</w:t>
      </w:r>
    </w:p>
    <w:p>
      <w:pPr>
        <w:spacing w:before="0" w:after="160" w:line="360" w:lineRule="exact"/>
        <w:ind w:firstLine="432"/>
        <w:jc w:val="both"/>
      </w:pPr>
      <w:r>
        <w:rPr>
          <w:rFonts w:ascii="Times New Roman" w:hAnsi="Times New Roman"/>
          <w:b w:val="0"/>
          <w:i w:val="0"/>
          <w:sz w:val="24"/>
          <w:u w:val="none"/>
        </w:rPr>
        <w:t>MediAssist AI addresses this by implementing a defence-in-depth architecture that separates safety from statistical inference. The Emergency Safety Override Layer provides deterministic, auditable, testable protection against emergency misclassification. The Medical Consistency Validator provides a post-ML check that suppresses medically implausible predictions. Together, these mechanisms reduced the Missed Emergency Rate from 34.2% to 0% and the Unsafe Prediction Rate from 12.5% to 0% across a 500-case validation suite.</w:t>
      </w:r>
    </w:p>
    <w:p>
      <w:pPr>
        <w:spacing w:before="0" w:after="160" w:line="360" w:lineRule="exact"/>
        <w:ind w:firstLine="432"/>
        <w:jc w:val="both"/>
      </w:pPr>
      <w:r>
        <w:rPr>
          <w:rFonts w:ascii="Times New Roman" w:hAnsi="Times New Roman"/>
          <w:b w:val="0"/>
          <w:i w:val="0"/>
          <w:sz w:val="24"/>
          <w:u w:val="none"/>
        </w:rPr>
        <w:t>The system demonstrates that responsible healthcare AI does not require large language models or complex deep learning architectures. A carefully engineered classical ML pipeline—with appropriate safety guardrails designed as first-class architectural components—can provide reliable, interpretable, and safe preliminary triage assistance.</w:t>
      </w:r>
    </w:p>
    <w:p>
      <w:pPr>
        <w:spacing w:before="0" w:after="160" w:line="360" w:lineRule="exact"/>
        <w:ind w:firstLine="432"/>
        <w:jc w:val="both"/>
      </w:pPr>
      <w:r>
        <w:rPr>
          <w:rFonts w:ascii="Times New Roman" w:hAnsi="Times New Roman"/>
          <w:b w:val="0"/>
          <w:i w:val="0"/>
          <w:sz w:val="24"/>
          <w:u w:val="none"/>
        </w:rPr>
        <w:t>The project also makes a methodological contribution: the introduction of healthcare-specific evaluation metrics (EEA, MER, UPR) that are more clinically meaningful than standard ML accuracy metrics for assessing the safety of triage systems. These metrics, along with the 500-case validation framework, provide a reproducible evaluation protocol that can be applied to future iterations of the system or to similar healthcare AI projects.</w:t>
      </w:r>
    </w:p>
    <w:p>
      <w:pPr>
        <w:spacing w:before="0" w:after="160" w:line="360" w:lineRule="exact"/>
        <w:ind w:firstLine="432"/>
        <w:jc w:val="both"/>
      </w:pPr>
      <w:r>
        <w:rPr>
          <w:rFonts w:ascii="Times New Roman" w:hAnsi="Times New Roman"/>
          <w:b w:val="0"/>
          <w:i w:val="0"/>
          <w:sz w:val="24"/>
          <w:u w:val="none"/>
        </w:rPr>
        <w:t>In conclusion, MediAssist AI is best described as a safety-aware healthcare triage assistant—a system designed not to replace clinical judgment, but to ensure that no patient describing a life-threatening emergency is directed toward home care advice. That single guarantee, achieved through deterministic engineering rather than probabilistic inference, is the project's most significant contribution.</w:t>
      </w:r>
    </w:p>
    <w:p>
      <w:r>
        <w:br w:type="page"/>
      </w:r>
    </w:p>
    <w:p>
      <w:pPr>
        <w:spacing w:before="0" w:after="160"/>
        <w:jc w:val="left"/>
      </w:pPr>
      <w:r>
        <w:rPr>
          <w:rFonts w:ascii="Times New Roman" w:hAnsi="Times New Roman"/>
          <w:b/>
          <w:i w:val="0"/>
          <w:sz w:val="32"/>
          <w:u w:val="single"/>
        </w:rPr>
        <w:t>References</w:t>
      </w:r>
    </w:p>
    <w:p>
      <w:pPr>
        <w:pBdr>
          <w:bottom w:val="single" w:sz="6" w:space="1" w:color="4472C4"/>
        </w:pBdr>
      </w:pPr>
    </w:p>
    <w:p>
      <w:pPr>
        <w:spacing w:before="40" w:after="80" w:line="320" w:lineRule="exact"/>
        <w:ind w:left="576" w:hanging="576"/>
      </w:pPr>
      <w:r>
        <w:rPr>
          <w:rFonts w:ascii="Times New Roman" w:hAnsi="Times New Roman"/>
          <w:b w:val="0"/>
          <w:i w:val="0"/>
          <w:sz w:val="22"/>
          <w:u w:val="none"/>
        </w:rPr>
        <w:t>[1]  E. H. Shortliffe, "Computer-Based Medical Consultations: MYCIN," American Elsevier, New York, 1976.</w:t>
      </w:r>
    </w:p>
    <w:p>
      <w:pPr>
        <w:spacing w:before="40" w:after="80" w:line="320" w:lineRule="exact"/>
        <w:ind w:left="576" w:hanging="576"/>
      </w:pPr>
      <w:r>
        <w:rPr>
          <w:rFonts w:ascii="Times New Roman" w:hAnsi="Times New Roman"/>
          <w:b w:val="0"/>
          <w:i w:val="0"/>
          <w:sz w:val="22"/>
          <w:u w:val="none"/>
        </w:rPr>
        <w:t>[2]  R. A. Miller, H. E. Pople, and J. D. Myers, "Internist-1, an Experimental Computer-Based Diagnostic Consultant for General Internal Medicine," New England Journal of Medicine, vol. 307, no. 8, pp. 468–476, 1982.</w:t>
      </w:r>
    </w:p>
    <w:p>
      <w:pPr>
        <w:spacing w:before="40" w:after="80" w:line="320" w:lineRule="exact"/>
        <w:ind w:left="576" w:hanging="576"/>
      </w:pPr>
      <w:r>
        <w:rPr>
          <w:rFonts w:ascii="Times New Roman" w:hAnsi="Times New Roman"/>
          <w:b w:val="0"/>
          <w:i w:val="0"/>
          <w:sz w:val="22"/>
          <w:u w:val="none"/>
        </w:rPr>
        <w:t>[3]  I. Semigran, J. Linder, C. Gidengil, and A. Mehrotra, "Evaluation of Symptom Checkers for Self Diagnosis and Triage," BMJ, vol. 351, p. h3480, 2015.</w:t>
      </w:r>
    </w:p>
    <w:p>
      <w:pPr>
        <w:spacing w:before="40" w:after="80" w:line="320" w:lineRule="exact"/>
        <w:ind w:left="576" w:hanging="576"/>
      </w:pPr>
      <w:r>
        <w:rPr>
          <w:rFonts w:ascii="Times New Roman" w:hAnsi="Times New Roman"/>
          <w:b w:val="0"/>
          <w:i w:val="0"/>
          <w:sz w:val="22"/>
          <w:u w:val="none"/>
        </w:rPr>
        <w:t>[4]  L. Semigran et al., "Comparison of Accuracy of Symptom Checkers for Diagnosing Acute Respiratory Infections," Open Forum Infectious Diseases, 2016.</w:t>
      </w:r>
    </w:p>
    <w:p>
      <w:pPr>
        <w:spacing w:before="40" w:after="80" w:line="320" w:lineRule="exact"/>
        <w:ind w:left="576" w:hanging="576"/>
      </w:pPr>
      <w:r>
        <w:rPr>
          <w:rFonts w:ascii="Times New Roman" w:hAnsi="Times New Roman"/>
          <w:b w:val="0"/>
          <w:i w:val="0"/>
          <w:sz w:val="22"/>
          <w:u w:val="none"/>
        </w:rPr>
        <w:t>[5]  W. W. Chapman, W. Bridewell, P. Hanbury, G. F. Cooper, and B. G. Buchanan, "A Simple Algorithm for Identifying Negated Findings and Diseases in Discharge Summaries," Journal of Biomedical Informatics, vol. 34, no. 5, pp. 301–310, 2001.</w:t>
      </w:r>
    </w:p>
    <w:p>
      <w:pPr>
        <w:spacing w:before="40" w:after="80" w:line="320" w:lineRule="exact"/>
        <w:ind w:left="576" w:hanging="576"/>
      </w:pPr>
      <w:r>
        <w:rPr>
          <w:rFonts w:ascii="Times New Roman" w:hAnsi="Times New Roman"/>
          <w:b w:val="0"/>
          <w:i w:val="0"/>
          <w:sz w:val="22"/>
          <w:u w:val="none"/>
        </w:rPr>
        <w:t>[6]  G. Salton and C. Buckley, "Term-Weighting Approaches in Automatic Text Retrieval," Information Processing &amp; Management, vol. 24, no. 5, pp. 513–523, 1988.</w:t>
      </w:r>
    </w:p>
    <w:p>
      <w:pPr>
        <w:spacing w:before="40" w:after="80" w:line="320" w:lineRule="exact"/>
        <w:ind w:left="576" w:hanging="576"/>
      </w:pPr>
      <w:r>
        <w:rPr>
          <w:rFonts w:ascii="Times New Roman" w:hAnsi="Times New Roman"/>
          <w:b w:val="0"/>
          <w:i w:val="0"/>
          <w:sz w:val="22"/>
          <w:u w:val="none"/>
        </w:rPr>
        <w:t>[7]  S. Wang and C. D. Manning, "Baselines and Bigrams: Simple, Good Sentiment and Topic Classification," in Proc. ACL, 2012, pp. 90–94.</w:t>
      </w:r>
    </w:p>
    <w:p>
      <w:pPr>
        <w:spacing w:before="40" w:after="80" w:line="320" w:lineRule="exact"/>
        <w:ind w:left="576" w:hanging="576"/>
      </w:pPr>
      <w:r>
        <w:rPr>
          <w:rFonts w:ascii="Times New Roman" w:hAnsi="Times New Roman"/>
          <w:b w:val="0"/>
          <w:i w:val="0"/>
          <w:sz w:val="22"/>
          <w:u w:val="none"/>
        </w:rPr>
        <w:t>[8]  L. Breiman, "Random Forests," Machine Learning, vol. 45, pp. 5–32, 2001.</w:t>
      </w:r>
    </w:p>
    <w:p>
      <w:pPr>
        <w:spacing w:before="40" w:after="80" w:line="320" w:lineRule="exact"/>
        <w:ind w:left="576" w:hanging="576"/>
      </w:pPr>
      <w:r>
        <w:rPr>
          <w:rFonts w:ascii="Times New Roman" w:hAnsi="Times New Roman"/>
          <w:b w:val="0"/>
          <w:i w:val="0"/>
          <w:sz w:val="22"/>
          <w:u w:val="none"/>
        </w:rPr>
        <w:t>[9]  A. McCallum and K. Nigam, "A Comparison of Event Models for Naive Bayes Text Classification," in Proc. AAAI Workshop on Learning for Text Categorization, vol. 752, 1998, pp. 41–48.</w:t>
      </w:r>
    </w:p>
    <w:p>
      <w:pPr>
        <w:spacing w:before="40" w:after="80" w:line="320" w:lineRule="exact"/>
        <w:ind w:left="576" w:hanging="576"/>
      </w:pPr>
      <w:r>
        <w:rPr>
          <w:rFonts w:ascii="Times New Roman" w:hAnsi="Times New Roman"/>
          <w:b w:val="0"/>
          <w:i w:val="0"/>
          <w:sz w:val="22"/>
          <w:u w:val="none"/>
        </w:rPr>
        <w:t>[10]  A. Vaswani et al., "Attention Is All You Need," in Advances in Neural Information Processing Systems, vol. 30, 2017.</w:t>
      </w:r>
    </w:p>
    <w:p>
      <w:pPr>
        <w:spacing w:before="40" w:after="80" w:line="320" w:lineRule="exact"/>
        <w:ind w:left="576" w:hanging="576"/>
      </w:pPr>
      <w:r>
        <w:rPr>
          <w:rFonts w:ascii="Times New Roman" w:hAnsi="Times New Roman"/>
          <w:b w:val="0"/>
          <w:i w:val="0"/>
          <w:sz w:val="22"/>
          <w:u w:val="none"/>
        </w:rPr>
        <w:t>[11]  J. Devlin, M.-W. Chang, K. Lee, and K. Toutanova, "BERT: Pre-training of Deep Bidirectional Transformers for Language Understanding," in Proc. NAACL-HLT, 2019, pp. 4171–4186.</w:t>
      </w:r>
    </w:p>
    <w:p>
      <w:pPr>
        <w:spacing w:before="40" w:after="80" w:line="320" w:lineRule="exact"/>
        <w:ind w:left="576" w:hanging="576"/>
      </w:pPr>
      <w:r>
        <w:rPr>
          <w:rFonts w:ascii="Times New Roman" w:hAnsi="Times New Roman"/>
          <w:b w:val="0"/>
          <w:i w:val="0"/>
          <w:sz w:val="22"/>
          <w:u w:val="none"/>
        </w:rPr>
        <w:t>[12]  J. Lee et al., "BioBERT: A Pre-trained Biomedical Language Representation Model for Biomedical Text Mining," Bioinformatics, vol. 36, no. 4, pp. 1234–1240, 2020.</w:t>
      </w:r>
    </w:p>
    <w:p>
      <w:pPr>
        <w:spacing w:before="40" w:after="80" w:line="320" w:lineRule="exact"/>
        <w:ind w:left="576" w:hanging="576"/>
      </w:pPr>
      <w:r>
        <w:rPr>
          <w:rFonts w:ascii="Times New Roman" w:hAnsi="Times New Roman"/>
          <w:b w:val="0"/>
          <w:i w:val="0"/>
          <w:sz w:val="22"/>
          <w:u w:val="none"/>
        </w:rPr>
        <w:t>[13]  K. Huang et al., "ClinicalBERT: Modeling Clinical Notes and Predicting Hospital Readmission," arXiv preprint arXiv:1904.05342, 2019.</w:t>
      </w:r>
    </w:p>
    <w:p>
      <w:pPr>
        <w:spacing w:before="40" w:after="80" w:line="320" w:lineRule="exact"/>
        <w:ind w:left="576" w:hanging="576"/>
      </w:pPr>
      <w:r>
        <w:rPr>
          <w:rFonts w:ascii="Times New Roman" w:hAnsi="Times New Roman"/>
          <w:b w:val="0"/>
          <w:i w:val="0"/>
          <w:sz w:val="22"/>
          <w:u w:val="none"/>
        </w:rPr>
        <w:t>[14]  K. Singhal et al., "Large Language Models Encode Clinical Knowledge," Nature, vol. 620, pp. 172–180, 2023.</w:t>
      </w:r>
    </w:p>
    <w:p>
      <w:pPr>
        <w:spacing w:before="40" w:after="80" w:line="320" w:lineRule="exact"/>
        <w:ind w:left="576" w:hanging="576"/>
      </w:pPr>
      <w:r>
        <w:rPr>
          <w:rFonts w:ascii="Times New Roman" w:hAnsi="Times New Roman"/>
          <w:b w:val="0"/>
          <w:i w:val="0"/>
          <w:sz w:val="22"/>
          <w:u w:val="none"/>
        </w:rPr>
        <w:t>[15]  OpenAI, "GPT-4 Technical Report," arXiv preprint arXiv:2303.08774, 2023.</w:t>
      </w:r>
    </w:p>
    <w:p>
      <w:pPr>
        <w:spacing w:before="40" w:after="80" w:line="320" w:lineRule="exact"/>
        <w:ind w:left="576" w:hanging="576"/>
      </w:pPr>
      <w:r>
        <w:rPr>
          <w:rFonts w:ascii="Times New Roman" w:hAnsi="Times New Roman"/>
          <w:b w:val="0"/>
          <w:i w:val="0"/>
          <w:sz w:val="22"/>
          <w:u w:val="none"/>
        </w:rPr>
        <w:t>[16]  E. Begoli, T. Bhattacharya, and D. Kusnezov, "The Need for Uncertainty Quantification in Machine-Assisted Medical Decision Making," Nature Machine Intelligence, vol. 1, pp. 20–23, 2019.</w:t>
      </w:r>
    </w:p>
    <w:p>
      <w:pPr>
        <w:spacing w:before="40" w:after="80" w:line="320" w:lineRule="exact"/>
        <w:ind w:left="576" w:hanging="576"/>
      </w:pPr>
      <w:r>
        <w:rPr>
          <w:rFonts w:ascii="Times New Roman" w:hAnsi="Times New Roman"/>
          <w:b w:val="0"/>
          <w:i w:val="0"/>
          <w:sz w:val="22"/>
          <w:u w:val="none"/>
        </w:rPr>
        <w:t>[17]  C. Leibig, V. Allken, M. S. Ayhan, P. Berens, and S. Wahl, "Leveraging Uncertainty Information from Deep Neural Networks for Disease Detection," Scientific Reports, vol. 7, p. 17816, 2017.</w:t>
      </w:r>
    </w:p>
    <w:p>
      <w:pPr>
        <w:spacing w:before="40" w:after="80" w:line="320" w:lineRule="exact"/>
        <w:ind w:left="576" w:hanging="576"/>
      </w:pPr>
      <w:r>
        <w:rPr>
          <w:rFonts w:ascii="Times New Roman" w:hAnsi="Times New Roman"/>
          <w:b w:val="0"/>
          <w:i w:val="0"/>
          <w:sz w:val="22"/>
          <w:u w:val="none"/>
        </w:rPr>
        <w:t>[18]  C. Guo, G. Pleiss, Y. Sun, and K. Q. Weinberger, "On Calibration of Modern Neural Networks," in Proc. ICML, 2017, pp. 1321–1330.</w:t>
      </w:r>
    </w:p>
    <w:p>
      <w:pPr>
        <w:spacing w:before="40" w:after="80" w:line="320" w:lineRule="exact"/>
        <w:ind w:left="576" w:hanging="576"/>
      </w:pPr>
      <w:r>
        <w:rPr>
          <w:rFonts w:ascii="Times New Roman" w:hAnsi="Times New Roman"/>
          <w:b w:val="0"/>
          <w:i w:val="0"/>
          <w:sz w:val="22"/>
          <w:u w:val="none"/>
        </w:rPr>
        <w:t>[19]  D. Hendrycks and K. Gimpel, "A Baseline for Detecting Misclassified and Out-of-Distribution Examples in Neural Networks," in Proc. ICLR, 2017.</w:t>
      </w:r>
    </w:p>
    <w:p>
      <w:pPr>
        <w:spacing w:before="40" w:after="80" w:line="320" w:lineRule="exact"/>
        <w:ind w:left="576" w:hanging="576"/>
      </w:pPr>
      <w:r>
        <w:rPr>
          <w:rFonts w:ascii="Times New Roman" w:hAnsi="Times New Roman"/>
          <w:b w:val="0"/>
          <w:i w:val="0"/>
          <w:sz w:val="22"/>
          <w:u w:val="none"/>
        </w:rPr>
        <w:t>[20]  M. Topaz, L. Seger, and K. Bowles, "The Intersection of Big Data and Clinical Decision Support: Implications for Nursing Practice," Nursing Administration Quarterly, vol. 40, no. 4, pp. 304–310, 2016.</w:t>
      </w:r>
    </w:p>
    <w:p>
      <w:pPr>
        <w:spacing w:before="40" w:after="80" w:line="320" w:lineRule="exact"/>
        <w:ind w:left="576" w:hanging="576"/>
      </w:pPr>
      <w:r>
        <w:rPr>
          <w:rFonts w:ascii="Times New Roman" w:hAnsi="Times New Roman"/>
          <w:b w:val="0"/>
          <w:i w:val="0"/>
          <w:sz w:val="22"/>
          <w:u w:val="none"/>
        </w:rPr>
        <w:t>[21]  F. Pedregosa et al., "Scikit-learn: Machine Learning in Python," Journal of Machine Learning Research, vol. 12, pp. 2825–2830, 2011.</w:t>
      </w:r>
    </w:p>
    <w:p>
      <w:pPr>
        <w:spacing w:before="40" w:after="80" w:line="320" w:lineRule="exact"/>
        <w:ind w:left="576" w:hanging="576"/>
      </w:pPr>
      <w:r>
        <w:rPr>
          <w:rFonts w:ascii="Times New Roman" w:hAnsi="Times New Roman"/>
          <w:b w:val="0"/>
          <w:i w:val="0"/>
          <w:sz w:val="22"/>
          <w:u w:val="none"/>
        </w:rPr>
        <w:t>[22]  A. Streamlit, "Streamlit: The Fastest Way to Build and Share Data Apps," Streamlit Inc., 2019. [Online]. Available: https://streamlit.io</w:t>
      </w:r>
    </w:p>
    <w:p>
      <w:pPr>
        <w:spacing w:before="40" w:after="80" w:line="320" w:lineRule="exact"/>
        <w:ind w:left="576" w:hanging="576"/>
      </w:pPr>
      <w:r>
        <w:rPr>
          <w:rFonts w:ascii="Times New Roman" w:hAnsi="Times New Roman"/>
          <w:b w:val="0"/>
          <w:i w:val="0"/>
          <w:sz w:val="22"/>
          <w:u w:val="none"/>
        </w:rPr>
        <w:t>[23]  Ministry of Health and Family Welfare, Government of India, "Telemedicine Practice Guidelines," 2020. [Online]. Available: https://www.mohfw.gov.in/pdf/Telemedicine.pdf</w:t>
      </w:r>
    </w:p>
    <w:p>
      <w:pPr>
        <w:spacing w:before="40" w:after="80" w:line="320" w:lineRule="exact"/>
        <w:ind w:left="576" w:hanging="576"/>
      </w:pPr>
      <w:r>
        <w:rPr>
          <w:rFonts w:ascii="Times New Roman" w:hAnsi="Times New Roman"/>
          <w:b w:val="0"/>
          <w:i w:val="0"/>
          <w:sz w:val="22"/>
          <w:u w:val="none"/>
        </w:rPr>
        <w:t>[24]  World Health Organization, "World Health Statistics 2022: Monitoring Health for the SDGs," WHO Press, Geneva, 2022.</w:t>
      </w:r>
    </w:p>
    <w:p>
      <w:pPr>
        <w:spacing w:before="40" w:after="80" w:line="320" w:lineRule="exact"/>
        <w:ind w:left="576" w:hanging="576"/>
      </w:pPr>
      <w:r>
        <w:rPr>
          <w:rFonts w:ascii="Times New Roman" w:hAnsi="Times New Roman"/>
          <w:b w:val="0"/>
          <w:i w:val="0"/>
          <w:sz w:val="22"/>
          <w:u w:val="none"/>
        </w:rPr>
        <w:t>[25]  T. Chen and C. Guestrin, "XGBoost: A Scalable Tree Boosting System," in Proc. ACM SIGKDD, 2016, pp. 785–794.</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