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 Result Analysis and Performance Evaluation</w:t>
      </w:r>
    </w:p>
    <w:p>
      <w:pPr>
        <w:pStyle w:val="Heading2"/>
      </w:pPr>
      <w:r>
        <w:t>Machine Learning Pre-Screener Metrics</w:t>
      </w:r>
    </w:p>
    <w:p>
      <w:pPr>
        <w:jc w:val="both"/>
      </w:pPr>
      <w:r>
        <w:t>The Gradient Boosting Pre-Screener demonstrated empirical dominance across 5-fold cross-validation when compared against baseline models. The ensemble model was evaluated on both its ability to predict the continuous fitness score (regression task) and its capacity to act as a discrete gatekeeper by identifying submittable signals (classification task).</w:t>
      </w:r>
    </w:p>
    <w:p>
      <w:pPr>
        <w:pStyle w:val="Heading3"/>
      </w:pPr>
      <w:r>
        <w:t>Regression Task Analysis</w:t>
      </w:r>
    </w:p>
    <w:p>
      <w:pPr>
        <w:jc w:val="both"/>
      </w:pPr>
      <w:r>
        <w:t>For the regression task, the model was trained to predict the exact WorldQuant fitness score based on the 11 engineered structural features. The Gradient Boosting Regressor achieved the highest performance metrics across all models tested, successfully capturing complex non-linear and multiplicative feature interactions (e.g., the relationship between neutralization schemes and group mathematical operators).</w:t>
      </w:r>
    </w:p>
    <w:p>
      <w:pPr>
        <w:pStyle w:val="ListBullet"/>
      </w:pPr>
      <w:r>
        <w:rPr>
          <w:b/>
        </w:rPr>
        <w:t xml:space="preserve">R² Score: </w:t>
      </w:r>
      <w:r>
        <w:t>0.509 ± 0.100</w:t>
      </w:r>
    </w:p>
    <w:p>
      <w:pPr>
        <w:pStyle w:val="ListBullet"/>
      </w:pPr>
      <w:r>
        <w:rPr>
          <w:b/>
        </w:rPr>
        <w:t xml:space="preserve">Mean Absolute Error (MAE): </w:t>
      </w:r>
      <w:r>
        <w:t>0.194</w:t>
      </w:r>
    </w:p>
    <w:p>
      <w:pPr>
        <w:pStyle w:val="Heading3"/>
      </w:pPr>
      <w:r>
        <w:t>Classification Task Analysis</w:t>
      </w:r>
    </w:p>
    <w:p>
      <w:pPr>
        <w:jc w:val="both"/>
      </w:pPr>
      <w:r>
        <w:t>For the classification task, the model functioned as a pre-submission gatekeeper to identify whether an alpha achieved the required threshold (Fitness ≥ 0.8) to justify utilizing API rate limits. Despite severe class imbalance within the dataset (with only 14.8% of alphas categorized as successful), the sequential error-correction mechanism of the Gradient Boosting Classifier yielded highly robust metrics.</w:t>
      </w:r>
    </w:p>
    <w:p>
      <w:pPr>
        <w:pStyle w:val="ListBullet"/>
      </w:pPr>
      <w:r>
        <w:rPr>
          <w:b/>
        </w:rPr>
        <w:t xml:space="preserve">Accuracy: </w:t>
      </w:r>
      <w:r>
        <w:t>94.4% ± 3.3%</w:t>
      </w:r>
    </w:p>
    <w:p>
      <w:pPr>
        <w:pStyle w:val="ListBullet"/>
      </w:pPr>
      <w:r>
        <w:rPr>
          <w:b/>
        </w:rPr>
        <w:t xml:space="preserve">F1 Score: </w:t>
      </w:r>
      <w:r>
        <w:t>0.818 ± 0.097</w:t>
      </w:r>
    </w:p>
    <w:p>
      <w:pPr>
        <w:pStyle w:val="ListBullet"/>
      </w:pPr>
      <w:r>
        <w:rPr>
          <w:b/>
        </w:rPr>
        <w:t xml:space="preserve">ROC-AUC: </w:t>
      </w:r>
      <w:r>
        <w:t>0.953</w:t>
      </w:r>
    </w:p>
    <w:p>
      <w:pPr>
        <w:jc w:val="both"/>
      </w:pPr>
      <w:r>
        <w:t>The extremely high F1 score is the most critical metric for this pipeline component. An F1 score of 0.818 confirms that the model successfully identifies 82% of all winning alphas while maintaining a low false-positive rate. This ensures that the system actively discards low-probability candidates, preserving computational overhead and preventing API rate-limit exhaustion during automated generation loops.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