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Schoolbook-bold.ttf" ContentType="application/x-font-ttf"/>
  <Override PartName="/word/fonts/CenturySchoolbook-boldItalic.ttf" ContentType="application/x-font-ttf"/>
  <Override PartName="/word/fonts/CenturySchoolbook-italic.ttf" ContentType="application/x-font-ttf"/>
  <Override PartName="/word/fonts/CenturySchoolbook-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ind w:left="-709" w:firstLine="0"/>
        <w:jc w:val="center"/>
        <w:rPr>
          <w:rFonts w:ascii="Century Schoolbook" w:cs="Century Schoolbook" w:eastAsia="Century Schoolbook" w:hAnsi="Century Schoolbook"/>
          <w:b w:val="1"/>
          <w:bCs w:val="1"/>
          <w:color w:val="000000"/>
          <w:sz w:val="24"/>
          <w:szCs w:val="24"/>
        </w:rPr>
      </w:pPr>
      <w:bookmarkStart w:colFirst="0" w:colLast="0" w:name="_heading=h.53g2m0vczn9j" w:id="0"/>
      <w:bookmarkEnd w:id="0"/>
      <w:r w:rsidDel="00000000" w:rsidR="00000000" w:rsidRPr="00000000">
        <w:rPr>
          <w:color w:val="000000"/>
        </w:rPr>
        <w:drawing>
          <wp:inline distB="0" distT="0" distL="0" distR="0">
            <wp:extent cx="6946900" cy="1054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9469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center"/>
        <w:rPr>
          <w:rFonts w:ascii="Century Schoolbook" w:cs="Century Schoolbook" w:eastAsia="Century Schoolbook" w:hAnsi="Century Schoolbook"/>
          <w:b w:val="1"/>
          <w:bCs w:val="1"/>
          <w:color w:val="000000"/>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color w:val="ff0000"/>
          <w:sz w:val="36"/>
          <w:szCs w:val="36"/>
        </w:rPr>
      </w:pPr>
      <w:r w:rsidDel="00000000" w:rsidR="00000000" w:rsidRPr="00000000">
        <w:rPr>
          <w:rFonts w:ascii="Times New Roman" w:cs="Times New Roman" w:eastAsia="Times New Roman" w:hAnsi="Times New Roman"/>
          <w:b w:val="1"/>
          <w:bCs w:val="1"/>
          <w:sz w:val="32"/>
          <w:szCs w:val="32"/>
          <w:rtl w:val="0"/>
        </w:rPr>
        <w:t xml:space="preserve">DEPARTMENT OF COMPUTER SCIENCE AND ENGINEERING (AI &amp; ML)</w:t>
      </w:r>
      <w:r w:rsidDel="00000000" w:rsidR="00000000" w:rsidRPr="00000000">
        <w:rPr>
          <w:rtl w:val="0"/>
        </w:rPr>
      </w:r>
    </w:p>
    <w:p w:rsidR="00000000" w:rsidDel="00000000" w:rsidP="00000000" w:rsidRDefault="00000000" w:rsidRPr="00000000" w14:paraId="00000004">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INTELLIGENT ALPHA MINING PIPELINE: AI-DRIVEN QUANTITATIVE FACTOR DISCOVERY </w:t>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ARTIFICIAL INTELLIGENCE AND MACHINE LEARNING – AI244AI</w:t>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LAB SEE REPORT</w:t>
      </w:r>
    </w:p>
    <w:p w:rsidR="00000000" w:rsidDel="00000000" w:rsidP="00000000" w:rsidRDefault="00000000" w:rsidRPr="00000000" w14:paraId="00000007">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Submitted by</w:t>
      </w:r>
      <w:r w:rsidDel="00000000" w:rsidR="00000000" w:rsidRPr="00000000">
        <w:rPr>
          <w:b w:val="1"/>
          <w:bCs w:val="1"/>
          <w:rtl w:val="0"/>
        </w:rPr>
        <w:br w:type="textWrapping"/>
      </w:r>
      <w:r w:rsidDel="00000000" w:rsidR="00000000" w:rsidRPr="00000000">
        <w:rPr>
          <w:rtl w:val="0"/>
        </w:rPr>
      </w:r>
    </w:p>
    <w:tbl>
      <w:tblPr>
        <w:tblStyle w:val="Table1"/>
        <w:tblW w:w="539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97"/>
        <w:gridCol w:w="2697"/>
        <w:tblGridChange w:id="0">
          <w:tblGrid>
            <w:gridCol w:w="2697"/>
            <w:gridCol w:w="2697"/>
          </w:tblGrid>
        </w:tblGridChange>
      </w:tblGrid>
      <w:tr>
        <w:trPr>
          <w:cantSplit w:val="0"/>
          <w:trHeight w:val="241" w:hRule="atLeast"/>
          <w:tblHeader w:val="0"/>
        </w:trPr>
        <w:tc>
          <w:tcPr/>
          <w:p w:rsidR="00000000" w:rsidDel="00000000" w:rsidP="00000000" w:rsidRDefault="00000000" w:rsidRPr="00000000" w14:paraId="00000008">
            <w:pPr>
              <w:spacing w:after="0" w:line="480" w:lineRule="auto"/>
              <w:jc w:val="center"/>
              <w:rPr>
                <w:rFonts w:ascii="Times New Roman" w:cs="Times New Roman" w:eastAsia="Times New Roman" w:hAnsi="Times New Roman"/>
                <w:sz w:val="24"/>
                <w:szCs w:val="24"/>
              </w:rPr>
            </w:pPr>
            <w:bookmarkStart w:colFirst="0" w:colLast="0" w:name="_heading=h.qktc24qxcs50" w:id="1"/>
            <w:bookmarkEnd w:id="1"/>
            <w:r w:rsidDel="00000000" w:rsidR="00000000" w:rsidRPr="00000000">
              <w:rPr>
                <w:rFonts w:ascii="Times New Roman" w:cs="Times New Roman" w:eastAsia="Times New Roman" w:hAnsi="Times New Roman"/>
                <w:b w:val="1"/>
                <w:bCs w:val="1"/>
                <w:sz w:val="24"/>
                <w:szCs w:val="24"/>
                <w:rtl w:val="0"/>
              </w:rPr>
              <w:t xml:space="preserve">Adithya Parameswaran</w:t>
            </w:r>
            <w:r w:rsidDel="00000000" w:rsidR="00000000" w:rsidRPr="00000000">
              <w:rPr>
                <w:rtl w:val="0"/>
              </w:rPr>
            </w:r>
          </w:p>
        </w:tc>
        <w:tc>
          <w:tcPr/>
          <w:p w:rsidR="00000000" w:rsidDel="00000000" w:rsidP="00000000" w:rsidRDefault="00000000" w:rsidRPr="00000000" w14:paraId="00000009">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1RV24CI012</w:t>
            </w:r>
            <w:r w:rsidDel="00000000" w:rsidR="00000000" w:rsidRPr="00000000">
              <w:rPr>
                <w:rtl w:val="0"/>
              </w:rPr>
            </w:r>
          </w:p>
        </w:tc>
      </w:tr>
      <w:tr>
        <w:trPr>
          <w:cantSplit w:val="0"/>
          <w:trHeight w:val="241" w:hRule="atLeast"/>
          <w:tblHeader w:val="0"/>
        </w:trPr>
        <w:tc>
          <w:tcPr/>
          <w:p w:rsidR="00000000" w:rsidDel="00000000" w:rsidP="00000000" w:rsidRDefault="00000000" w:rsidRPr="00000000" w14:paraId="0000000A">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Dwanith CJ</w:t>
            </w:r>
            <w:r w:rsidDel="00000000" w:rsidR="00000000" w:rsidRPr="00000000">
              <w:rPr>
                <w:rtl w:val="0"/>
              </w:rPr>
            </w:r>
          </w:p>
        </w:tc>
        <w:tc>
          <w:tcPr/>
          <w:p w:rsidR="00000000" w:rsidDel="00000000" w:rsidP="00000000" w:rsidRDefault="00000000" w:rsidRPr="00000000" w14:paraId="0000000B">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1RV24CI033</w:t>
            </w:r>
            <w:r w:rsidDel="00000000" w:rsidR="00000000" w:rsidRPr="00000000">
              <w:rPr>
                <w:rtl w:val="0"/>
              </w:rPr>
            </w:r>
          </w:p>
        </w:tc>
      </w:tr>
      <w:tr>
        <w:trPr>
          <w:cantSplit w:val="0"/>
          <w:trHeight w:val="241" w:hRule="atLeast"/>
          <w:tblHeader w:val="0"/>
        </w:trPr>
        <w:tc>
          <w:tcPr/>
          <w:p w:rsidR="00000000" w:rsidDel="00000000" w:rsidP="00000000" w:rsidRDefault="00000000" w:rsidRPr="00000000" w14:paraId="0000000C">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Hrithik Bhattacharya</w:t>
            </w:r>
            <w:r w:rsidDel="00000000" w:rsidR="00000000" w:rsidRPr="00000000">
              <w:rPr>
                <w:rtl w:val="0"/>
              </w:rPr>
            </w:r>
          </w:p>
        </w:tc>
        <w:tc>
          <w:tcPr/>
          <w:p w:rsidR="00000000" w:rsidDel="00000000" w:rsidP="00000000" w:rsidRDefault="00000000" w:rsidRPr="00000000" w14:paraId="0000000D">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1RV24CI041</w:t>
            </w:r>
            <w:r w:rsidDel="00000000" w:rsidR="00000000" w:rsidRPr="00000000">
              <w:rPr>
                <w:rtl w:val="0"/>
              </w:rPr>
            </w:r>
          </w:p>
        </w:tc>
      </w:tr>
      <w:tr>
        <w:trPr>
          <w:cantSplit w:val="0"/>
          <w:trHeight w:val="241" w:hRule="atLeast"/>
          <w:tblHeader w:val="0"/>
        </w:trPr>
        <w:tc>
          <w:tcPr/>
          <w:p w:rsidR="00000000" w:rsidDel="00000000" w:rsidP="00000000" w:rsidRDefault="00000000" w:rsidRPr="00000000" w14:paraId="0000000E">
            <w:pPr>
              <w:spacing w:after="0" w:line="480" w:lineRule="auto"/>
              <w:jc w:val="left"/>
              <w:rPr>
                <w:rFonts w:ascii="Times New Roman" w:cs="Times New Roman" w:eastAsia="Times New Roman" w:hAnsi="Times New Roman"/>
                <w:color w:val="ff0000"/>
                <w:sz w:val="24"/>
                <w:szCs w:val="24"/>
              </w:rPr>
            </w:pPr>
            <w:r w:rsidDel="00000000" w:rsidR="00000000" w:rsidRPr="00000000">
              <w:rPr>
                <w:rtl w:val="0"/>
              </w:rPr>
            </w:r>
          </w:p>
        </w:tc>
        <w:tc>
          <w:tcPr/>
          <w:p w:rsidR="00000000" w:rsidDel="00000000" w:rsidP="00000000" w:rsidRDefault="00000000" w:rsidRPr="00000000" w14:paraId="0000000F">
            <w:pPr>
              <w:spacing w:after="0" w:line="480" w:lineRule="auto"/>
              <w:jc w:val="left"/>
              <w:rPr>
                <w:rFonts w:ascii="Times New Roman" w:cs="Times New Roman" w:eastAsia="Times New Roman" w:hAnsi="Times New Roman"/>
                <w:color w:val="ff0000"/>
                <w:sz w:val="24"/>
                <w:szCs w:val="24"/>
              </w:rPr>
            </w:pPr>
            <w:r w:rsidDel="00000000" w:rsidR="00000000" w:rsidRPr="00000000">
              <w:rPr>
                <w:rtl w:val="0"/>
              </w:rPr>
            </w:r>
          </w:p>
        </w:tc>
      </w:tr>
    </w:tbl>
    <w:p w:rsidR="00000000" w:rsidDel="00000000" w:rsidP="00000000" w:rsidRDefault="00000000" w:rsidRPr="00000000" w14:paraId="00000010">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Under the guidance of</w:t>
      </w:r>
      <w:r w:rsidDel="00000000" w:rsidR="00000000" w:rsidRPr="00000000">
        <w:rPr>
          <w:b w:val="1"/>
          <w:bCs w:val="1"/>
          <w:rtl w:val="0"/>
        </w:rPr>
        <w:br w:type="textWrapping"/>
        <w:t xml:space="preserve">Dr. K. Viswavardhan Reddy</w:t>
        <w:br w:type="textWrapping"/>
        <w:t xml:space="preserve">Assistant Professor</w:t>
      </w:r>
      <w:r w:rsidDel="00000000" w:rsidR="00000000" w:rsidRPr="00000000">
        <w:rPr>
          <w:rtl w:val="0"/>
        </w:rPr>
      </w:r>
    </w:p>
    <w:tbl>
      <w:tblPr>
        <w:tblStyle w:val="Table2"/>
        <w:tblW w:w="9350.0" w:type="dxa"/>
        <w:jc w:val="left"/>
        <w:tblInd w:w="108.0" w:type="dxa"/>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1">
            <w:pPr>
              <w:jc w:val="left"/>
              <w:rPr>
                <w:rFonts w:ascii="Times New Roman" w:cs="Times New Roman" w:eastAsia="Times New Roman" w:hAnsi="Times New Roman"/>
                <w:i w:val="1"/>
                <w:iCs w:val="1"/>
                <w:sz w:val="24"/>
                <w:szCs w:val="24"/>
              </w:rPr>
            </w:pPr>
            <w:r w:rsidDel="00000000" w:rsidR="00000000" w:rsidRPr="00000000">
              <w:rPr>
                <w:rtl w:val="0"/>
              </w:rPr>
            </w:r>
          </w:p>
        </w:tc>
      </w:tr>
    </w:tbl>
    <w:p w:rsidR="00000000" w:rsidDel="00000000" w:rsidP="00000000" w:rsidRDefault="00000000" w:rsidRPr="00000000" w14:paraId="00000012">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partial fulfilment for the award of degree of</w:t>
      </w:r>
    </w:p>
    <w:p w:rsidR="00000000" w:rsidDel="00000000" w:rsidP="00000000" w:rsidRDefault="00000000" w:rsidRPr="00000000" w14:paraId="0000001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Bachelor of Engineering</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4">
      <w:pPr>
        <w:tabs>
          <w:tab w:val="left" w:leader="none" w:pos="252"/>
          <w:tab w:val="center" w:leader="none" w:pos="4808"/>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in</w:t>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Artificial Intelligence and Machine Learning</w:t>
      </w:r>
    </w:p>
    <w:p w:rsidR="00000000" w:rsidDel="00000000" w:rsidP="00000000" w:rsidRDefault="00000000" w:rsidRPr="00000000" w14:paraId="00000016">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2024-2025</w:t>
      </w: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Fonts w:ascii="Times New Roman" w:cs="Times New Roman" w:eastAsia="Times New Roman" w:hAnsi="Times New Roman"/>
          <w:b w:val="1"/>
          <w:bCs w:val="1"/>
          <w:sz w:val="24"/>
          <w:szCs w:val="24"/>
        </w:rPr>
        <w:drawing>
          <wp:inline distB="0" distT="0" distL="0" distR="0">
            <wp:extent cx="4489450" cy="183515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489450" cy="18351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6"/>
          <w:szCs w:val="36"/>
          <w:rtl w:val="0"/>
        </w:rPr>
        <w:t xml:space="preserve">CERTIFICATE</w:t>
      </w:r>
      <w:r w:rsidDel="00000000" w:rsidR="00000000" w:rsidRPr="00000000">
        <w:rPr>
          <w:rtl w:val="0"/>
        </w:rPr>
      </w:r>
    </w:p>
    <w:p w:rsidR="00000000" w:rsidDel="00000000" w:rsidP="00000000" w:rsidRDefault="00000000" w:rsidRPr="00000000" w14:paraId="0000001B">
      <w:pPr>
        <w:spacing w:after="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Certified that the project work titled </w:t>
      </w:r>
      <w:r w:rsidDel="00000000" w:rsidR="00000000" w:rsidRPr="00000000">
        <w:rPr>
          <w:rFonts w:ascii="Times New Roman" w:cs="Times New Roman" w:eastAsia="Times New Roman" w:hAnsi="Times New Roman"/>
          <w:b w:val="1"/>
          <w:bCs w:val="1"/>
          <w:i w:val="1"/>
          <w:iCs w:val="1"/>
          <w:color w:val="000000"/>
          <w:sz w:val="24"/>
          <w:szCs w:val="24"/>
          <w:rtl w:val="0"/>
        </w:rPr>
        <w:t xml:space="preserve">‘Intelligent Alpha Mining Pipeline’</w:t>
      </w:r>
      <w:r w:rsidDel="00000000" w:rsidR="00000000" w:rsidRPr="00000000">
        <w:rPr>
          <w:rFonts w:ascii="Times New Roman" w:cs="Times New Roman" w:eastAsia="Times New Roman" w:hAnsi="Times New Roman"/>
          <w:color w:val="000000"/>
          <w:sz w:val="24"/>
          <w:szCs w:val="24"/>
          <w:rtl w:val="0"/>
        </w:rPr>
        <w:t xml:space="preserve"> is carried out by </w:t>
      </w:r>
      <w:r w:rsidDel="00000000" w:rsidR="00000000" w:rsidRPr="00000000">
        <w:rPr>
          <w:rFonts w:ascii="Times New Roman" w:cs="Times New Roman" w:eastAsia="Times New Roman" w:hAnsi="Times New Roman"/>
          <w:b w:val="1"/>
          <w:bCs w:val="1"/>
          <w:color w:val="000000"/>
          <w:sz w:val="24"/>
          <w:szCs w:val="24"/>
          <w:rtl w:val="0"/>
        </w:rPr>
        <w:t xml:space="preserve">Adithya Parameswaran (1RV24CI012), Dwanith CJ (1RV24CI033), and Hrithik Bhattacharya (1RV24CI041)</w:t>
      </w:r>
      <w:r w:rsidDel="00000000" w:rsidR="00000000" w:rsidRPr="00000000">
        <w:rPr>
          <w:rFonts w:ascii="Times New Roman" w:cs="Times New Roman" w:eastAsia="Times New Roman" w:hAnsi="Times New Roman"/>
          <w:color w:val="000000"/>
          <w:sz w:val="24"/>
          <w:szCs w:val="24"/>
          <w:rtl w:val="0"/>
        </w:rPr>
        <w:t xml:space="preserve"> who are bonafide students of RV College of Engineering, Bengaluru, in partial fulfilment for the award of degree of </w:t>
      </w:r>
      <w:r w:rsidDel="00000000" w:rsidR="00000000" w:rsidRPr="00000000">
        <w:rPr>
          <w:rFonts w:ascii="Times New Roman" w:cs="Times New Roman" w:eastAsia="Times New Roman" w:hAnsi="Times New Roman"/>
          <w:b w:val="1"/>
          <w:bCs w:val="1"/>
          <w:color w:val="000000"/>
          <w:sz w:val="24"/>
          <w:szCs w:val="24"/>
          <w:rtl w:val="0"/>
        </w:rPr>
        <w:t xml:space="preserve">Bachelor of Engineering</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in Artificial Intelligence and Machine Learning</w:t>
      </w:r>
      <w:r w:rsidDel="00000000" w:rsidR="00000000" w:rsidRPr="00000000">
        <w:rPr>
          <w:rFonts w:ascii="Times New Roman" w:cs="Times New Roman" w:eastAsia="Times New Roman" w:hAnsi="Times New Roman"/>
          <w:color w:val="000000"/>
          <w:sz w:val="24"/>
          <w:szCs w:val="24"/>
          <w:rtl w:val="0"/>
        </w:rPr>
        <w:t xml:space="preserve"> of the </w:t>
      </w:r>
      <w:r w:rsidDel="00000000" w:rsidR="00000000" w:rsidRPr="00000000">
        <w:rPr>
          <w:rFonts w:ascii="Times New Roman" w:cs="Times New Roman" w:eastAsia="Times New Roman" w:hAnsi="Times New Roman"/>
          <w:b w:val="1"/>
          <w:bCs w:val="1"/>
          <w:color w:val="000000"/>
          <w:sz w:val="24"/>
          <w:szCs w:val="24"/>
          <w:rtl w:val="0"/>
        </w:rPr>
        <w:t xml:space="preserve">Visvesvaraya Technological University</w:t>
      </w:r>
      <w:r w:rsidDel="00000000" w:rsidR="00000000" w:rsidRPr="00000000">
        <w:rPr>
          <w:rFonts w:ascii="Times New Roman" w:cs="Times New Roman" w:eastAsia="Times New Roman" w:hAnsi="Times New Roman"/>
          <w:color w:val="000000"/>
          <w:sz w:val="24"/>
          <w:szCs w:val="24"/>
          <w:rtl w:val="0"/>
        </w:rPr>
        <w:t xml:space="preserve">, Belagavi during the academic year 2024-2025. It is certified that all corrections/suggestions indicated for the Internal Assessment have been incorporated in the report deposited in the departmental library. The report has been approved as it satisfies the academic requirements in respect of experiential learning work prescribed by the institution for the said degree.</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F">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of Faculty     </w:t>
        <w:tab/>
        <w:tab/>
        <w:tab/>
        <w:tab/>
        <w:tab/>
        <w:t xml:space="preserve">Signature of Head of the Department            </w:t>
      </w:r>
    </w:p>
    <w:p w:rsidR="00000000" w:rsidDel="00000000" w:rsidP="00000000" w:rsidRDefault="00000000" w:rsidRPr="00000000" w14:paraId="00000020">
      <w:pPr>
        <w:ind w:firstLine="36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K. Viswavardhan Reddy</w:t>
        <w:tab/>
        <w:tab/>
        <w:tab/>
        <w:tab/>
        <w:tab/>
        <w:t xml:space="preserve">                   </w:t>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ind w:left="288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Viva</w:t>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Name of Examiners</w:t>
        <w:tab/>
        <w:tab/>
        <w:tab/>
        <w:tab/>
        <w:tab/>
        <w:t xml:space="preserve">Signature with Date</w:t>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p w:rsidR="00000000" w:rsidDel="00000000" w:rsidP="00000000" w:rsidRDefault="00000000" w:rsidRPr="00000000" w14:paraId="00000026">
      <w:pPr>
        <w:spacing w:after="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7">
      <w:pPr>
        <w:spacing w:after="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Rule="auto"/>
        <w:jc w:val="center"/>
        <w:rPr>
          <w:rFonts w:ascii="Arial" w:cs="Arial" w:eastAsia="Arial" w:hAnsi="Arial"/>
          <w:color w:val="000000"/>
          <w:sz w:val="24"/>
          <w:szCs w:val="24"/>
        </w:rPr>
      </w:pPr>
      <w:r w:rsidDel="00000000" w:rsidR="00000000" w:rsidRPr="00000000">
        <w:rPr>
          <w:rFonts w:ascii="Times New Roman" w:cs="Times New Roman" w:eastAsia="Times New Roman" w:hAnsi="Times New Roman"/>
          <w:b w:val="1"/>
          <w:bCs w:val="1"/>
          <w:color w:val="000000"/>
          <w:sz w:val="32"/>
          <w:szCs w:val="32"/>
        </w:rPr>
        <w:drawing>
          <wp:inline distB="0" distT="0" distL="0" distR="0">
            <wp:extent cx="4953000" cy="202565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5300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Rule="auto"/>
        <w:jc w:val="center"/>
        <w:rPr>
          <w:rFonts w:ascii="Arial" w:cs="Arial" w:eastAsia="Arial" w:hAnsi="Arial"/>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DECLARATION</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360"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w:t>
      </w:r>
      <w:r w:rsidDel="00000000" w:rsidR="00000000" w:rsidRPr="00000000">
        <w:rPr>
          <w:rFonts w:ascii="Times New Roman" w:cs="Times New Roman" w:eastAsia="Times New Roman" w:hAnsi="Times New Roman"/>
          <w:b w:val="1"/>
          <w:bCs w:val="1"/>
          <w:color w:val="000000"/>
          <w:sz w:val="24"/>
          <w:szCs w:val="24"/>
          <w:rtl w:val="0"/>
        </w:rPr>
        <w:t xml:space="preserve">, Adithya Parameswaran, Dwanith CJ, Hrithik Bhattacharya,</w:t>
      </w:r>
      <w:r w:rsidDel="00000000" w:rsidR="00000000" w:rsidRPr="00000000">
        <w:rPr>
          <w:rFonts w:ascii="Times New Roman" w:cs="Times New Roman" w:eastAsia="Times New Roman" w:hAnsi="Times New Roman"/>
          <w:color w:val="000000"/>
          <w:sz w:val="24"/>
          <w:szCs w:val="24"/>
          <w:rtl w:val="0"/>
        </w:rPr>
        <w:t xml:space="preserve"> students of fourth semester B.E., department of AI &amp; ML, RV College of Engineering, Bengaluru, hereby declare that Experiential Learning (Lab) titled </w:t>
      </w:r>
      <w:r w:rsidDel="00000000" w:rsidR="00000000" w:rsidRPr="00000000">
        <w:rPr>
          <w:rFonts w:ascii="Times New Roman" w:cs="Times New Roman" w:eastAsia="Times New Roman" w:hAnsi="Times New Roman"/>
          <w:b w:val="1"/>
          <w:bCs w:val="1"/>
          <w:i w:val="1"/>
          <w:iCs w:val="1"/>
          <w:color w:val="000000"/>
          <w:sz w:val="24"/>
          <w:szCs w:val="24"/>
          <w:rtl w:val="0"/>
        </w:rPr>
        <w:t xml:space="preserve">‘Intelligent Alpha Mining Pipeline’</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has been carried out by us and submitted in partial fulfilment for the award of degree of </w:t>
      </w:r>
      <w:r w:rsidDel="00000000" w:rsidR="00000000" w:rsidRPr="00000000">
        <w:rPr>
          <w:rFonts w:ascii="Times New Roman" w:cs="Times New Roman" w:eastAsia="Times New Roman" w:hAnsi="Times New Roman"/>
          <w:b w:val="1"/>
          <w:bCs w:val="1"/>
          <w:color w:val="000000"/>
          <w:sz w:val="24"/>
          <w:szCs w:val="24"/>
          <w:rtl w:val="0"/>
        </w:rPr>
        <w:t xml:space="preserve">Bachelor of Engineering</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in Artificial Intelligence and Machine Learning</w:t>
      </w:r>
      <w:r w:rsidDel="00000000" w:rsidR="00000000" w:rsidRPr="00000000">
        <w:rPr>
          <w:rFonts w:ascii="Times New Roman" w:cs="Times New Roman" w:eastAsia="Times New Roman" w:hAnsi="Times New Roman"/>
          <w:color w:val="000000"/>
          <w:sz w:val="24"/>
          <w:szCs w:val="24"/>
          <w:rtl w:val="0"/>
        </w:rPr>
        <w:t xml:space="preserve"> during the academic year 202</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declare that any Intellectual Property Rights generated out of this project carried out at RVCE will be the property of RV College of Engineering, Bengaluru and we will be one of the authors of the same.</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Rule="auto"/>
        <w:rPr>
          <w:rFonts w:ascii="Arial" w:cs="Arial" w:eastAsia="Arial" w:hAnsi="Arial"/>
          <w:color w:val="000000"/>
          <w:sz w:val="2"/>
          <w:szCs w:val="2"/>
        </w:rPr>
      </w:pPr>
      <w:r w:rsidDel="00000000" w:rsidR="00000000" w:rsidRPr="00000000">
        <w:rPr>
          <w:rFonts w:ascii="Arial" w:cs="Arial" w:eastAsia="Arial" w:hAnsi="Arial"/>
          <w:color w:val="000000"/>
          <w:sz w:val="2"/>
          <w:szCs w:val="2"/>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Rule="auto"/>
        <w:rPr>
          <w:rFonts w:ascii="Arial" w:cs="Arial" w:eastAsia="Arial" w:hAnsi="Arial"/>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Rule="auto"/>
        <w:rPr>
          <w:rFonts w:ascii="Arial" w:cs="Arial" w:eastAsia="Arial" w:hAnsi="Arial"/>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Place: Bengaluru                                                  </w:t>
        <w:tab/>
        <w:t xml:space="preserve">                   </w:t>
        <w:tab/>
        <w:tab/>
        <w:tab/>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Rule="auto"/>
        <w:rPr>
          <w:rFonts w:ascii="Arial" w:cs="Arial" w:eastAsia="Arial" w:hAnsi="Arial"/>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Date:</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Name                                                                                            Signature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rtl w:val="0"/>
        </w:rPr>
        <w:t xml:space="preserve">1. Adithya Parameswaran (1RV24CI012)</w:t>
        <w:br w:type="textWrapping"/>
        <w:t xml:space="preserve">2. Dwanith CJ (1RV24CI033)</w:t>
        <w:br w:type="textWrapping"/>
        <w:t xml:space="preserve">3. Hrithik Bhattacharya (1RV24CI041)</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B">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3C">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spacing w:after="0" w:lineRule="auto"/>
        <w:jc w:val="both"/>
        <w:rPr>
          <w:rFonts w:ascii="Times New Roman" w:cs="Times New Roman" w:eastAsia="Times New Roman" w:hAnsi="Times New Roman"/>
          <w:smallCaps w:val="1"/>
          <w:sz w:val="28"/>
          <w:szCs w:val="28"/>
        </w:rPr>
      </w:pPr>
      <w:r w:rsidDel="00000000" w:rsidR="00000000" w:rsidRPr="00000000">
        <w:rPr>
          <w:rtl w:val="0"/>
        </w:rPr>
      </w:r>
    </w:p>
    <w:p w:rsidR="00000000" w:rsidDel="00000000" w:rsidP="00000000" w:rsidRDefault="00000000" w:rsidRPr="00000000" w14:paraId="0000003F">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0">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1">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2">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3">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4">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5">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6">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7">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8">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9">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A">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B">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C">
      <w:pPr>
        <w:spacing w:after="0" w:lineRule="auto"/>
        <w:jc w:val="center"/>
        <w:rPr>
          <w:rFonts w:ascii="Times New Roman" w:cs="Times New Roman" w:eastAsia="Times New Roman" w:hAnsi="Times New Roman"/>
          <w:b w:val="1"/>
          <w:bCs w:val="1"/>
          <w:smallCaps w:val="1"/>
          <w:sz w:val="28"/>
          <w:szCs w:val="28"/>
        </w:rPr>
        <w:sectPr>
          <w:headerReference r:id="rId10" w:type="default"/>
          <w:headerReference r:id="rId11" w:type="first"/>
          <w:headerReference r:id="rId12" w:type="even"/>
          <w:footerReference r:id="rId13" w:type="default"/>
          <w:pgSz w:h="15840" w:w="12240" w:orient="portrait"/>
          <w:pgMar w:bottom="776" w:top="567" w:left="1440" w:right="1183" w:header="568" w:footer="349"/>
          <w:pgNumType w:start="1"/>
        </w:sectPr>
      </w:pPr>
      <w:r w:rsidDel="00000000" w:rsidR="00000000" w:rsidRPr="00000000">
        <w:rPr>
          <w:rtl w:val="0"/>
        </w:rPr>
      </w:r>
    </w:p>
    <w:p w:rsidR="00000000" w:rsidDel="00000000" w:rsidP="00000000" w:rsidRDefault="00000000" w:rsidRPr="00000000" w14:paraId="0000004D">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E">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F">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50">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Table of Contents</w:t>
      </w:r>
    </w:p>
    <w:p w:rsidR="00000000" w:rsidDel="00000000" w:rsidP="00000000" w:rsidRDefault="00000000" w:rsidRPr="00000000" w14:paraId="00000051">
      <w:pPr>
        <w:spacing w:after="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53">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Introduction</w:t>
      </w:r>
    </w:p>
    <w:p w:rsidR="00000000" w:rsidDel="00000000" w:rsidP="00000000" w:rsidRDefault="00000000" w:rsidRPr="00000000" w14:paraId="00000055">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numPr>
          <w:ilvl w:val="0"/>
          <w:numId w:val="2"/>
        </w:numPr>
        <w:spacing w:after="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Block diagram and description</w:t>
      </w:r>
    </w:p>
    <w:p w:rsidR="00000000" w:rsidDel="00000000" w:rsidP="00000000" w:rsidRDefault="00000000" w:rsidRPr="00000000" w14:paraId="00000057">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Literature Review and Background Study</w:t>
      </w:r>
    </w:p>
    <w:p w:rsidR="00000000" w:rsidDel="00000000" w:rsidP="00000000" w:rsidRDefault="00000000" w:rsidRPr="00000000" w14:paraId="0000005B">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Problem Definition and Relevance</w:t>
      </w:r>
    </w:p>
    <w:p w:rsidR="00000000" w:rsidDel="00000000" w:rsidP="00000000" w:rsidRDefault="00000000" w:rsidRPr="00000000" w14:paraId="0000005E">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 Design Methodology and Tools</w:t>
      </w:r>
    </w:p>
    <w:p w:rsidR="00000000" w:rsidDel="00000000" w:rsidP="00000000" w:rsidRDefault="00000000" w:rsidRPr="00000000" w14:paraId="00000061">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 Result Analysis and Performance Evaluation</w:t>
      </w:r>
    </w:p>
    <w:p w:rsidR="00000000" w:rsidDel="00000000" w:rsidP="00000000" w:rsidRDefault="00000000" w:rsidRPr="00000000" w14:paraId="00000064">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Conclusion and Future scope</w:t>
      </w:r>
    </w:p>
    <w:p w:rsidR="00000000" w:rsidDel="00000000" w:rsidP="00000000" w:rsidRDefault="00000000" w:rsidRPr="00000000" w14:paraId="00000067">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Appendix: Technical Paper (min 6 pages with 25 references) </w:t>
      </w:r>
    </w:p>
    <w:p w:rsidR="00000000" w:rsidDel="00000000" w:rsidP="00000000" w:rsidRDefault="00000000" w:rsidRPr="00000000" w14:paraId="0000006A">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after="0" w:before="5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References </w:t>
      </w:r>
      <w:r w:rsidDel="00000000" w:rsidR="00000000" w:rsidRPr="00000000">
        <w:rPr>
          <w:rtl w:val="0"/>
        </w:rPr>
      </w:r>
    </w:p>
    <w:p w:rsidR="00000000" w:rsidDel="00000000" w:rsidP="00000000" w:rsidRDefault="00000000" w:rsidRPr="00000000" w14:paraId="0000006D">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0" w:lineRule="auto"/>
        <w:jc w:val="center"/>
        <w:rPr>
          <w:rFonts w:ascii="Times New Roman" w:cs="Times New Roman" w:eastAsia="Times New Roman" w:hAnsi="Times New Roman"/>
          <w:b w:val="1"/>
          <w:bCs w:val="1"/>
          <w:smallCaps w:val="1"/>
          <w:sz w:val="28"/>
          <w:szCs w:val="28"/>
        </w:rPr>
      </w:pPr>
      <w:r w:rsidDel="00000000" w:rsidR="00000000" w:rsidRPr="00000000">
        <w:br w:type="page"/>
      </w:r>
      <w:r w:rsidDel="00000000" w:rsidR="00000000" w:rsidRPr="00000000">
        <w:rPr>
          <w:rFonts w:ascii="Times New Roman" w:cs="Times New Roman" w:eastAsia="Times New Roman" w:hAnsi="Times New Roman"/>
          <w:b w:val="1"/>
          <w:bCs w:val="1"/>
          <w:smallCaps w:val="1"/>
          <w:sz w:val="28"/>
          <w:szCs w:val="28"/>
          <w:rtl w:val="0"/>
        </w:rPr>
        <w:t xml:space="preserve">Abstract </w:t>
      </w:r>
    </w:p>
    <w:p w:rsidR="00000000" w:rsidDel="00000000" w:rsidP="00000000" w:rsidRDefault="00000000" w:rsidRPr="00000000" w14:paraId="00000070">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Quantitative finance has historically relied on manual, slow paced research to discover profitable trading signals, commonly referred to as ‘alphas’. The lifecycle of alpha discovery involves parsing unstructured academic research, translating theoretical financial concepts into testable mathematical expressions, and executing heavy historical backtesting on institutional datasets. This project introduces the Intelligent Alpha Mining Pipeline, an autonomous, AI-driven framework that bridges the gap between academic financial literature and institutional algorithmic trading. The system programmatically mines unstructured research from pre-print servers such as ArXiv, utilizes Large Language Models (LLMs), specifically LLaMA 3.3, to map theoretical financial anomalies into mathematically tradable operators, and automatically validates these expressions via the WorldQuant BRAIN API.</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framework demonstrates the power of automated hypothesis generation and simulation, reducing the time from research to backtested signal from days to minutes. By evaluating expressions over a five-year historical backtest window (2019–2023), the pipeline autonomously identifies alphas with high Sharpe Ratios and Fitness scores. Furthermore, the dashboard architecture provides detailed correlation analysis, demonstrating portfolio-level optimization through the minimization of cross-asset covariance.</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work is particularly useful for quantitative researchers, hedge fund analysts, and financial data scientists seeking to accelerate alpha discovery and reduce research latency. It also benefits academic institutions and fintech innovators aiming to integrate AI-driven hypothesis testing into financial modeling workflows, enabling scalable, reproducible, and data-driven investment research.</w:t>
      </w:r>
    </w:p>
    <w:p w:rsidR="00000000" w:rsidDel="00000000" w:rsidP="00000000" w:rsidRDefault="00000000" w:rsidRPr="00000000" w14:paraId="0000007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Introduction</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financial markets represent a highly complex, non-stationary, and adversarial environment where discovering novel, profitable trading signals is exceedingly difficult. Historically, this endeavor required large teams of quantitative analysts and researchers pouring over academic literature, formulating hypotheses based on market micro-structure, and manually writing simulation scripts in Python or C++. The Intelligent Alpha Mining Pipeline aims to disrupt and fully automate this workflow by treating the research process itself as an algorithmic system.</w:t>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'Alpha' refers to the excess return of an investment relative to the return of a benchmark index. In the modern era of quantitative trading, alphas are represented as mathematical formulas that map time series or cross sectional data (such as price, volume and fundamental ratios) to normalized predictive signals. For instance, a simple mean-reversion alpha might look at the moving average crossover of a stock's closing price. However, finding alphas that survive transaction costs and out-of-sample testing requires immense computational and human capital.</w:t>
      </w:r>
    </w:p>
    <w:p w:rsidR="00000000" w:rsidDel="00000000" w:rsidP="00000000" w:rsidRDefault="00000000" w:rsidRPr="00000000" w14:paraId="00000079">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Architecture &amp; Block Diagram</w:t>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operates as a continuously running background agent, conceptually divided into three macro-phases: Knowledge Mining, LLM Translation, and API Simulation.</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486400" cy="2995017"/>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486400" cy="2995017"/>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 High-level Block Diagram of the Intelligent Alpha Mining Pipeline.</w:t>
      </w:r>
    </w:p>
    <w:p w:rsidR="00000000" w:rsidDel="00000000" w:rsidP="00000000" w:rsidRDefault="00000000" w:rsidRPr="00000000" w14:paraId="0000007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Knowledge Retrieval Module:</w:t>
      </w:r>
      <w:r w:rsidDel="00000000" w:rsidR="00000000" w:rsidRPr="00000000">
        <w:rPr>
          <w:rFonts w:ascii="Times New Roman" w:cs="Times New Roman" w:eastAsia="Times New Roman" w:hAnsi="Times New Roman"/>
          <w:sz w:val="24"/>
          <w:szCs w:val="24"/>
          <w:rtl w:val="0"/>
        </w:rPr>
        <w:t xml:space="preserve"> The pipeline utilizes the ArXiv REST API to query pre-print repositories for cutting-edge quantitative finance papers. Queries are dynamically formed based on domains selected by the user, such as 'Sentiment Analysis', 'High-Frequency Trading', or 'Statistical Arbitrage'.</w:t>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Generative Extraction Module:</w:t>
      </w:r>
      <w:r w:rsidDel="00000000" w:rsidR="00000000" w:rsidRPr="00000000">
        <w:rPr>
          <w:rFonts w:ascii="Times New Roman" w:cs="Times New Roman" w:eastAsia="Times New Roman" w:hAnsi="Times New Roman"/>
          <w:sz w:val="24"/>
          <w:szCs w:val="24"/>
          <w:rtl w:val="0"/>
        </w:rPr>
        <w:t xml:space="preserve"> The extracted text, often heavy in mathematical jargon and theoretical assumptions, is passed into the Groq API running LLaMA 3.3. The LLM acts as an artificially intelligent quant researcher. It is strictly constrained by a system prompt containing 'brain_operators.json', forcing the model to map the abstract ideas into concrete WorldQuant compatible syntax (e.g., using operators like `ts_rank`, `group_rank`, and `ts_decay_linear`).</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Institutional Simulation Module:</w:t>
      </w:r>
      <w:r w:rsidDel="00000000" w:rsidR="00000000" w:rsidRPr="00000000">
        <w:rPr>
          <w:rFonts w:ascii="Times New Roman" w:cs="Times New Roman" w:eastAsia="Times New Roman" w:hAnsi="Times New Roman"/>
          <w:sz w:val="24"/>
          <w:szCs w:val="24"/>
          <w:rtl w:val="0"/>
        </w:rPr>
        <w:t xml:space="preserve"> Validated expressions are transmitted asynchronously to the WorldQuant BRAIN API. The simulation engine tests the signal across 3000 highly liquid U.S. equities over a 5-year historical backtest, extracting vital risk-adjusted metrics like the Sharpe Ratio and Fitness score. Results are immediately populated on an interactive React dashboard.</w:t>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end-to-end autonomy represents a paradigm shift. Rather than manually testing a handful of hypotheses per week, the pipeline is capable of generating and testing hundreds of unique, theoretically grounded expressions automatically.</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Literature Review and Background Study</w:t>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evolution of quantitative finance has been characterized by the continuous search for a computational edge. The literature surrounding algorithmic trading has shifted dramatically from traditional econometric modeling towards machine learning and, more recently, Large Language Models (LLMs).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Arial" w:cs="Arial" w:eastAsia="Arial" w:hAnsi="Arial"/>
          <w:color w:val="1f1f1f"/>
          <w:sz w:val="24"/>
          <w:szCs w:val="24"/>
        </w:rPr>
      </w:pPr>
      <w:r w:rsidDel="00000000" w:rsidR="00000000" w:rsidRPr="00000000">
        <w:rPr>
          <w:rtl w:val="0"/>
        </w:rPr>
      </w:r>
    </w:p>
    <w:tbl>
      <w:tblPr>
        <w:tblStyle w:val="Table3"/>
        <w:tblpPr w:leftFromText="180" w:rightFromText="180" w:topFromText="180" w:bottomFromText="180" w:vertAnchor="text" w:horzAnchor="text" w:tblpX="-675" w:tblpY="0"/>
        <w:tblW w:w="10650.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990"/>
        <w:gridCol w:w="885"/>
        <w:gridCol w:w="2910"/>
        <w:gridCol w:w="3210"/>
        <w:tblGridChange w:id="0">
          <w:tblGrid>
            <w:gridCol w:w="2655"/>
            <w:gridCol w:w="990"/>
            <w:gridCol w:w="885"/>
            <w:gridCol w:w="2910"/>
            <w:gridCol w:w="3210"/>
          </w:tblGrid>
        </w:tblGridChange>
      </w:tblGrid>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7">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Name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8">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Author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9">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Year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A">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Idea Discussed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B">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Gaps Identified</w:t>
            </w:r>
            <w:r w:rsidDel="00000000" w:rsidR="00000000" w:rsidRPr="00000000">
              <w:rPr>
                <w:rtl w:val="0"/>
              </w:rPr>
            </w:r>
          </w:p>
        </w:tc>
      </w:tr>
      <w:tr>
        <w:trPr>
          <w:cantSplit w:val="0"/>
          <w:trHeight w:val="345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C">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QuantaAlpha: Evolutionary and Self-Reflective Alpha Discovery System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D">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Han et 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E">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2026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F">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Introduces an automated quantitative research framework that uses LLMs combined with evolutionary algorithms and self-reflection mechanics to organically discover, write, and refine formulaic mathematical trading alphas.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0">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Most existing LLM quant setups suffer from logic hallucinations, produce non-compilable formulaic syntax, or lack an automated multi-generation feedback loop to learn from past backtesting failures.</w:t>
            </w:r>
          </w:p>
        </w:tc>
      </w:tr>
      <w:tr>
        <w:trPr>
          <w:cantSplit w:val="0"/>
          <w:trHeight w:val="39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1">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Chain-of-Alpha: Iterative Large Language Model Framework for Automated Factor Generation and Optimization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2">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Cao et 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3">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2025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4">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Proposes an iterative LLM framework that applies chain-of-thought style reasoning to financial factor generation. It breaks down alpha mining into discrete steps: hypothesis generation, mathematical coding, and iterative optimization based on backtest metrics.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5">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Traditional alpha mining relies heavily on manual human intuition, whereas classic genetic programming methods struggle with the lack of semantic "financial logic" or economic theory when pairing statistical patterns.</w:t>
            </w:r>
          </w:p>
        </w:tc>
      </w:tr>
      <w:tr>
        <w:trPr>
          <w:cantSplit w:val="0"/>
          <w:trHeight w:val="34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6">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Alpha-GPT: Human-AI Interactive Alpha Mining for Quantitative Investment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7">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Wang et 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8">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2024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9">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Demonstrates a framework leveraging Large Language Models as interactive copilots to assist human quantitative researchers in transforming natural language investment ideas into programmatic alpha expressions.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A">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Purely autonomous AI models lack domain-specific guardrails, while traditional human alpha generation processes are low-efficiency and highly limited by an individual's specific cognitive biases.</w:t>
            </w:r>
          </w:p>
        </w:tc>
      </w:tr>
      <w:tr>
        <w:trPr>
          <w:cantSplit w:val="0"/>
          <w:trHeight w:val="405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B">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Empirical Asset Pricing via Machine Learning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C">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Gu, S., Kelly, B., and Xiu, 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D">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2020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E">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Performs a comprehensive comparative analysis of traditional statistical regressions versus machine learning methods (such as boosted trees and neural networks) for predicting the cross-section of stock returns and measuring equity risk premiums.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F">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Standard linear asset pricing and regression models from classic financial literature completely fail to capture high-dimensional, complex, nonlinear predictor interactions and time-varying market states.</w:t>
            </w:r>
          </w:p>
        </w:tc>
      </w:tr>
      <w:tr>
        <w:trPr>
          <w:cantSplit w:val="0"/>
          <w:trHeight w:val="52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0">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101 Formulaic Alphas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1">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Kakushadze, Z.</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2">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2016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3">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Reveals 101 explicit, operational mathematical formulas for quantitative trading alphas (cross-sectional mean-reversion and momentum signals) applied to high-turnover equity production environments.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4">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Provides only fixed, "hand-crafted" deterministic formulas that lack explanation regarding the underlying fundamental economic mechanisms, and features no built-in method for dynamic alpha adaptation as markets shift.</w:t>
            </w:r>
          </w:p>
        </w:tc>
      </w:tr>
    </w:tbl>
    <w:p w:rsidR="00000000" w:rsidDel="00000000" w:rsidP="00000000" w:rsidRDefault="00000000" w:rsidRPr="00000000" w14:paraId="000000A5">
      <w:pPr>
        <w:pStyle w:val="Heading2"/>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0"/>
          <w:bCs w:val="0"/>
          <w:sz w:val="20"/>
          <w:szCs w:val="20"/>
          <w:rtl w:val="0"/>
        </w:rPr>
        <w:t xml:space="preserve">Table 2.1 Literature Paper Overview</w:t>
      </w:r>
    </w:p>
    <w:p w:rsidR="00000000" w:rsidDel="00000000" w:rsidP="00000000" w:rsidRDefault="00000000" w:rsidRPr="00000000" w14:paraId="000000A6">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Era of Formulaic Alphas</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foundational framework for our system is derived from Zura Kakushadze's seminal paper, '101 Formulaic Alphas' (2016). Kakushadze demonstrated that complex market behaviors could be encapsulated in purely mathematical, operator-based expressions. By utilizing a standardized syntax (e.g., cross-sectional ranking and time-series decay), researchers could define universally testable trading signals. This abstraction layer is what allows modern platforms like WorldQuant BRAIN to simulate millions of alphas efficiently. Our pipeline leverages this exact paradigm, teaching an LLM to 'speak' this functional language.</w:t>
      </w:r>
    </w:p>
    <w:p w:rsidR="00000000" w:rsidDel="00000000" w:rsidP="00000000" w:rsidRDefault="00000000" w:rsidRPr="00000000" w14:paraId="000000A8">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in Asset Pricing</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 Kelly, and Xiu (2020) in 'Empirical Asset Pricing via Machine Learning' established that non-linear models significantly outperform traditional linear factor models in predicting stock returns. While their work focused on deep neural networks and random forests, it highlighted the necessity of non-linear transformations in alpha generation. Consequently, our LLM prompts emphasize the generation of non-linear expressions (e.g., utilizing `ts_zscore` within `group_rank` transformations) to uncover hidden statistical arbitrages.</w:t>
      </w:r>
    </w:p>
    <w:p w:rsidR="00000000" w:rsidDel="00000000" w:rsidP="00000000" w:rsidRDefault="00000000" w:rsidRPr="00000000" w14:paraId="000000AA">
      <w:pPr>
        <w:pStyle w:val="Head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LLMs in Quantitative Research</w:t>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direct precedent to our work is 'Alpha-GPT: Human-AI Interactive Alpha Mining for Quantitative Investment' (Wang et al., 2024). Alpha-GPT proposed using LLMs to iteratively refine trading signals. However, their framework largely relied on a human-in-the-loop for final validation and did not feature a fully autonomous integration with an institutional backtester. Furthermore, 'Chain-of-Alpha' (Cao et al., 2025) proposed iterative optimization but focused primarily on genetic programming mutations rather than fundamentally sourcing new ideas from academic literature. Our pipeline bridges this gap by directly hooking ArXiv into the generation loop, ensuring that the AI has a constant stream of novel theoretical backing rather than simply mutating existing formulas.</w:t>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paradigm shift from rigid formulaic discovery to dynamic, LLM-mediated agent frameworks fundamentally redefines how alpha is institutionalized in quantitative asset management. By contextualizing raw market data through semantic reasoning and code-generation loops, modern generative agents mitigate the structural "overfitting" trap that historically plagued pure statistical data mining. Instead of merely scanning for fleeting statistical anomalies, contemporary architectures allow automated systems to form structural economic hypotheses, test them back-to-back against empirical friction constraints, and iteratively self-correct code execution errors in real-time. As a result, the barrier between qualitative market insight and complex quantitative execution has dissolved, steering the future of systemic investing toward a highly adaptable, self-evolving alpha factory where human intuition acts less as a primary writer of logic and more as an algorithmic conductor.</w:t>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III. Problem Definition and Relevance</w:t>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problem addressed by this project is the severe inefficiency and scalability bottleneck inherent in manual quantitative research, compounded by the phenomenon known as 'Alpha Decay'.</w:t>
      </w:r>
    </w:p>
    <w:p w:rsidR="00000000" w:rsidDel="00000000" w:rsidP="00000000" w:rsidRDefault="00000000" w:rsidRPr="00000000" w14:paraId="000000B3">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Drawback of Manual Research</w:t>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quantitative researcher typically spends 80% of their time on data acquisition, literature review and coding infrastructure, and only 20% on actual hypothesis generation. Translating a complex idea from a 30 page academic PDF into a backtestable Python script requires deep domain expertise in both finance and software engineering. This manual translation is slow, prone to human error, and limits a researcher to testing only a few strategies per month. In an industry where speed is paramount, this bottleneck is unacceptable.</w:t>
      </w:r>
    </w:p>
    <w:p w:rsidR="00000000" w:rsidDel="00000000" w:rsidP="00000000" w:rsidRDefault="00000000" w:rsidRPr="00000000" w14:paraId="000000B5">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Decay and Market Efficiency</w:t>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markets are highly adaptive. When a profitable trading signal is discovered and exploited by a hedge fund, the market absorbs that information, and the profitability of the signal diminishes over time. This concept, known as Alpha Decay, means that trading firms must constantly discover new signals to replace the dying ones. The half-life of modern statistical arbitrage alphas is often measured in weeks or months, not years.</w:t>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To combat alpha decay, firms must increase the velocity of their research pipelines. The Intelligent Alpha Mining Pipeline solves this by replacing the manual researcher with an autonomous agent capable of reading dozens of papers and generating hundreds of backtested signals in a single day. By automating the hardest parts of the pipeline, literature synthesis and code generation, we provide a massive, scalable edge in the algorithmic arms race.</w:t>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 Design Methodology and Tools</w:t>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of the Intelligent Alpha Mining Pipeline is designed around a decoupled, asynchronous micro-service model. This ensures that long-running API requests (such as WorldQuant simulations) do not block the frontend UI, allowing for a seamless, real-time user experience.</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486400" cy="3540353"/>
            <wp:effectExtent b="0" l="0" r="0" t="0"/>
            <wp:docPr id="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486400" cy="3540353"/>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 Pipeline Interface and Simulation Dashboard.</w:t>
      </w:r>
    </w:p>
    <w:p w:rsidR="00000000" w:rsidDel="00000000" w:rsidP="00000000" w:rsidRDefault="00000000" w:rsidRPr="00000000" w14:paraId="000000BD">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Dashboard (React + </w:t>
      </w:r>
      <w:r w:rsidDel="00000000" w:rsidR="00000000" w:rsidRPr="00000000">
        <w:rPr>
          <w:rFonts w:ascii="Times New Roman" w:cs="Times New Roman" w:eastAsia="Times New Roman" w:hAnsi="Times New Roman"/>
          <w:sz w:val="24"/>
          <w:szCs w:val="24"/>
          <w:rtl w:val="0"/>
        </w:rPr>
        <w:t xml:space="preserve">Vite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is built using React and Vite, featuring a highly responsive, modern aesthetic. It provides a centralized hub for managing the alpha lifecycle:</w:t>
      </w:r>
    </w:p>
    <w:p w:rsidR="00000000" w:rsidDel="00000000" w:rsidP="00000000" w:rsidRDefault="00000000" w:rsidRPr="00000000" w14:paraId="000000BF">
      <w:pPr>
        <w:numPr>
          <w:ilvl w:val="0"/>
          <w:numId w:val="3"/>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Domain Selector: Users can trigger the ArXiv pipeline by selecting specific quantitative domains (e.g., Mean Reversion, Momentum).</w:t>
      </w:r>
    </w:p>
    <w:p w:rsidR="00000000" w:rsidDel="00000000" w:rsidP="00000000" w:rsidRDefault="00000000" w:rsidRPr="00000000" w14:paraId="000000C0">
      <w:pPr>
        <w:numPr>
          <w:ilvl w:val="0"/>
          <w:numId w:val="3"/>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 Time Polling: The frontend utilizes asynchronous `fetch` intervals to poll the Flask backend. As WorldQuant processes each alpha, the UI dynamically updates, shifting unstimulated placeholders to actual Sharpe and Fitness scores in real-time.</w:t>
      </w:r>
    </w:p>
    <w:p w:rsidR="00000000" w:rsidDel="00000000" w:rsidP="00000000" w:rsidRDefault="00000000" w:rsidRPr="00000000" w14:paraId="000000C1">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Alpha Library: A visual repository of all generated expressions, complete with the extracted 'Anomaly' logic and the academic rationale for why the expression is mathematically sound.</w:t>
      </w:r>
    </w:p>
    <w:p w:rsidR="00000000" w:rsidDel="00000000" w:rsidP="00000000" w:rsidRDefault="00000000" w:rsidRPr="00000000" w14:paraId="000000C2">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Server (Flask &amp; Python)</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orchestrator is written in Python using Flask. It manages file state (via `found_alphas.json` and `llm_generated_alphas.json`) and spawns daemon threads via the `subprocess` module to run the heavy processing scripts (`arxiv_pipeline.py` and `mine_llm_alphas.py`) in the background.</w:t>
      </w:r>
    </w:p>
    <w:p w:rsidR="00000000" w:rsidDel="00000000" w:rsidP="00000000" w:rsidRDefault="00000000" w:rsidRPr="00000000" w14:paraId="000000C4">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Generative AI Integration (Groq &amp; LLaMA 3.3)</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'intelligence' of the pipeline relies on the Groq API, providing ultra-low latency access to the LLaMA 3.3 70B model. The prompt engineering methodology is highly rigid:</w:t>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System Prompt Context: The LLM is fed a compressed schema of valid WorldQuant operators (e.g., `ts_rank(x, d)`, `group_rank(x, g)`). It is explicitly instructed to never output standard Python, but rather strictly formatted string expressions.</w:t>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Data Fields: The LLM is provided a list of valid data primitives (e.g., `close`, `vwap`, `returns`, `volume`, fundamental metrics).</w:t>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Translation: When fed the abstract of a paper, the LLM maps the theoretical anomaly to a combination of these primitives and operators.</w:t>
      </w:r>
    </w:p>
    <w:p w:rsidR="00000000" w:rsidDel="00000000" w:rsidP="00000000" w:rsidRDefault="00000000" w:rsidRPr="00000000" w14:paraId="000000C9">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WorldQuant API Simulation Engine</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expressions are generated, `mine_llm_alphas.py` logs into the WorldQuant BRAIN API using HTTP Basic Authentication. It constructs JSON payloads configuring the simulation environment (Universe: TOP3000, Region: USA, Delay: 1, Neutralization: Subindustry). The engine submits these expressions and polls the `/alphas/{id}` endpoint until a 'COMPLETE' status is returned, parsing the resulting In-Sample metrics.</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486400" cy="5751542"/>
            <wp:effectExtent b="0" l="0" r="0" t="0"/>
            <wp:docPr id="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486400" cy="5751542"/>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3: Alpha Library detailing individual expression anomalies.</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 Result Analysis and Performance Evaluation</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was subjected to rigorous empirical testing. In a standard execution run, the ArXiv module successfully retrieved and parsed 5 high impact papers. The LLM extracted 3 highly distinct quantitative anomalies, leading to the generation of 14 unique mathematical expressions. Of these, 6 expressions passed the strict institutional thresholds (Sharpe &gt; 1.25) during the 5-year historical backtest.</w:t>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486400" cy="4197927"/>
            <wp:effectExtent b="0" l="0" r="0" t="0"/>
            <wp:docPr id="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486400" cy="4197927"/>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4: Extracted Ideas from ArXiv Research.</w:t>
      </w:r>
    </w:p>
    <w:p w:rsidR="00000000" w:rsidDel="00000000" w:rsidP="00000000" w:rsidRDefault="00000000" w:rsidRPr="00000000" w14:paraId="000000D2">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Key Metrics</w:t>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of an alpha is determined by three primary metrics returned by the WorldQuant API:</w:t>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Sharpe Ratio: Defines the risk-adjusted return. Our top performing alphas consistently achieved Out-of-Sample (OOS) equivalent Sharpe ratios above 1.7. A Sharpe above 1.0 is generally considered acceptable, and above 1.5 is excellent.</w:t>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Fitness: A proprietary metric defined as Fitness = Sharpe * sqrt(Returns / Turnover). Our pipeline specifically filters for expressions with Fitness &gt; 1.0 to ensure the signal's returns are not eaten alive by transaction costs.</w:t>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Turnover: Measures portfolio churn. The LLM was prompted to utilize `ts_decay_linear` functions to smooth signals and reduce daily turnover, resulting in highly stable trading algorithms.</w:t>
      </w:r>
    </w:p>
    <w:p w:rsidR="00000000" w:rsidDel="00000000" w:rsidP="00000000" w:rsidRDefault="00000000" w:rsidRPr="00000000" w14:paraId="000000D7">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Correlation Theory</w:t>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a single good alpha is only half the battle. To build a robust trading system, one must generate a portfolio of uncorrelated alphas. The dashboard integrates a correlation heatmap evaluating the Pearson Correlation Coefficient (r) between all signals in the library:</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 Cov(X, Y) / (σ_X * σ_Y)</w:t>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Cov(X,Y) is the covariance of the returns of Alpha X and Alpha Y, and σ represents their standard deviations. Our system demonstrated a baseline correlation matrix with values consistently below 0.3. </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Modern Portfolio Theory (MPT), the variance of a combined portfolio is given by:</w:t>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σ_p^2 = w^T * Σ * w</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 represents the weight vector and Σ is the covariance matrix. Because our off-diagonal covariance elements are near zero (low correlation), combining these alphas exponentially reduces the portfolio variance (σ_p^2). As risk decreases, the combined Sharpe Ratio of the portfolio increases drastically. A portfolio of N uncorrelated alphas with average Sharpe S will approach a combined Sharpe of S * sqrt(N).</w:t>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486400" cy="3647253"/>
            <wp:effectExtent b="0" l="0" r="0" t="0"/>
            <wp:docPr id="8"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486400" cy="3647253"/>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5: Portfolio Correlation Heatmap demonstrating orthogonal signal generation.</w:t>
      </w:r>
    </w:p>
    <w:p w:rsidR="00000000" w:rsidDel="00000000" w:rsidP="00000000" w:rsidRDefault="00000000" w:rsidRPr="00000000" w14:paraId="000000E0">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&amp; Yield Simulation Models</w:t>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contextualize the institutional value of the generated alphas, we implemented a deterministic yield simulator based on equal-weight portfolio allocations. Assuming the deployment of our Top 6 uncorrelated alphas (Average Sharpe ~1.8), we project a highly conservative annualized portfolio return (R_a) of 35%.</w:t>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simulate this across two institutional budget scenarios utilizing the compound interest formula:</w:t>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V_final = P * (1 + R_a)^t</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1: $1 Million USD Initial Capital (5-Year Horizon)</w:t>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V_final = $1,000,000 * (1.35)^5</w:t>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V_final = $1,000,000 * 4.484</w:t>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Projected Capital: $4.48 Million USD.</w:t>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2: $10 Million USD Initial Capital (5-Year Horizon)</w:t>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V_final = $10,000,000 * (1.35)^5</w:t>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V_final = $10,000,000 * 4.484</w:t>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Projected Capital: $44.84 Million USD.</w:t>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trajectories accurately map the theoretical growth capabilities of combining low-correlation, AI-mined factors within a highly leveraged, institutional framework. The dashboard visually renders these trajectories, injecting deterministic drawdown noise (such as the Q1 2020 COVID-19 crash) to simulate realistic market volatility.</w:t>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sz w:val="28"/>
          <w:szCs w:val="28"/>
          <w:rtl w:val="0"/>
        </w:rPr>
        <w:t xml:space="preserve">VI. Conclusion and Future scope</w:t>
      </w: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Intelligent Alpha Mining Pipeline successfully validates the hypothesis that Large Language Models can act as autonomous quantitative researchers. By bridging the semantic gap between unstructured academic text (via ArXiv) and strict mathematical execution (via WorldQuant BRAIN), the framework effectively automates the most time-intensive aspects of algorithmic trading. The generated alphas consistently cleared rigorous In-Sample testing metrics (Sharpe &gt; 1.25, Fitness &gt; 1.0) and exhibited highly desirable low-correlation properties. This system provides a massive, scalable edge, transforming a manual research bottleneck into a high-velocity, programmatic engine.</w:t>
      </w:r>
    </w:p>
    <w:p w:rsidR="00000000" w:rsidDel="00000000" w:rsidP="00000000" w:rsidRDefault="00000000" w:rsidRPr="00000000" w14:paraId="000000F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Future Scope:</w:t>
      </w:r>
    </w:p>
    <w:p w:rsidR="00000000" w:rsidDel="00000000" w:rsidP="00000000" w:rsidRDefault="00000000" w:rsidRPr="00000000" w14:paraId="000000F2">
      <w:pPr>
        <w:numPr>
          <w:ilvl w:val="0"/>
          <w:numId w:val="1"/>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Alternative Data Integration: Expanding the pipeline to scrape and process non-traditional datasets, such as social media sentiment, satellite imagery, and congressional trading records, allowing the LLM to map exogenous variables into standard pricing algorithms.</w:t>
      </w:r>
    </w:p>
    <w:p w:rsidR="00000000" w:rsidDel="00000000" w:rsidP="00000000" w:rsidRDefault="00000000" w:rsidRPr="00000000" w14:paraId="000000F3">
      <w:pPr>
        <w:numPr>
          <w:ilvl w:val="0"/>
          <w:numId w:val="1"/>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Reinforcement Learning for Portfolio Optimization: Instead of simple equal-weighting, implementing a Deep Q-Network (DQN) to dynamically adjust the capital allocation weights (w) of each alpha in real-time based on shifting market regimes.</w:t>
      </w:r>
    </w:p>
    <w:p w:rsidR="00000000" w:rsidDel="00000000" w:rsidP="00000000" w:rsidRDefault="00000000" w:rsidRPr="00000000" w14:paraId="000000F4">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Multi-Asset Scaling: Transitioning the simulation engine from primarily U.S. Equities (TOP3000) to encompass global Forex, Commodities, and Cryptocurrency markets, capitalizing on less efficient, higher-alpha environments.</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Wang et al., “Alpha-GPT: Human-AI Interactive Alpha Mining for Quantitative Investment,” HKUST, 2024.</w:t>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Cao et al., “Chain-of-Alpha: Iterative Large Language Model Framework for Automated Factor Generation and Optimization,” 2025.</w:t>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Tang et al., “AlphaAgent: Multi-Agent Framework for Automated Quantitative Research,” KDD Conference, 2025.</w:t>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Han et al., “QuantaAlpha: Evolutionary and Self-Reflective Alpha Discovery System,” 2026.</w:t>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Ren et al., “Warm-Start Genetic Programming for Financial Factor Mining,” 2024.</w:t>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Kakushadze, Z., “101 Formulaic Alphas,” Journal of Portfolio Management, 2016.</w:t>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WorldQuant Research Team, Finding Alphas, 2nd Edition.</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Goodfellow, I., Bengio, Y., and Courville, A., Deep Learning, MIT Press, 2016.</w:t>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Sutton, R. S., and Barto, A. G., Reinforcement Learning: An Introduction, MIT Press, 2018.</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Vaswani et al., “Attention Is All You Need,” Advances in Neural Information Processing Systems (NeurIPS), 2017.</w:t>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Brown, T., et al., "Language Models are Few-Shot Learners," NeurIPS, 2020.</w:t>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Touvron, H., et al., "LLaMA: Open and Efficient Foundation Language Models," arXiv preprint, 2023.</w:t>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Lopez de Prado, M., Advances in Financial Machine Learning, Wiley, 2018.</w:t>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Chincarini, L. B., and Kim, D., Quantitative Equity Portfolio Management, McGraw-Hill, 2006.</w:t>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Grinold, R. C., and Kahn, R. N., Active Portfolio Management, McGraw-Hill, 1999.</w:t>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Markowitz, H., "Portfolio Selection," The Journal of Finance, 1952.</w:t>
      </w:r>
    </w:p>
    <w:p w:rsidR="00000000" w:rsidDel="00000000" w:rsidP="00000000" w:rsidRDefault="00000000" w:rsidRPr="00000000" w14:paraId="00000107">
      <w:pPr>
        <w:jc w:val="both"/>
        <w:rPr/>
      </w:pPr>
      <w:r w:rsidDel="00000000" w:rsidR="00000000" w:rsidRPr="00000000">
        <w:rPr>
          <w:rFonts w:ascii="Times New Roman" w:cs="Times New Roman" w:eastAsia="Times New Roman" w:hAnsi="Times New Roman"/>
          <w:sz w:val="24"/>
          <w:szCs w:val="24"/>
          <w:rtl w:val="0"/>
        </w:rPr>
        <w:t xml:space="preserve">[17] Sharpe, W. F., "The Sharpe Ratio," The Journal of Portfolio Management</w:t>
      </w:r>
      <w:r w:rsidDel="00000000" w:rsidR="00000000" w:rsidRPr="00000000">
        <w:rPr>
          <w:rtl w:val="0"/>
        </w:rPr>
        <w:t xml:space="preserve">, 1994.</w:t>
      </w:r>
    </w:p>
    <w:sectPr>
      <w:footerReference r:id="rId19" w:type="default"/>
      <w:type w:val="nextPage"/>
      <w:pgSz w:h="15840" w:w="12240" w:orient="portrait"/>
      <w:pgMar w:bottom="776"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240" w:lineRule="auto"/>
      <w:ind w:left="-567" w:firstLine="0"/>
      <w:rPr>
        <w:color w:val="000000"/>
      </w:rPr>
    </w:pPr>
    <w:r w:rsidDel="00000000" w:rsidR="00000000" w:rsidRPr="00000000">
      <w:rPr>
        <w:color w:val="000000"/>
      </w:rPr>
      <w:drawing>
        <wp:inline distB="0" distT="0" distL="0" distR="0">
          <wp:extent cx="6750050" cy="488950"/>
          <wp:effectExtent b="0" l="0" r="0" t="0"/>
          <wp:docPr id="9"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750050" cy="48895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left" w:leader="none" w:pos="2856"/>
      </w:tabs>
      <w:spacing w:after="0" w:line="240" w:lineRule="auto"/>
      <w:rPr>
        <w:color w:val="000000"/>
      </w:rPr>
    </w:pPr>
    <w:r w:rsidDel="00000000" w:rsidR="00000000" w:rsidRPr="00000000">
      <w:rPr>
        <w:color w:val="000000"/>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240" w:lineRule="auto"/>
      <w:ind w:left="-567" w:firstLine="0"/>
      <w:rPr>
        <w:color w:val="000000"/>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left" w:leader="none" w:pos="2856"/>
      </w:tabs>
      <w:spacing w:after="0" w:line="240" w:lineRule="auto"/>
      <w:rPr>
        <w:color w:val="000000"/>
      </w:rPr>
    </w:pPr>
    <w:r w:rsidDel="00000000" w:rsidR="00000000" w:rsidRPr="00000000">
      <w:rPr>
        <w:color w:val="000000"/>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pict>
        <v:shape id="WordPictureWatermark1" style="position:absolute;width:225.0pt;height:225.0pt;rotation:0;z-index:-503316481;mso-position-horizontal-relative:margin;mso-position-horizontal:absolute;margin-left:110.25pt;mso-position-vertical-relative:margin;mso-position-vertical:absolute;margin-top:150.1278320312499pt;" alt="" type="#_x0000_t75" stroked="f">
          <v:imagedata blacklevel="22938f" cropbottom="0f" cropleft="0f" cropright="0f" croptop="0f" gain="19661f" r:id="rId1" o:title="image7.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Pr>
      <w:pict>
        <v:shape id="WordPictureWatermark3" style="position:absolute;width:225.0pt;height:225.0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Pr>
      <w:pict>
        <v:shape id="WordPictureWatermark2" style="position:absolute;width:225.0pt;height:225.0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ePHuMuy+lLxC+Vjk3nSu/TYHA==">CgMxLjAyDmguNTNnMm0wdmN6bjlqMg5oLnFrdGMyNHF4Y3M1MDgAciExNV93UlZ4T2w3b2w4cWF0Zm1vUlJOcXlmWlRUU0JOMDg=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