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i w:val="0"/>
          <w:color w:val="2E74B5"/>
          <w:sz w:val="26"/>
        </w:rPr>
        <w:t>KODIVIAN TECHNOLOGIES LLP</w:t>
      </w:r>
    </w:p>
    <w:p>
      <w:pPr>
        <w:spacing w:before="0" w:after="200"/>
      </w:pPr>
      <w:r>
        <w:rPr>
          <w:b w:val="0"/>
          <w:i w:val="0"/>
          <w:color w:val="595959"/>
          <w:sz w:val="18"/>
        </w:rPr>
        <w:t>ISO 27001 Certified   |   A SS Group Company</w:t>
      </w:r>
    </w:p>
    <w:p>
      <w:pPr>
        <w:spacing w:before="80" w:after="40"/>
      </w:pPr>
      <w:r>
        <w:rPr>
          <w:b/>
          <w:i w:val="0"/>
          <w:color w:val="1F4E79"/>
          <w:sz w:val="52"/>
        </w:rPr>
        <w:t>PROJECT CLOSURE REPORT</w:t>
      </w:r>
    </w:p>
    <w:p>
      <w:pPr>
        <w:spacing w:before="0" w:after="120"/>
      </w:pPr>
      <w:r>
        <w:rPr>
          <w:b/>
          <w:i w:val="0"/>
          <w:color w:val="2E74B5"/>
          <w:sz w:val="30"/>
        </w:rPr>
        <w:t>Scanify Implementation – Stedman Pharmaceuticals</w:t>
      </w:r>
    </w:p>
    <w:p>
      <w:pPr>
        <w:spacing w:before="0" w:after="20"/>
      </w:pPr>
      <w:r>
        <w:rPr>
          <w:b/>
          <w:i w:val="0"/>
          <w:color w:val="222222"/>
          <w:sz w:val="22"/>
        </w:rPr>
        <w:t>Scheme Management System &amp; Stock Statement Entry Automation</w:t>
      </w:r>
    </w:p>
    <w:p>
      <w:pPr>
        <w:spacing w:before="0" w:after="160"/>
      </w:pPr>
      <w:r>
        <w:rPr>
          <w:b w:val="0"/>
          <w:i w:val="0"/>
          <w:color w:val="595959"/>
          <w:sz w:val="20"/>
        </w:rPr>
        <w:t>Division-Controlled Web Platform  |  SRS Release 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7"/>
        <w:gridCol w:w="1947"/>
        <w:gridCol w:w="1947"/>
        <w:gridCol w:w="1947"/>
        <w:gridCol w:w="1947"/>
      </w:tblGrid>
      <w:tr>
        <w:tc>
          <w:tcPr>
            <w:tcW w:type="dxa" w:w="1944"/>
            <w:shd w:val="clear" w:color="auto" w:fill="1F4E79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9"/>
              </w:rPr>
              <w:t>Project Start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9"/>
              </w:rPr>
              <w:t>Project Close</w:t>
            </w:r>
          </w:p>
        </w:tc>
        <w:tc>
          <w:tcPr>
            <w:tcW w:type="dxa" w:w="2304"/>
            <w:shd w:val="clear" w:color="auto" w:fill="1F4E79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9"/>
              </w:rPr>
              <w:t>Planned Duration</w:t>
            </w:r>
          </w:p>
        </w:tc>
        <w:tc>
          <w:tcPr>
            <w:tcW w:type="dxa" w:w="2304"/>
            <w:shd w:val="clear" w:color="auto" w:fill="1F4E79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9"/>
              </w:rPr>
              <w:t>Actual Duration</w:t>
            </w:r>
          </w:p>
        </w:tc>
        <w:tc>
          <w:tcPr>
            <w:tcW w:type="dxa" w:w="1296"/>
            <w:shd w:val="clear" w:color="auto" w:fill="1F4E79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[DD-Mon-YYYY]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[DD-Mon-YYYY]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[XX Weeks (XX Days)]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[XX Weeks (XX Days)]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ON TIME</w:t>
            </w:r>
          </w:p>
        </w:tc>
      </w:tr>
    </w:tbl>
    <w:p>
      <w:pPr>
        <w:spacing w:before="240" w:after="80"/>
        <w:pBdr>
          <w:bottom w:val="single" w:sz="6" w:space="2" w:color="2E74B5"/>
        </w:pBdr>
      </w:pPr>
      <w:r>
        <w:rPr>
          <w:b/>
          <w:color w:val="1F4E79"/>
          <w:sz w:val="28"/>
        </w:rPr>
        <w:t>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7"/>
        <w:gridCol w:w="4867"/>
      </w:tblGrid>
      <w:tr>
        <w:tc>
          <w:tcPr>
            <w:tcW w:type="dxa" w:w="3024"/>
            <w:shd w:val="clear" w:color="auto" w:fill="DEEBF7"/>
          </w:tcPr>
          <w:p>
            <w:pPr>
              <w:spacing w:after="20" w:before="20"/>
            </w:pPr>
            <w:r/>
            <w:r>
              <w:rPr>
                <w:b/>
                <w:color w:val="1F4E79"/>
                <w:sz w:val="20"/>
              </w:rPr>
              <w:t>Client</w:t>
            </w:r>
          </w:p>
        </w:tc>
        <w:tc>
          <w:tcPr>
            <w:tcW w:type="dxa" w:w="6768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20"/>
              </w:rPr>
              <w:t>Stedman Pharmaceuticals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pPr>
              <w:spacing w:after="20" w:before="20"/>
            </w:pPr>
            <w:r/>
            <w:r>
              <w:rPr>
                <w:b/>
                <w:color w:val="1F4E79"/>
                <w:sz w:val="20"/>
              </w:rPr>
              <w:t>Vendor</w:t>
            </w:r>
          </w:p>
        </w:tc>
        <w:tc>
          <w:tcPr>
            <w:tcW w:type="dxa" w:w="6768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20"/>
              </w:rPr>
              <w:t>Kodivian Technologies LLP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pPr>
              <w:spacing w:after="20" w:before="20"/>
            </w:pPr>
            <w:r/>
            <w:r>
              <w:rPr>
                <w:b/>
                <w:color w:val="1F4E79"/>
                <w:sz w:val="20"/>
              </w:rPr>
              <w:t>Project Name</w:t>
            </w:r>
          </w:p>
        </w:tc>
        <w:tc>
          <w:tcPr>
            <w:tcW w:type="dxa" w:w="6768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20"/>
              </w:rPr>
              <w:t>Scanify – Scheme Management &amp; Stock Statement Entry Automation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pPr>
              <w:spacing w:after="20" w:before="20"/>
            </w:pPr>
            <w:r/>
            <w:r>
              <w:rPr>
                <w:b/>
                <w:color w:val="1F4E79"/>
                <w:sz w:val="20"/>
              </w:rPr>
              <w:t>Platform</w:t>
            </w:r>
          </w:p>
        </w:tc>
        <w:tc>
          <w:tcPr>
            <w:tcW w:type="dxa" w:w="6768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20"/>
              </w:rPr>
              <w:t>Frappe / MariaDB – Division-controlled web portal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pPr>
              <w:spacing w:after="20" w:before="20"/>
            </w:pPr>
            <w:r/>
            <w:r>
              <w:rPr>
                <w:b/>
                <w:color w:val="1F4E79"/>
                <w:sz w:val="20"/>
              </w:rPr>
              <w:t>SRS Baseline</w:t>
            </w:r>
          </w:p>
        </w:tc>
        <w:tc>
          <w:tcPr>
            <w:tcW w:type="dxa" w:w="6768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20"/>
              </w:rPr>
              <w:t>Release 1.1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pPr>
              <w:spacing w:after="20" w:before="20"/>
            </w:pPr>
            <w:r/>
            <w:r>
              <w:rPr>
                <w:b/>
                <w:color w:val="1F4E79"/>
                <w:sz w:val="20"/>
              </w:rPr>
              <w:t>Planned Duration</w:t>
            </w:r>
          </w:p>
        </w:tc>
        <w:tc>
          <w:tcPr>
            <w:tcW w:type="dxa" w:w="6768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20"/>
              </w:rPr>
              <w:t>[XX Weeks (XX Days)]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pPr>
              <w:spacing w:after="20" w:before="20"/>
            </w:pPr>
            <w:r/>
            <w:r>
              <w:rPr>
                <w:b/>
                <w:color w:val="1F4E79"/>
                <w:sz w:val="20"/>
              </w:rPr>
              <w:t>Actual Duration</w:t>
            </w:r>
          </w:p>
        </w:tc>
        <w:tc>
          <w:tcPr>
            <w:tcW w:type="dxa" w:w="6768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20"/>
              </w:rPr>
              <w:t>[XX Weeks (XX Days)]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pPr>
              <w:spacing w:after="20" w:before="20"/>
            </w:pPr>
            <w:r/>
            <w:r>
              <w:rPr>
                <w:b/>
                <w:color w:val="1F4E79"/>
                <w:sz w:val="20"/>
              </w:rPr>
              <w:t>Kickoff Date</w:t>
            </w:r>
          </w:p>
        </w:tc>
        <w:tc>
          <w:tcPr>
            <w:tcW w:type="dxa" w:w="6768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20"/>
              </w:rPr>
              <w:t>[DD-Mon-YYYY]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pPr>
              <w:spacing w:after="20" w:before="20"/>
            </w:pPr>
            <w:r/>
            <w:r>
              <w:rPr>
                <w:b/>
                <w:color w:val="1F4E79"/>
                <w:sz w:val="20"/>
              </w:rPr>
              <w:t>Completion Date</w:t>
            </w:r>
          </w:p>
        </w:tc>
        <w:tc>
          <w:tcPr>
            <w:tcW w:type="dxa" w:w="6768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20"/>
              </w:rPr>
              <w:t>[DD-Mon-YYYY]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pPr>
              <w:spacing w:after="20" w:before="20"/>
            </w:pPr>
            <w:r/>
            <w:r>
              <w:rPr>
                <w:b/>
                <w:color w:val="1F4E79"/>
                <w:sz w:val="20"/>
              </w:rPr>
              <w:t>UAT Sign-off</w:t>
            </w:r>
          </w:p>
        </w:tc>
        <w:tc>
          <w:tcPr>
            <w:tcW w:type="dxa" w:w="6768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20"/>
              </w:rPr>
              <w:t>[DD-Mon-YYYY]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pPr>
              <w:spacing w:after="20" w:before="20"/>
            </w:pPr>
            <w:r/>
            <w:r>
              <w:rPr>
                <w:b/>
                <w:color w:val="1F4E79"/>
                <w:sz w:val="20"/>
              </w:rPr>
              <w:t>Client Confirmation</w:t>
            </w:r>
          </w:p>
        </w:tc>
        <w:tc>
          <w:tcPr>
            <w:tcW w:type="dxa" w:w="6768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20"/>
              </w:rPr>
              <w:t>[DD-Mon-YYYY]</w:t>
            </w:r>
          </w:p>
        </w:tc>
      </w:tr>
    </w:tbl>
    <w:p>
      <w:pPr>
        <w:spacing w:before="240" w:after="80"/>
        <w:pBdr>
          <w:bottom w:val="single" w:sz="6" w:space="2" w:color="2E74B5"/>
        </w:pBdr>
      </w:pPr>
      <w:r>
        <w:rPr>
          <w:b/>
          <w:color w:val="1F4E79"/>
          <w:sz w:val="28"/>
        </w:rPr>
        <w:t>WHAT WAS DELIVERED</w:t>
      </w:r>
    </w:p>
    <w:p>
      <w:pPr>
        <w:pStyle w:val="ListBullet"/>
        <w:spacing w:after="60"/>
      </w:pPr>
      <w:r>
        <w:rPr>
          <w:b/>
          <w:color w:val="222222"/>
          <w:sz w:val="21"/>
        </w:rPr>
        <w:t xml:space="preserve">Scheme Management Module – </w:t>
      </w:r>
      <w:r>
        <w:rPr>
          <w:color w:val="222222"/>
          <w:sz w:val="21"/>
        </w:rPr>
        <w:t>Scheme entry with auto-generated scheme numbers and master-driven dropdowns, supporting-document uploads, and a submission → approval / reroute / reject workflow with comment capture. Status dashboard covering Approved, Pending, Rerouted, Rejected and Not Billed, with email alerts on Rerouted / Rejected.</w:t>
      </w:r>
    </w:p>
    <w:p>
      <w:pPr>
        <w:pStyle w:val="ListBullet"/>
        <w:spacing w:after="60"/>
      </w:pPr>
      <w:r>
        <w:rPr>
          <w:b/>
          <w:color w:val="222222"/>
          <w:sz w:val="21"/>
        </w:rPr>
        <w:t xml:space="preserve">Stock Statement Entry Automation – </w:t>
      </w:r>
      <w:r>
        <w:rPr>
          <w:color w:val="222222"/>
          <w:sz w:val="21"/>
        </w:rPr>
        <w:t>Multi-format upload (JPG, PNG, PDF, Excel, Word, txt) tagged by Stockist, Region and Month-Year, with a visual-compare validation and manual-correction screen before confirmation.</w:t>
      </w:r>
    </w:p>
    <w:p>
      <w:pPr>
        <w:pStyle w:val="ListBullet"/>
        <w:spacing w:after="60"/>
      </w:pPr>
      <w:r>
        <w:rPr>
          <w:b/>
          <w:color w:val="222222"/>
          <w:sz w:val="21"/>
        </w:rPr>
        <w:t xml:space="preserve">AI-Powered OCR &amp; Data Extraction – </w:t>
      </w:r>
      <w:r>
        <w:rPr>
          <w:color w:val="222222"/>
          <w:sz w:val="21"/>
        </w:rPr>
        <w:t>Extraction of product code, name, sales / closing quantity, sales return, branch sales, other transfer, free and scheme quantity, with AI fuzzy matching and layout identification.</w:t>
      </w:r>
    </w:p>
    <w:p>
      <w:pPr>
        <w:pStyle w:val="ListBullet"/>
        <w:spacing w:after="60"/>
      </w:pPr>
      <w:r>
        <w:rPr>
          <w:b/>
          <w:color w:val="222222"/>
          <w:sz w:val="21"/>
        </w:rPr>
        <w:t xml:space="preserve">Primary Sales Bulk Upload – </w:t>
      </w:r>
      <w:r>
        <w:rPr>
          <w:color w:val="222222"/>
          <w:sz w:val="21"/>
        </w:rPr>
        <w:t>Bulk primary-sales ingestion across Prima, Vektra, ASPR, Wellness and Other Sales.</w:t>
      </w:r>
    </w:p>
    <w:p>
      <w:pPr>
        <w:pStyle w:val="ListBullet"/>
        <w:spacing w:after="60"/>
      </w:pPr>
      <w:r>
        <w:rPr>
          <w:b/>
          <w:color w:val="222222"/>
          <w:sz w:val="21"/>
        </w:rPr>
        <w:t xml:space="preserve">Master Data Management – </w:t>
      </w:r>
      <w:r>
        <w:rPr>
          <w:color w:val="222222"/>
          <w:sz w:val="21"/>
        </w:rPr>
        <w:t>Doctor, Product, Stockist, HQ and the Sales Hierarchy master (ZSM → RSM → DRSM → ASM → SO), with Excel/CSV bulk import and admin activate / deactivate / reactivate controls.</w:t>
      </w:r>
    </w:p>
    <w:p>
      <w:pPr>
        <w:pStyle w:val="ListBullet"/>
        <w:spacing w:after="60"/>
      </w:pPr>
      <w:r>
        <w:rPr>
          <w:b/>
          <w:color w:val="222222"/>
          <w:sz w:val="21"/>
        </w:rPr>
        <w:t xml:space="preserve">Division-Controlled Portal – </w:t>
      </w:r>
      <w:r>
        <w:rPr>
          <w:color w:val="222222"/>
          <w:sz w:val="21"/>
        </w:rPr>
        <w:t>Migration of the Desk workspace to a custom www/ portal with a division setter / switcher that maintains session across the Division → Zone → Region → Team → HQ hierarchy.</w:t>
      </w:r>
    </w:p>
    <w:p>
      <w:pPr>
        <w:pStyle w:val="ListBullet"/>
        <w:spacing w:after="60"/>
      </w:pPr>
      <w:r>
        <w:rPr>
          <w:b/>
          <w:color w:val="222222"/>
          <w:sz w:val="21"/>
        </w:rPr>
        <w:t xml:space="preserve">Comprehensive Reporting &amp; Exports – </w:t>
      </w:r>
      <w:r>
        <w:rPr>
          <w:color w:val="222222"/>
          <w:sz w:val="21"/>
        </w:rPr>
        <w:t>Scheme and stock-statement report suites (incentive, ranking, moving-trend, growth, performance and secondary-vs-closing analytics on the PTS → PTR → MRP flow), organized into workspace batches with Excel / PDF export.</w:t>
      </w:r>
    </w:p>
    <w:p>
      <w:pPr>
        <w:pStyle w:val="ListBullet"/>
        <w:spacing w:after="60"/>
      </w:pPr>
      <w:r>
        <w:rPr>
          <w:b/>
          <w:color w:val="222222"/>
          <w:sz w:val="21"/>
        </w:rPr>
        <w:t xml:space="preserve">Role-Based Security &amp; Admin – </w:t>
      </w:r>
      <w:r>
        <w:rPr>
          <w:color w:val="222222"/>
          <w:sz w:val="21"/>
        </w:rPr>
        <w:t>Admin / approver / user roles, secure document storage, and full admin access to user accounts, plus an integrated AI chatbot for support redirection.</w:t>
      </w:r>
    </w:p>
    <w:p>
      <w:pPr>
        <w:spacing w:before="240" w:after="80"/>
        <w:pBdr>
          <w:bottom w:val="single" w:sz="6" w:space="2" w:color="2E74B5"/>
        </w:pBdr>
      </w:pPr>
      <w:r>
        <w:rPr>
          <w:b/>
          <w:color w:val="1F4E79"/>
          <w:sz w:val="28"/>
        </w:rPr>
        <w:t>IMPLEMENTATION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3"/>
        <w:gridCol w:w="2433"/>
        <w:gridCol w:w="2433"/>
        <w:gridCol w:w="2433"/>
      </w:tblGrid>
      <w:tr>
        <w:tc>
          <w:tcPr>
            <w:tcW w:type="dxa" w:w="2016"/>
            <w:shd w:val="clear" w:color="auto" w:fill="1F4E79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5040"/>
            <w:shd w:val="clear" w:color="auto" w:fill="1F4E79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584"/>
            <w:shd w:val="clear" w:color="auto" w:fill="1F4E79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224"/>
            <w:shd w:val="clear" w:color="auto" w:fill="1F4E79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Project Kickoff</w:t>
            </w:r>
          </w:p>
        </w:tc>
        <w:tc>
          <w:tcPr>
            <w:tcW w:type="dxa" w:w="5040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Requirements finalization &amp; SRS sign-off (Rel. 1.1)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[DD-Mon-YYYY]</w:t>
            </w:r>
          </w:p>
        </w:tc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Completed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Master Data</w:t>
            </w:r>
          </w:p>
        </w:tc>
        <w:tc>
          <w:tcPr>
            <w:tcW w:type="dxa" w:w="5040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Doctor, Product, Stockist, HQ &amp; Sales Hierarchy masters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[DD-Mon-YYYY]</w:t>
            </w:r>
          </w:p>
        </w:tc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Completed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Scheme Management</w:t>
            </w:r>
          </w:p>
        </w:tc>
        <w:tc>
          <w:tcPr>
            <w:tcW w:type="dxa" w:w="5040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Scheme entry, approval workflow, dashboard &amp; alerts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[DD-Mon-YYYY]</w:t>
            </w:r>
          </w:p>
        </w:tc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Completed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Stock Statement</w:t>
            </w:r>
          </w:p>
        </w:tc>
        <w:tc>
          <w:tcPr>
            <w:tcW w:type="dxa" w:w="5040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Multi-format upload, OCR/AI extraction &amp; validation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[DD-Mon-YYYY]</w:t>
            </w:r>
          </w:p>
        </w:tc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Completed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Primary Sales</w:t>
            </w:r>
          </w:p>
        </w:tc>
        <w:tc>
          <w:tcPr>
            <w:tcW w:type="dxa" w:w="5040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Bulk upload – Prima, Vektra, ASPR, Wellness, Other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[DD-Mon-YYYY]</w:t>
            </w:r>
          </w:p>
        </w:tc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Completed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Reporting Suite</w:t>
            </w:r>
          </w:p>
        </w:tc>
        <w:tc>
          <w:tcPr>
            <w:tcW w:type="dxa" w:w="5040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Scheme &amp; stock-statement reports with Excel/PDF export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[DD-Mon-YYYY]</w:t>
            </w:r>
          </w:p>
        </w:tc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Completed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Portal Migration</w:t>
            </w:r>
          </w:p>
        </w:tc>
        <w:tc>
          <w:tcPr>
            <w:tcW w:type="dxa" w:w="5040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Division-controlled www/ portal (Desk → Portal)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[DD-Mon-YYYY]</w:t>
            </w:r>
          </w:p>
        </w:tc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Completed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Security &amp; Roles</w:t>
            </w:r>
          </w:p>
        </w:tc>
        <w:tc>
          <w:tcPr>
            <w:tcW w:type="dxa" w:w="5040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Role-based access, admin panel, secure storage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[DD-Mon-YYYY]</w:t>
            </w:r>
          </w:p>
        </w:tc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Completed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Documentation</w:t>
            </w:r>
          </w:p>
        </w:tc>
        <w:tc>
          <w:tcPr>
            <w:tcW w:type="dxa" w:w="5040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SRS, user manuals &amp; training materials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[DD-Mon-YYYY]</w:t>
            </w:r>
          </w:p>
        </w:tc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Completed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Testing</w:t>
            </w:r>
          </w:p>
        </w:tc>
        <w:tc>
          <w:tcPr>
            <w:tcW w:type="dxa" w:w="5040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UAT completion &amp; sign-off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[DD-Mon-YYYY]</w:t>
            </w:r>
          </w:p>
        </w:tc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b w:val="0"/>
                <w:color w:val="222222"/>
                <w:sz w:val="19"/>
              </w:rPr>
              <w:t>Completed</w:t>
            </w:r>
          </w:p>
        </w:tc>
      </w:tr>
    </w:tbl>
    <w:p>
      <w:pPr>
        <w:spacing w:before="240" w:after="80"/>
        <w:pBdr>
          <w:bottom w:val="single" w:sz="6" w:space="2" w:color="2E74B5"/>
        </w:pBdr>
      </w:pPr>
      <w:r>
        <w:rPr>
          <w:b/>
          <w:color w:val="1F4E79"/>
          <w:sz w:val="28"/>
        </w:rPr>
        <w:t>ONGOING SUPPORT &amp; MAINTENANCE</w:t>
      </w:r>
    </w:p>
    <w:p>
      <w:pPr>
        <w:pStyle w:val="ListBullet"/>
        <w:spacing w:after="60"/>
      </w:pPr>
      <w:r>
        <w:rPr>
          <w:b/>
          <w:color w:val="222222"/>
          <w:sz w:val="21"/>
        </w:rPr>
        <w:t xml:space="preserve">Technical Support – </w:t>
      </w:r>
      <w:r>
        <w:rPr>
          <w:color w:val="222222"/>
          <w:sz w:val="21"/>
        </w:rPr>
        <w:t>Monitoring and issue resolution during the agreed support window.</w:t>
      </w:r>
    </w:p>
    <w:p>
      <w:pPr>
        <w:pStyle w:val="ListBullet"/>
        <w:spacing w:after="60"/>
      </w:pPr>
      <w:r>
        <w:rPr>
          <w:b/>
          <w:color w:val="222222"/>
          <w:sz w:val="21"/>
        </w:rPr>
        <w:t xml:space="preserve">Regular Maintenance – </w:t>
      </w:r>
      <w:r>
        <w:rPr>
          <w:color w:val="222222"/>
          <w:sz w:val="21"/>
        </w:rPr>
        <w:t>System updates and performance optimization.</w:t>
      </w:r>
    </w:p>
    <w:p>
      <w:pPr>
        <w:pStyle w:val="ListBullet"/>
        <w:spacing w:after="60"/>
      </w:pPr>
      <w:r>
        <w:rPr>
          <w:b/>
          <w:color w:val="222222"/>
          <w:sz w:val="21"/>
        </w:rPr>
        <w:t xml:space="preserve">Extended Support Services – </w:t>
      </w:r>
      <w:r>
        <w:rPr>
          <w:color w:val="222222"/>
          <w:sz w:val="21"/>
        </w:rPr>
        <w:t>Enhanced assistance for new requirements under a separate agreement.</w:t>
      </w:r>
    </w:p>
    <w:p>
      <w:pPr>
        <w:spacing w:before="240" w:after="80"/>
        <w:pBdr>
          <w:bottom w:val="single" w:sz="6" w:space="2" w:color="2E74B5"/>
        </w:pBdr>
      </w:pPr>
      <w:r>
        <w:rPr>
          <w:b/>
          <w:color w:val="1F4E79"/>
          <w:sz w:val="28"/>
        </w:rPr>
        <w:t>OPEN CHANGE REQUEST (CR) STATUS</w:t>
      </w:r>
    </w:p>
    <w:p>
      <w:pPr>
        <w:spacing w:before="0" w:after="80"/>
      </w:pPr>
      <w:r>
        <w:rPr>
          <w:b w:val="0"/>
          <w:i w:val="0"/>
          <w:color w:val="222222"/>
          <w:sz w:val="21"/>
        </w:rPr>
        <w:t>Functional capability delivered beyond the approved SRS (Release 1.1) has been documented as separate Change Requests and is handled as distinct CR activity, commercially finalized outside the original project scope.</w:t>
      </w:r>
    </w:p>
    <w:p>
      <w:pPr>
        <w:spacing w:before="0" w:after="40"/>
      </w:pPr>
      <w:r>
        <w:rPr>
          <w:b w:val="0"/>
          <w:i w:val="0"/>
          <w:color w:val="222222"/>
          <w:sz w:val="21"/>
        </w:rPr>
        <w:t>These include the Scheme Deduction Engine, Sales Target Module, Bulk Statement Processing, QC Validation Workflow, Self-Learning Product Mapping, Expanded Reporting Suite, Operational Data Utilities, Primary Sales Management, the Analytics Chatbot and Stock Statement Data Recovery (CR-01 to CR-10), along with the Portal Migration CR. Reference: [CR register / folder].</w:t>
      </w:r>
    </w:p>
    <w:p>
      <w:pPr>
        <w:spacing w:before="240" w:after="80"/>
        <w:pBdr>
          <w:bottom w:val="single" w:sz="6" w:space="2" w:color="2E74B5"/>
        </w:pBdr>
      </w:pPr>
      <w:r>
        <w:rPr>
          <w:b/>
          <w:color w:val="1F4E79"/>
          <w:sz w:val="28"/>
        </w:rPr>
        <w:t>PROJECT STATUS: SUCCESSFULLY CLOSED</w:t>
      </w:r>
    </w:p>
    <w:p>
      <w:pPr>
        <w:spacing w:before="0" w:after="40"/>
      </w:pPr>
      <w:r>
        <w:rPr>
          <w:b w:val="0"/>
          <w:i w:val="0"/>
          <w:color w:val="222222"/>
          <w:sz w:val="21"/>
        </w:rPr>
        <w:t>This project has been completed in line with the agreed scope and requirements. All deliverables have been handed over, User Acceptance Testing is complete with client sign-off, and the system is live in production. Kodivian Technologies LLP continues to provide support and maintenance services. [Adjust dates and sign-off details before issue.]</w:t>
      </w:r>
    </w:p>
    <w:sectPr w:rsidR="00FC693F" w:rsidRPr="0006063C" w:rsidSect="00034616">
      <w:footerReference w:type="default" r:id="rId9"/>
      <w:pgSz w:w="12240" w:h="15840"/>
      <w:pgMar w:top="1138" w:right="1253" w:bottom="1138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>Kodivian Technologies LLP  |  Confidential  –  Prepared for Stedman Pharmaceuticals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