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2E74B5"/>
          <w:sz w:val="26"/>
        </w:rPr>
        <w:t>KODIVIAN TECHNOLOGIES LLP</w:t>
      </w:r>
    </w:p>
    <w:p>
      <w:pPr>
        <w:spacing w:after="480"/>
        <w:jc w:val="center"/>
      </w:pPr>
      <w:r>
        <w:rPr>
          <w:b w:val="0"/>
          <w:i/>
          <w:color w:val="595959"/>
          <w:sz w:val="18"/>
        </w:rPr>
        <w:t>ISO 27001 Certified  |  A SS Group Company</w:t>
      </w:r>
    </w:p>
    <w:p/>
    <w:p/>
    <w:p>
      <w:pPr>
        <w:spacing w:after="80"/>
        <w:jc w:val="center"/>
      </w:pPr>
      <w:r>
        <w:rPr>
          <w:b/>
          <w:i w:val="0"/>
          <w:color w:val="1F4E79"/>
          <w:sz w:val="60"/>
        </w:rPr>
        <w:t>CHANGE REQUEST</w:t>
      </w:r>
    </w:p>
    <w:p>
      <w:pPr>
        <w:spacing w:after="400"/>
        <w:jc w:val="center"/>
      </w:pPr>
      <w:r>
        <w:rPr>
          <w:b/>
          <w:i w:val="0"/>
          <w:color w:val="2E74B5"/>
          <w:sz w:val="34"/>
        </w:rPr>
        <w:t>&amp; Implementation Proposal</w:t>
      </w:r>
    </w:p>
    <w:p>
      <w:pPr>
        <w:spacing w:after="40"/>
        <w:jc w:val="center"/>
      </w:pPr>
      <w:r>
        <w:rPr>
          <w:b/>
          <w:i w:val="0"/>
          <w:color w:val="222222"/>
          <w:sz w:val="26"/>
        </w:rPr>
        <w:t>Production Migration of the “Scanify” Platform</w:t>
      </w:r>
    </w:p>
    <w:p>
      <w:pPr>
        <w:spacing w:after="120"/>
        <w:jc w:val="center"/>
      </w:pPr>
      <w:r>
        <w:rPr>
          <w:b w:val="0"/>
          <w:i w:val="0"/>
          <w:color w:val="595959"/>
          <w:sz w:val="23"/>
        </w:rPr>
        <w:t>from Client Hyper-V (Windows Server) to a Dedicated Bluehost VPS</w:t>
      </w:r>
    </w:p>
    <w:p>
      <w:pPr>
        <w:spacing w:after="600"/>
        <w:jc w:val="center"/>
      </w:pPr>
      <w:r>
        <w:rPr>
          <w:b w:val="0"/>
          <w:i/>
          <w:color w:val="595959"/>
          <w:sz w:val="21"/>
        </w:rPr>
        <w:t>Scheme Management System &amp; Stock Statement Entry Automation</w:t>
      </w:r>
    </w:p>
    <w:p/>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1F4E79"/>
          </w:tcPr>
          <w:p>
            <w:r/>
            <w:r>
              <w:rPr>
                <w:rFonts w:ascii="Calibri" w:hAnsi="Calibri"/>
                <w:b/>
                <w:color w:val="FFFFFF"/>
                <w:sz w:val="20"/>
              </w:rPr>
              <w:t>Document Control</w:t>
            </w:r>
          </w:p>
        </w:tc>
        <w:tc>
          <w:tcPr>
            <w:tcW w:type="dxa" w:w="6048"/>
            <w:shd w:val="clear" w:color="auto" w:fill="1F4E79"/>
          </w:tcPr>
          <w:p>
            <w:r/>
            <w:r>
              <w:rPr>
                <w:rFonts w:ascii="Calibri" w:hAnsi="Calibri"/>
                <w:b/>
                <w:color w:val="FFFFFF"/>
                <w:sz w:val="20"/>
              </w:rPr>
            </w:r>
          </w:p>
        </w:tc>
      </w:tr>
      <w:tr>
        <w:tc>
          <w:tcPr>
            <w:tcW w:type="dxa" w:w="3312"/>
            <w:shd w:val="clear" w:color="auto" w:fill="DCE6F1"/>
          </w:tcPr>
          <w:p>
            <w:r>
              <w:rPr>
                <w:b/>
              </w:rPr>
            </w:r>
            <w:r>
              <w:rPr>
                <w:rFonts w:ascii="Calibri" w:hAnsi="Calibri"/>
                <w:b/>
                <w:sz w:val="20"/>
              </w:rPr>
              <w:t>Document Name</w:t>
            </w:r>
          </w:p>
        </w:tc>
        <w:tc>
          <w:tcPr>
            <w:tcW w:type="dxa" w:w="6048"/>
          </w:tcPr>
          <w:p>
            <w:r/>
            <w:r>
              <w:rPr>
                <w:rFonts w:ascii="Calibri" w:hAnsi="Calibri"/>
                <w:b w:val="0"/>
                <w:sz w:val="20"/>
              </w:rPr>
              <w:t>Change Request – Scanify Production Migration</w:t>
            </w:r>
          </w:p>
        </w:tc>
      </w:tr>
      <w:tr>
        <w:tc>
          <w:tcPr>
            <w:tcW w:type="dxa" w:w="3312"/>
            <w:shd w:val="clear" w:color="auto" w:fill="DCE6F1"/>
            <w:shd w:val="clear" w:color="auto" w:fill="DCE6F1"/>
          </w:tcPr>
          <w:p>
            <w:r>
              <w:rPr>
                <w:b/>
              </w:rPr>
            </w:r>
            <w:r>
              <w:rPr>
                <w:rFonts w:ascii="Calibri" w:hAnsi="Calibri"/>
                <w:b/>
                <w:sz w:val="20"/>
              </w:rPr>
              <w:t>CR Reference No.</w:t>
            </w:r>
          </w:p>
        </w:tc>
        <w:tc>
          <w:tcPr>
            <w:tcW w:type="dxa" w:w="6048"/>
            <w:shd w:val="clear" w:color="auto" w:fill="DCE6F1"/>
          </w:tcPr>
          <w:p>
            <w:r/>
            <w:r>
              <w:rPr>
                <w:rFonts w:ascii="Calibri" w:hAnsi="Calibri"/>
                <w:b w:val="0"/>
                <w:sz w:val="20"/>
              </w:rPr>
              <w:t>KT/STED/CR-001</w:t>
            </w:r>
          </w:p>
        </w:tc>
      </w:tr>
      <w:tr>
        <w:tc>
          <w:tcPr>
            <w:tcW w:type="dxa" w:w="3312"/>
            <w:shd w:val="clear" w:color="auto" w:fill="DCE6F1"/>
          </w:tcPr>
          <w:p>
            <w:r>
              <w:rPr>
                <w:b/>
              </w:rPr>
            </w:r>
            <w:r>
              <w:rPr>
                <w:rFonts w:ascii="Calibri" w:hAnsi="Calibri"/>
                <w:b/>
                <w:sz w:val="20"/>
              </w:rPr>
              <w:t>Release No.</w:t>
            </w:r>
          </w:p>
        </w:tc>
        <w:tc>
          <w:tcPr>
            <w:tcW w:type="dxa" w:w="6048"/>
          </w:tcPr>
          <w:p>
            <w:r/>
            <w:r>
              <w:rPr>
                <w:rFonts w:ascii="Calibri" w:hAnsi="Calibri"/>
                <w:b w:val="0"/>
                <w:sz w:val="20"/>
              </w:rPr>
              <w:t>1.0</w:t>
            </w:r>
          </w:p>
        </w:tc>
      </w:tr>
      <w:tr>
        <w:tc>
          <w:tcPr>
            <w:tcW w:type="dxa" w:w="3312"/>
            <w:shd w:val="clear" w:color="auto" w:fill="DCE6F1"/>
            <w:shd w:val="clear" w:color="auto" w:fill="DCE6F1"/>
          </w:tcPr>
          <w:p>
            <w:r>
              <w:rPr>
                <w:b/>
              </w:rPr>
            </w:r>
            <w:r>
              <w:rPr>
                <w:rFonts w:ascii="Calibri" w:hAnsi="Calibri"/>
                <w:b/>
                <w:sz w:val="20"/>
              </w:rPr>
              <w:t>Date of Release</w:t>
            </w:r>
          </w:p>
        </w:tc>
        <w:tc>
          <w:tcPr>
            <w:tcW w:type="dxa" w:w="6048"/>
            <w:shd w:val="clear" w:color="auto" w:fill="DCE6F1"/>
          </w:tcPr>
          <w:p>
            <w:r/>
            <w:r>
              <w:rPr>
                <w:rFonts w:ascii="Calibri" w:hAnsi="Calibri"/>
                <w:b w:val="0"/>
                <w:sz w:val="20"/>
              </w:rPr>
              <w:t>2nd July 2026</w:t>
            </w:r>
          </w:p>
        </w:tc>
      </w:tr>
      <w:tr>
        <w:tc>
          <w:tcPr>
            <w:tcW w:type="dxa" w:w="3312"/>
            <w:shd w:val="clear" w:color="auto" w:fill="DCE6F1"/>
          </w:tcPr>
          <w:p>
            <w:r>
              <w:rPr>
                <w:b/>
              </w:rPr>
            </w:r>
            <w:r>
              <w:rPr>
                <w:rFonts w:ascii="Calibri" w:hAnsi="Calibri"/>
                <w:b/>
                <w:sz w:val="20"/>
              </w:rPr>
              <w:t>Client</w:t>
            </w:r>
          </w:p>
        </w:tc>
        <w:tc>
          <w:tcPr>
            <w:tcW w:type="dxa" w:w="6048"/>
          </w:tcPr>
          <w:p>
            <w:r/>
            <w:r>
              <w:rPr>
                <w:rFonts w:ascii="Calibri" w:hAnsi="Calibri"/>
                <w:b w:val="0"/>
                <w:sz w:val="20"/>
              </w:rPr>
              <w:t>Stedman Pharmaceuticals</w:t>
            </w:r>
          </w:p>
        </w:tc>
      </w:tr>
      <w:tr>
        <w:tc>
          <w:tcPr>
            <w:tcW w:type="dxa" w:w="3312"/>
            <w:shd w:val="clear" w:color="auto" w:fill="DCE6F1"/>
            <w:shd w:val="clear" w:color="auto" w:fill="DCE6F1"/>
          </w:tcPr>
          <w:p>
            <w:r>
              <w:rPr>
                <w:b/>
              </w:rPr>
            </w:r>
            <w:r>
              <w:rPr>
                <w:rFonts w:ascii="Calibri" w:hAnsi="Calibri"/>
                <w:b/>
                <w:sz w:val="20"/>
              </w:rPr>
              <w:t>Prepared By</w:t>
            </w:r>
          </w:p>
        </w:tc>
        <w:tc>
          <w:tcPr>
            <w:tcW w:type="dxa" w:w="6048"/>
            <w:shd w:val="clear" w:color="auto" w:fill="DCE6F1"/>
          </w:tcPr>
          <w:p>
            <w:r/>
            <w:r>
              <w:rPr>
                <w:rFonts w:ascii="Calibri" w:hAnsi="Calibri"/>
                <w:b w:val="0"/>
                <w:sz w:val="20"/>
              </w:rPr>
              <w:t>Kodivian Technologies LLP</w:t>
            </w:r>
          </w:p>
        </w:tc>
      </w:tr>
      <w:tr>
        <w:tc>
          <w:tcPr>
            <w:tcW w:type="dxa" w:w="3312"/>
            <w:shd w:val="clear" w:color="auto" w:fill="DCE6F1"/>
          </w:tcPr>
          <w:p>
            <w:r>
              <w:rPr>
                <w:b/>
              </w:rPr>
            </w:r>
            <w:r>
              <w:rPr>
                <w:rFonts w:ascii="Calibri" w:hAnsi="Calibri"/>
                <w:b/>
                <w:sz w:val="20"/>
              </w:rPr>
              <w:t>Reviewed By</w:t>
            </w:r>
          </w:p>
        </w:tc>
        <w:tc>
          <w:tcPr>
            <w:tcW w:type="dxa" w:w="6048"/>
          </w:tcPr>
          <w:p>
            <w:r/>
            <w:r>
              <w:rPr>
                <w:rFonts w:ascii="Calibri" w:hAnsi="Calibri"/>
                <w:b w:val="0"/>
                <w:sz w:val="20"/>
              </w:rPr>
              <w:t>Vijay Sabari</w:t>
            </w:r>
          </w:p>
        </w:tc>
      </w:tr>
      <w:tr>
        <w:tc>
          <w:tcPr>
            <w:tcW w:type="dxa" w:w="3312"/>
            <w:shd w:val="clear" w:color="auto" w:fill="DCE6F1"/>
            <w:shd w:val="clear" w:color="auto" w:fill="DCE6F1"/>
          </w:tcPr>
          <w:p>
            <w:r>
              <w:rPr>
                <w:b/>
              </w:rPr>
            </w:r>
            <w:r>
              <w:rPr>
                <w:rFonts w:ascii="Calibri" w:hAnsi="Calibri"/>
                <w:b/>
                <w:sz w:val="20"/>
              </w:rPr>
              <w:t>Approved By</w:t>
            </w:r>
          </w:p>
        </w:tc>
        <w:tc>
          <w:tcPr>
            <w:tcW w:type="dxa" w:w="6048"/>
            <w:shd w:val="clear" w:color="auto" w:fill="DCE6F1"/>
          </w:tcPr>
          <w:p>
            <w:r/>
            <w:r>
              <w:rPr>
                <w:rFonts w:ascii="Calibri" w:hAnsi="Calibri"/>
                <w:b w:val="0"/>
                <w:sz w:val="20"/>
              </w:rPr>
              <w:t>________________________</w:t>
            </w:r>
          </w:p>
        </w:tc>
      </w:tr>
      <w:tr>
        <w:tc>
          <w:tcPr>
            <w:tcW w:type="dxa" w:w="3312"/>
            <w:shd w:val="clear" w:color="auto" w:fill="DCE6F1"/>
          </w:tcPr>
          <w:p>
            <w:r>
              <w:rPr>
                <w:b/>
              </w:rPr>
            </w:r>
            <w:r>
              <w:rPr>
                <w:rFonts w:ascii="Calibri" w:hAnsi="Calibri"/>
                <w:b/>
                <w:sz w:val="20"/>
              </w:rPr>
              <w:t>Approved Date</w:t>
            </w:r>
          </w:p>
        </w:tc>
        <w:tc>
          <w:tcPr>
            <w:tcW w:type="dxa" w:w="6048"/>
          </w:tcPr>
          <w:p>
            <w:r/>
            <w:r>
              <w:rPr>
                <w:rFonts w:ascii="Calibri" w:hAnsi="Calibri"/>
                <w:b w:val="0"/>
                <w:sz w:val="20"/>
              </w:rPr>
              <w:t>________________________</w:t>
            </w:r>
          </w:p>
        </w:tc>
      </w:tr>
    </w:tbl>
    <w:p>
      <w:r>
        <w:br w:type="page"/>
      </w:r>
    </w:p>
    <w:p>
      <w:pPr>
        <w:pStyle w:val="Heading1"/>
      </w:pPr>
      <w:r>
        <w:t>1. Purpose of this Change Request</w:t>
      </w:r>
    </w:p>
    <w:p>
      <w:pPr>
        <w:spacing w:after="120"/>
      </w:pPr>
      <w:r>
        <w:rPr>
          <w:b w:val="0"/>
          <w:i w:val="0"/>
          <w:sz w:val="21"/>
        </w:rPr>
        <w:t>This Change Request (CR) is raised by Kodivian Technologies LLP for Stedman Pharmaceuticals to formally document, scope, estimate and obtain approval for the migration of the “Scanify” application from the client’s existing on-premise Hyper-V virtual machine (Windows Server) to a dedicated, internet-facing Bluehost Virtual Private Server (VPS).</w:t>
      </w:r>
    </w:p>
    <w:p>
      <w:pPr>
        <w:spacing w:after="120"/>
      </w:pPr>
      <w:r>
        <w:rPr>
          <w:b w:val="0"/>
          <w:i w:val="0"/>
          <w:sz w:val="21"/>
        </w:rPr>
        <w:t>The Sales / Stock Statement module of Scanify is already live and in active production use on the client’s Hyper-V environment. Kodivian is now delivering the new Scheme Management application, which will be accessed concurrently by a significantly larger base of field and office users (Sales Hierarchy – ZSM, RSM, DRSM, ASM, SO across Divisions, Zones, Regions, Teams and HQs). The current single Hyper-V VM does not have the compute, memory or concurrency headroom to reliably serve both modules for this expanded user base.</w:t>
      </w:r>
    </w:p>
    <w:p>
      <w:pPr>
        <w:spacing w:after="120"/>
      </w:pPr>
      <w:r>
        <w:rPr>
          <w:b w:val="0"/>
          <w:i w:val="0"/>
          <w:sz w:val="21"/>
        </w:rPr>
        <w:t>Accordingly, this CR covers the provisioning and hardening of the new production environment and the complete, zero-data-loss migration and go-live of the full Scanify platform (Sales module + Scheme Management module) onto the new VPS.</w:t>
      </w:r>
    </w:p>
    <w:p>
      <w:pPr>
        <w:pBdr>
          <w:bottom w:val="single" w:sz="6" w:space="1" w:color="BFBFBF"/>
        </w:pBdr>
      </w:pPr>
    </w:p>
    <w:p>
      <w:pPr>
        <w:pStyle w:val="Heading1"/>
      </w:pPr>
      <w:r>
        <w:t>2. Background &amp; Current Environment</w:t>
      </w:r>
    </w:p>
    <w:p>
      <w:pPr>
        <w:spacing w:after="120"/>
      </w:pPr>
      <w:r>
        <w:rPr>
          <w:b w:val="0"/>
          <w:i w:val="0"/>
          <w:sz w:val="21"/>
        </w:rPr>
        <w:t>Scanify is a division-controlled Frappe/ERPNext-based platform built by Kodivian for Stedman Pharmaceuticals, covering two business capabilities defined in the approved SRS (Rel. 1.1): Scheme Management (request – approval – tracking) and Stock Statement Entry Automation (OCR/AI-assisted extraction, validation and MIS reporting).</w:t>
      </w:r>
    </w:p>
    <w:p>
      <w:pPr>
        <w:spacing w:after="60"/>
      </w:pPr>
      <w:r>
        <w:rPr>
          <w:b/>
          <w:i w:val="0"/>
          <w:sz w:val="21"/>
        </w:rPr>
        <w:t>Current production state:</w:t>
      </w:r>
    </w:p>
    <w:p>
      <w:pPr>
        <w:pStyle w:val="ListBullet"/>
        <w:spacing w:after="60"/>
      </w:pPr>
      <w:r>
        <w:rPr>
          <w:b/>
          <w:sz w:val="21"/>
        </w:rPr>
        <w:t xml:space="preserve">Live today – </w:t>
      </w:r>
      <w:r>
        <w:rPr>
          <w:sz w:val="21"/>
        </w:rPr>
        <w:t>The Stock Statement / Sales module is LIVE and in daily production use.</w:t>
      </w:r>
    </w:p>
    <w:p>
      <w:pPr>
        <w:pStyle w:val="ListBullet"/>
        <w:spacing w:after="60"/>
      </w:pPr>
      <w:r>
        <w:rPr>
          <w:sz w:val="21"/>
        </w:rPr>
        <w:t>It runs inside a single Windows Server virtual machine on the client’s on-premise Hyper-V host.</w:t>
      </w:r>
    </w:p>
    <w:p>
      <w:pPr>
        <w:pStyle w:val="ListBullet"/>
        <w:spacing w:after="60"/>
      </w:pPr>
      <w:r>
        <w:rPr>
          <w:sz w:val="21"/>
        </w:rPr>
        <w:t>Access is presently limited and internal; the environment was sized for the initial sales workload only.</w:t>
      </w:r>
    </w:p>
    <w:p>
      <w:pPr>
        <w:pStyle w:val="ListBullet"/>
        <w:spacing w:after="60"/>
      </w:pPr>
      <w:r>
        <w:rPr>
          <w:sz w:val="21"/>
        </w:rPr>
        <w:t>The platform is division-controlled, with the session-level division switcher governing data access across the Division → Zone → Region → Team → HQ hierarchy.</w:t>
      </w:r>
    </w:p>
    <w:p>
      <w:pPr>
        <w:spacing w:after="60"/>
      </w:pPr>
      <w:r>
        <w:rPr>
          <w:b/>
          <w:i w:val="0"/>
          <w:sz w:val="21"/>
        </w:rPr>
        <w:t>Current environment (as-is):</w:t>
      </w:r>
    </w:p>
    <w:tbl>
      <w:tblPr>
        <w:tblStyle w:val="TableGrid"/>
        <w:tblW w:type="auto" w:w="0"/>
        <w:jc w:val="center"/>
        <w:tblLook w:firstColumn="1" w:firstRow="1" w:lastColumn="0" w:lastRow="0" w:noHBand="0" w:noVBand="1" w:val="04A0"/>
      </w:tblPr>
      <w:tblGrid>
        <w:gridCol w:w="4873"/>
        <w:gridCol w:w="4873"/>
      </w:tblGrid>
      <w:tr>
        <w:tc>
          <w:tcPr>
            <w:tcW w:type="dxa" w:w="3024"/>
            <w:shd w:val="clear" w:color="auto" w:fill="1F4E79"/>
          </w:tcPr>
          <w:p>
            <w:r/>
            <w:r>
              <w:rPr>
                <w:rFonts w:ascii="Calibri" w:hAnsi="Calibri"/>
                <w:b/>
                <w:color w:val="FFFFFF"/>
                <w:sz w:val="20"/>
              </w:rPr>
              <w:t>Parameter</w:t>
            </w:r>
          </w:p>
        </w:tc>
        <w:tc>
          <w:tcPr>
            <w:tcW w:type="dxa" w:w="6336"/>
            <w:shd w:val="clear" w:color="auto" w:fill="1F4E79"/>
          </w:tcPr>
          <w:p>
            <w:r/>
            <w:r>
              <w:rPr>
                <w:rFonts w:ascii="Calibri" w:hAnsi="Calibri"/>
                <w:b/>
                <w:color w:val="FFFFFF"/>
                <w:sz w:val="20"/>
              </w:rPr>
              <w:t>Existing Hyper-V VM (As-Is)</w:t>
            </w:r>
          </w:p>
        </w:tc>
      </w:tr>
      <w:tr>
        <w:tc>
          <w:tcPr>
            <w:tcW w:type="dxa" w:w="3024"/>
          </w:tcPr>
          <w:p>
            <w:r/>
            <w:r>
              <w:rPr>
                <w:rFonts w:ascii="Calibri" w:hAnsi="Calibri"/>
                <w:b w:val="0"/>
                <w:sz w:val="20"/>
              </w:rPr>
              <w:t>Hosting model</w:t>
            </w:r>
          </w:p>
        </w:tc>
        <w:tc>
          <w:tcPr>
            <w:tcW w:type="dxa" w:w="6336"/>
          </w:tcPr>
          <w:p>
            <w:r/>
            <w:r>
              <w:rPr>
                <w:rFonts w:ascii="Calibri" w:hAnsi="Calibri"/>
                <w:b w:val="0"/>
                <w:sz w:val="20"/>
              </w:rPr>
              <w:t>On-premise, Windows Server guest on client Hyper-V host</w:t>
            </w:r>
          </w:p>
        </w:tc>
      </w:tr>
      <w:tr>
        <w:tc>
          <w:tcPr>
            <w:tcW w:type="dxa" w:w="3024"/>
            <w:shd w:val="clear" w:color="auto" w:fill="DCE6F1"/>
          </w:tcPr>
          <w:p>
            <w:r/>
            <w:r>
              <w:rPr>
                <w:rFonts w:ascii="Calibri" w:hAnsi="Calibri"/>
                <w:b w:val="0"/>
                <w:sz w:val="20"/>
              </w:rPr>
              <w:t>Accessibility</w:t>
            </w:r>
          </w:p>
        </w:tc>
        <w:tc>
          <w:tcPr>
            <w:tcW w:type="dxa" w:w="6336"/>
            <w:shd w:val="clear" w:color="auto" w:fill="DCE6F1"/>
          </w:tcPr>
          <w:p>
            <w:r/>
            <w:r>
              <w:rPr>
                <w:rFonts w:ascii="Calibri" w:hAnsi="Calibri"/>
                <w:b w:val="0"/>
                <w:sz w:val="20"/>
              </w:rPr>
              <w:t>Internal / limited; not provisioned for wide concurrent access</w:t>
            </w:r>
          </w:p>
        </w:tc>
      </w:tr>
      <w:tr>
        <w:tc>
          <w:tcPr>
            <w:tcW w:type="dxa" w:w="3024"/>
          </w:tcPr>
          <w:p>
            <w:r/>
            <w:r>
              <w:rPr>
                <w:rFonts w:ascii="Calibri" w:hAnsi="Calibri"/>
                <w:b w:val="0"/>
                <w:sz w:val="20"/>
              </w:rPr>
              <w:t>Workload served</w:t>
            </w:r>
          </w:p>
        </w:tc>
        <w:tc>
          <w:tcPr>
            <w:tcW w:type="dxa" w:w="6336"/>
          </w:tcPr>
          <w:p>
            <w:r/>
            <w:r>
              <w:rPr>
                <w:rFonts w:ascii="Calibri" w:hAnsi="Calibri"/>
                <w:b w:val="0"/>
                <w:sz w:val="20"/>
              </w:rPr>
              <w:t>Sales / Stock Statement module only</w:t>
            </w:r>
          </w:p>
        </w:tc>
      </w:tr>
      <w:tr>
        <w:tc>
          <w:tcPr>
            <w:tcW w:type="dxa" w:w="3024"/>
            <w:shd w:val="clear" w:color="auto" w:fill="DCE6F1"/>
          </w:tcPr>
          <w:p>
            <w:r/>
            <w:r>
              <w:rPr>
                <w:rFonts w:ascii="Calibri" w:hAnsi="Calibri"/>
                <w:b w:val="0"/>
                <w:sz w:val="20"/>
              </w:rPr>
              <w:t>Constraint</w:t>
            </w:r>
          </w:p>
        </w:tc>
        <w:tc>
          <w:tcPr>
            <w:tcW w:type="dxa" w:w="6336"/>
            <w:shd w:val="clear" w:color="auto" w:fill="DCE6F1"/>
          </w:tcPr>
          <w:p>
            <w:r/>
            <w:r>
              <w:rPr>
                <w:rFonts w:ascii="Calibri" w:hAnsi="Calibri"/>
                <w:b w:val="0"/>
                <w:sz w:val="20"/>
              </w:rPr>
              <w:t>Insufficient CPU/RAM/concurrency headroom for the additional Scheme module and larger user base</w:t>
            </w:r>
          </w:p>
        </w:tc>
      </w:tr>
      <w:tr>
        <w:tc>
          <w:tcPr>
            <w:tcW w:type="dxa" w:w="3024"/>
          </w:tcPr>
          <w:p>
            <w:r/>
            <w:r>
              <w:rPr>
                <w:rFonts w:ascii="Calibri" w:hAnsi="Calibri"/>
                <w:b w:val="0"/>
                <w:sz w:val="20"/>
              </w:rPr>
              <w:t>Scalability</w:t>
            </w:r>
          </w:p>
        </w:tc>
        <w:tc>
          <w:tcPr>
            <w:tcW w:type="dxa" w:w="6336"/>
          </w:tcPr>
          <w:p>
            <w:r/>
            <w:r>
              <w:rPr>
                <w:rFonts w:ascii="Calibri" w:hAnsi="Calibri"/>
                <w:b w:val="0"/>
                <w:sz w:val="20"/>
              </w:rPr>
              <w:t>Bound by shared Hyper-V host resources; limited elastic growth</w:t>
            </w:r>
          </w:p>
        </w:tc>
      </w:tr>
    </w:tbl>
    <w:p>
      <w:pPr>
        <w:pBdr>
          <w:bottom w:val="single" w:sz="6" w:space="1" w:color="BFBFBF"/>
        </w:pBdr>
      </w:pPr>
    </w:p>
    <w:p>
      <w:pPr>
        <w:pStyle w:val="Heading1"/>
      </w:pPr>
      <w:r>
        <w:t>3. Business Justification (Reason for Change)</w:t>
      </w:r>
    </w:p>
    <w:p>
      <w:pPr>
        <w:spacing w:after="120"/>
      </w:pPr>
      <w:r>
        <w:rPr>
          <w:b w:val="0"/>
          <w:i w:val="0"/>
          <w:sz w:val="21"/>
        </w:rPr>
        <w:t>The introduction of the Scheme Management application materially changes the sizing and availability requirements of the platform:</w:t>
      </w:r>
    </w:p>
    <w:p>
      <w:pPr>
        <w:pStyle w:val="ListBullet"/>
        <w:spacing w:after="60"/>
      </w:pPr>
      <w:r>
        <w:rPr>
          <w:sz w:val="21"/>
        </w:rPr>
        <w:t>A substantially larger number of concurrent users (multi-level sales hierarchy across divisions and regions) will access the system for scheme entry, approvals, reroutes, dashboards and reporting.</w:t>
      </w:r>
    </w:p>
    <w:p>
      <w:pPr>
        <w:pStyle w:val="ListBullet"/>
        <w:spacing w:after="60"/>
      </w:pPr>
      <w:r>
        <w:rPr>
          <w:sz w:val="21"/>
        </w:rPr>
        <w:t>The Scheme workflow (submission – approval – reroute – rejection), real-time master-data validation, document uploads and email notifications add continuous, interactive load on top of the existing sales workload.</w:t>
      </w:r>
    </w:p>
    <w:p>
      <w:pPr>
        <w:pStyle w:val="ListBullet"/>
        <w:spacing w:after="60"/>
      </w:pPr>
      <w:r>
        <w:rPr>
          <w:sz w:val="21"/>
        </w:rPr>
        <w:t>OCR/AI extraction and reporting jobs are compute- and memory-intensive and compete with interactive traffic on the current VM.</w:t>
      </w:r>
    </w:p>
    <w:p>
      <w:pPr>
        <w:pStyle w:val="ListBullet"/>
        <w:spacing w:after="60"/>
      </w:pPr>
      <w:r>
        <w:rPr>
          <w:sz w:val="21"/>
        </w:rPr>
        <w:t>The existing Hyper-V VM cannot reliably absorb this combined load, creating a risk of degraded performance, timeouts and instability for the already-live sales users.</w:t>
      </w:r>
    </w:p>
    <w:p>
      <w:pPr>
        <w:pStyle w:val="ListBullet"/>
        <w:spacing w:after="60"/>
      </w:pPr>
      <w:r>
        <w:rPr>
          <w:sz w:val="21"/>
        </w:rPr>
        <w:t>A dedicated, right-sized, internet-facing production server is required to take the entire platform fully live, with proper isolation, security and room to grow.</w:t>
      </w:r>
    </w:p>
    <w:p>
      <w:pPr>
        <w:spacing w:after="120"/>
      </w:pPr>
      <w:r>
        <w:rPr>
          <w:b/>
          <w:i w:val="0"/>
          <w:sz w:val="21"/>
        </w:rPr>
        <w:t>Migrating to a dedicated Bluehost VPS resolves these constraints, consolidates both modules onto a single purpose-built production node, and enables a controlled, complete go-live of Scanify.</w:t>
      </w:r>
    </w:p>
    <w:p>
      <w:pPr>
        <w:pBdr>
          <w:bottom w:val="single" w:sz="6" w:space="1" w:color="BFBFBF"/>
        </w:pBdr>
      </w:pPr>
    </w:p>
    <w:p>
      <w:pPr>
        <w:pStyle w:val="Heading1"/>
      </w:pPr>
      <w:r>
        <w:t>4. Proposed Change – Target Environment</w:t>
      </w:r>
    </w:p>
    <w:p>
      <w:pPr>
        <w:spacing w:after="120"/>
      </w:pPr>
      <w:r>
        <w:rPr>
          <w:b w:val="0"/>
          <w:i w:val="0"/>
          <w:sz w:val="21"/>
        </w:rPr>
        <w:t>Kodivian will provision, harden and configure a dedicated Bluehost VPS as the new production home for the complete Scanify platform, and migrate all application code, configuration and data from the Hyper-V VM onto it.</w:t>
      </w:r>
    </w:p>
    <w:tbl>
      <w:tblPr>
        <w:tblStyle w:val="TableGrid"/>
        <w:tblW w:type="auto" w:w="0"/>
        <w:jc w:val="center"/>
        <w:tblLook w:firstColumn="1" w:firstRow="1" w:lastColumn="0" w:lastRow="0" w:noHBand="0" w:noVBand="1" w:val="04A0"/>
      </w:tblPr>
      <w:tblGrid>
        <w:gridCol w:w="4873"/>
        <w:gridCol w:w="4873"/>
      </w:tblGrid>
      <w:tr>
        <w:tc>
          <w:tcPr>
            <w:tcW w:type="dxa" w:w="3024"/>
            <w:shd w:val="clear" w:color="auto" w:fill="1F4E79"/>
          </w:tcPr>
          <w:p>
            <w:r/>
            <w:r>
              <w:rPr>
                <w:rFonts w:ascii="Calibri" w:hAnsi="Calibri"/>
                <w:b/>
                <w:color w:val="FFFFFF"/>
                <w:sz w:val="20"/>
              </w:rPr>
              <w:t>Parameter</w:t>
            </w:r>
          </w:p>
        </w:tc>
        <w:tc>
          <w:tcPr>
            <w:tcW w:type="dxa" w:w="6336"/>
            <w:shd w:val="clear" w:color="auto" w:fill="1F4E79"/>
          </w:tcPr>
          <w:p>
            <w:r/>
            <w:r>
              <w:rPr>
                <w:rFonts w:ascii="Calibri" w:hAnsi="Calibri"/>
                <w:b/>
                <w:color w:val="FFFFFF"/>
                <w:sz w:val="20"/>
              </w:rPr>
              <w:t>Target Bluehost VPS (To-Be)</w:t>
            </w:r>
          </w:p>
        </w:tc>
      </w:tr>
      <w:tr>
        <w:tc>
          <w:tcPr>
            <w:tcW w:type="dxa" w:w="3024"/>
          </w:tcPr>
          <w:p>
            <w:r/>
            <w:r>
              <w:rPr>
                <w:rFonts w:ascii="Calibri" w:hAnsi="Calibri"/>
                <w:b w:val="0"/>
                <w:sz w:val="20"/>
              </w:rPr>
              <w:t>Hosting model</w:t>
            </w:r>
          </w:p>
        </w:tc>
        <w:tc>
          <w:tcPr>
            <w:tcW w:type="dxa" w:w="6336"/>
          </w:tcPr>
          <w:p>
            <w:r/>
            <w:r>
              <w:rPr>
                <w:rFonts w:ascii="Calibri" w:hAnsi="Calibri"/>
                <w:b w:val="0"/>
                <w:sz w:val="20"/>
              </w:rPr>
              <w:t>Dedicated VPS on Bluehost (cloud, internet-facing)</w:t>
            </w:r>
          </w:p>
        </w:tc>
      </w:tr>
      <w:tr>
        <w:tc>
          <w:tcPr>
            <w:tcW w:type="dxa" w:w="3024"/>
            <w:shd w:val="clear" w:color="auto" w:fill="DCE6F1"/>
          </w:tcPr>
          <w:p>
            <w:r/>
            <w:r>
              <w:rPr>
                <w:rFonts w:ascii="Calibri" w:hAnsi="Calibri"/>
                <w:b w:val="0"/>
                <w:sz w:val="20"/>
              </w:rPr>
              <w:t>vCPU</w:t>
            </w:r>
          </w:p>
        </w:tc>
        <w:tc>
          <w:tcPr>
            <w:tcW w:type="dxa" w:w="6336"/>
            <w:shd w:val="clear" w:color="auto" w:fill="DCE6F1"/>
          </w:tcPr>
          <w:p>
            <w:r/>
            <w:r>
              <w:rPr>
                <w:rFonts w:ascii="Calibri" w:hAnsi="Calibri"/>
                <w:b w:val="0"/>
                <w:sz w:val="20"/>
              </w:rPr>
              <w:t>4 cores</w:t>
            </w:r>
          </w:p>
        </w:tc>
      </w:tr>
      <w:tr>
        <w:tc>
          <w:tcPr>
            <w:tcW w:type="dxa" w:w="3024"/>
          </w:tcPr>
          <w:p>
            <w:r/>
            <w:r>
              <w:rPr>
                <w:rFonts w:ascii="Calibri" w:hAnsi="Calibri"/>
                <w:b w:val="0"/>
                <w:sz w:val="20"/>
              </w:rPr>
              <w:t>Memory (RAM)</w:t>
            </w:r>
          </w:p>
        </w:tc>
        <w:tc>
          <w:tcPr>
            <w:tcW w:type="dxa" w:w="6336"/>
          </w:tcPr>
          <w:p>
            <w:r/>
            <w:r>
              <w:rPr>
                <w:rFonts w:ascii="Calibri" w:hAnsi="Calibri"/>
                <w:b w:val="0"/>
                <w:sz w:val="20"/>
              </w:rPr>
              <w:t>8 GB</w:t>
            </w:r>
          </w:p>
        </w:tc>
      </w:tr>
      <w:tr>
        <w:tc>
          <w:tcPr>
            <w:tcW w:type="dxa" w:w="3024"/>
            <w:shd w:val="clear" w:color="auto" w:fill="DCE6F1"/>
          </w:tcPr>
          <w:p>
            <w:r/>
            <w:r>
              <w:rPr>
                <w:rFonts w:ascii="Calibri" w:hAnsi="Calibri"/>
                <w:b w:val="0"/>
                <w:sz w:val="20"/>
              </w:rPr>
              <w:t>Operating system</w:t>
            </w:r>
          </w:p>
        </w:tc>
        <w:tc>
          <w:tcPr>
            <w:tcW w:type="dxa" w:w="6336"/>
            <w:shd w:val="clear" w:color="auto" w:fill="DCE6F1"/>
          </w:tcPr>
          <w:p>
            <w:r/>
            <w:r>
              <w:rPr>
                <w:rFonts w:ascii="Calibri" w:hAnsi="Calibri"/>
                <w:b w:val="0"/>
                <w:sz w:val="20"/>
              </w:rPr>
              <w:t>Linux (Ubuntu LTS) – production Frappe/Bench stack</w:t>
            </w:r>
          </w:p>
        </w:tc>
      </w:tr>
      <w:tr>
        <w:tc>
          <w:tcPr>
            <w:tcW w:type="dxa" w:w="3024"/>
          </w:tcPr>
          <w:p>
            <w:r/>
            <w:r>
              <w:rPr>
                <w:rFonts w:ascii="Calibri" w:hAnsi="Calibri"/>
                <w:b w:val="0"/>
                <w:sz w:val="20"/>
              </w:rPr>
              <w:t>Application stack</w:t>
            </w:r>
          </w:p>
        </w:tc>
        <w:tc>
          <w:tcPr>
            <w:tcW w:type="dxa" w:w="6336"/>
          </w:tcPr>
          <w:p>
            <w:r/>
            <w:r>
              <w:rPr>
                <w:rFonts w:ascii="Calibri" w:hAnsi="Calibri"/>
                <w:b w:val="0"/>
                <w:sz w:val="20"/>
              </w:rPr>
              <w:t>Python, Node.js, MariaDB, Redis, Nginx, Supervisor, Bench (production mode)</w:t>
            </w:r>
          </w:p>
        </w:tc>
      </w:tr>
      <w:tr>
        <w:tc>
          <w:tcPr>
            <w:tcW w:type="dxa" w:w="3024"/>
            <w:shd w:val="clear" w:color="auto" w:fill="DCE6F1"/>
          </w:tcPr>
          <w:p>
            <w:r/>
            <w:r>
              <w:rPr>
                <w:rFonts w:ascii="Calibri" w:hAnsi="Calibri"/>
                <w:b w:val="0"/>
                <w:sz w:val="20"/>
              </w:rPr>
              <w:t>Workload served</w:t>
            </w:r>
          </w:p>
        </w:tc>
        <w:tc>
          <w:tcPr>
            <w:tcW w:type="dxa" w:w="6336"/>
            <w:shd w:val="clear" w:color="auto" w:fill="DCE6F1"/>
          </w:tcPr>
          <w:p>
            <w:r/>
            <w:r>
              <w:rPr>
                <w:rFonts w:ascii="Calibri" w:hAnsi="Calibri"/>
                <w:b w:val="0"/>
                <w:sz w:val="20"/>
              </w:rPr>
              <w:t>Full platform – Sales / Stock Statement module + Scheme Management module</w:t>
            </w:r>
          </w:p>
        </w:tc>
      </w:tr>
      <w:tr>
        <w:tc>
          <w:tcPr>
            <w:tcW w:type="dxa" w:w="3024"/>
          </w:tcPr>
          <w:p>
            <w:r/>
            <w:r>
              <w:rPr>
                <w:rFonts w:ascii="Calibri" w:hAnsi="Calibri"/>
                <w:b w:val="0"/>
                <w:sz w:val="20"/>
              </w:rPr>
              <w:t>Access</w:t>
            </w:r>
          </w:p>
        </w:tc>
        <w:tc>
          <w:tcPr>
            <w:tcW w:type="dxa" w:w="6336"/>
          </w:tcPr>
          <w:p>
            <w:r/>
            <w:r>
              <w:rPr>
                <w:rFonts w:ascii="Calibri" w:hAnsi="Calibri"/>
                <w:b w:val="0"/>
                <w:sz w:val="20"/>
              </w:rPr>
              <w:t>Secure HTTPS (SSL/TLS), role-based access (admin / approver / user)</w:t>
            </w:r>
          </w:p>
        </w:tc>
      </w:tr>
      <w:tr>
        <w:tc>
          <w:tcPr>
            <w:tcW w:type="dxa" w:w="3024"/>
            <w:shd w:val="clear" w:color="auto" w:fill="DCE6F1"/>
          </w:tcPr>
          <w:p>
            <w:r/>
            <w:r>
              <w:rPr>
                <w:rFonts w:ascii="Calibri" w:hAnsi="Calibri"/>
                <w:b w:val="0"/>
                <w:sz w:val="20"/>
              </w:rPr>
              <w:t>Scalability</w:t>
            </w:r>
          </w:p>
        </w:tc>
        <w:tc>
          <w:tcPr>
            <w:tcW w:type="dxa" w:w="6336"/>
            <w:shd w:val="clear" w:color="auto" w:fill="DCE6F1"/>
          </w:tcPr>
          <w:p>
            <w:r/>
            <w:r>
              <w:rPr>
                <w:rFonts w:ascii="Calibri" w:hAnsi="Calibri"/>
                <w:b w:val="0"/>
                <w:sz w:val="20"/>
              </w:rPr>
              <w:t>Vertical resize path on Bluehost VPS as user base grows</w:t>
            </w:r>
          </w:p>
        </w:tc>
      </w:tr>
    </w:tbl>
    <w:p>
      <w:pPr>
        <w:spacing w:after="120"/>
      </w:pPr>
      <w:r>
        <w:rPr>
          <w:b w:val="0"/>
          <w:i/>
          <w:color w:val="595959"/>
          <w:sz w:val="19"/>
        </w:rPr>
        <w:t>Note: The monthly Bluehost VPS subscription / hosting charge is a recurring cost borne by the client and is separate from the one-time implementation fee quoted in this CR (see Section 9).</w:t>
      </w:r>
    </w:p>
    <w:p>
      <w:pPr>
        <w:pBdr>
          <w:bottom w:val="single" w:sz="6" w:space="1" w:color="BFBFBF"/>
        </w:pBdr>
      </w:pPr>
    </w:p>
    <w:p>
      <w:pPr>
        <w:pStyle w:val="Heading1"/>
      </w:pPr>
      <w:r>
        <w:t>5. Scope of Work</w:t>
      </w:r>
    </w:p>
    <w:p>
      <w:pPr>
        <w:pStyle w:val="Heading2"/>
      </w:pPr>
      <w:r>
        <w:t>5.1 In Scope</w:t>
      </w:r>
    </w:p>
    <w:p>
      <w:pPr>
        <w:pStyle w:val="ListBullet"/>
        <w:spacing w:after="60"/>
      </w:pPr>
      <w:r>
        <w:rPr>
          <w:sz w:val="21"/>
        </w:rPr>
        <w:t>Provisioning and initial access setup of the Bluehost VPS (4 vCPU / 8 GB RAM).</w:t>
      </w:r>
    </w:p>
    <w:p>
      <w:pPr>
        <w:pStyle w:val="ListBullet"/>
        <w:spacing w:after="60"/>
      </w:pPr>
      <w:r>
        <w:rPr>
          <w:sz w:val="21"/>
        </w:rPr>
        <w:t>OS-level hardening: users, SSH key access, firewall, fail2ban, timezone, swap and system updates.</w:t>
      </w:r>
    </w:p>
    <w:p>
      <w:pPr>
        <w:pStyle w:val="ListBullet"/>
        <w:spacing w:after="60"/>
      </w:pPr>
      <w:r>
        <w:rPr>
          <w:sz w:val="21"/>
        </w:rPr>
        <w:t>Installation and configuration of the full production stack: Python/virtualenv, Node.js, MariaDB, Redis, Nginx, Supervisor and Frappe Bench in production mode.</w:t>
      </w:r>
    </w:p>
    <w:p>
      <w:pPr>
        <w:pStyle w:val="ListBullet"/>
        <w:spacing w:after="60"/>
      </w:pPr>
      <w:r>
        <w:rPr>
          <w:sz w:val="21"/>
        </w:rPr>
        <w:t>Deployment of the Scanify application code (custom app, portal www/ pages, and dependencies) to the new server.</w:t>
      </w:r>
    </w:p>
    <w:p>
      <w:pPr>
        <w:pStyle w:val="ListBullet"/>
        <w:spacing w:after="60"/>
      </w:pPr>
      <w:r>
        <w:rPr>
          <w:sz w:val="21"/>
        </w:rPr>
        <w:t>Creation and configuration of the production site, including site config, encryption keys and environment variables.</w:t>
      </w:r>
    </w:p>
    <w:p>
      <w:pPr>
        <w:pStyle w:val="ListBullet"/>
        <w:spacing w:after="60"/>
      </w:pPr>
      <w:r>
        <w:rPr>
          <w:sz w:val="21"/>
        </w:rPr>
        <w:t>Full data migration from the Hyper-V VM: MariaDB database dump and restore (masters, transactional data, sales data, users/roles).</w:t>
      </w:r>
    </w:p>
    <w:p>
      <w:pPr>
        <w:pStyle w:val="ListBullet"/>
        <w:spacing w:after="60"/>
      </w:pPr>
      <w:r>
        <w:rPr>
          <w:sz w:val="21"/>
        </w:rPr>
        <w:t>Migration of file attachments / documents (order copies, supply proofs, stock statements, uploaded files) with integrity verification.</w:t>
      </w:r>
    </w:p>
    <w:p>
      <w:pPr>
        <w:pStyle w:val="ListBullet"/>
        <w:spacing w:after="60"/>
      </w:pPr>
      <w:r>
        <w:rPr>
          <w:sz w:val="21"/>
        </w:rPr>
        <w:t>Configuration of background workers, scheduler, Redis queues and email/SMTP for scheme notifications (Rerouted / Rejected).</w:t>
      </w:r>
    </w:p>
    <w:p>
      <w:pPr>
        <w:pStyle w:val="ListBullet"/>
        <w:spacing w:after="60"/>
      </w:pPr>
      <w:r>
        <w:rPr>
          <w:sz w:val="21"/>
        </w:rPr>
        <w:t>SSL/TLS certificate installation (HTTPS) and Nginx reverse-proxy configuration.</w:t>
      </w:r>
    </w:p>
    <w:p>
      <w:pPr>
        <w:pStyle w:val="ListBullet"/>
        <w:spacing w:after="60"/>
      </w:pPr>
      <w:r>
        <w:rPr>
          <w:sz w:val="21"/>
        </w:rPr>
        <w:t>Production tuning for the expected concurrent user load (worker counts, DB parameters, Redis, Nginx limits).</w:t>
      </w:r>
    </w:p>
    <w:p>
      <w:pPr>
        <w:pStyle w:val="ListBullet"/>
        <w:spacing w:after="60"/>
      </w:pPr>
      <w:r>
        <w:rPr>
          <w:sz w:val="21"/>
        </w:rPr>
        <w:t>Verification of the division-controlled access and the Division → Zone → Region → Team → HQ hierarchy on the new environment.</w:t>
      </w:r>
    </w:p>
    <w:p>
      <w:pPr>
        <w:pStyle w:val="ListBullet"/>
        <w:spacing w:after="60"/>
      </w:pPr>
      <w:r>
        <w:rPr>
          <w:sz w:val="21"/>
        </w:rPr>
        <w:t>Smoke testing and UAT support of both the Sales module and the Scheme Management module on the new server.</w:t>
      </w:r>
    </w:p>
    <w:p>
      <w:pPr>
        <w:pStyle w:val="ListBullet"/>
        <w:spacing w:after="60"/>
      </w:pPr>
      <w:r>
        <w:rPr>
          <w:sz w:val="21"/>
        </w:rPr>
        <w:t>DNS / domain cutover and controlled go-live of the complete platform.</w:t>
      </w:r>
    </w:p>
    <w:p>
      <w:pPr>
        <w:pStyle w:val="ListBullet"/>
        <w:spacing w:after="60"/>
      </w:pPr>
      <w:r>
        <w:rPr>
          <w:sz w:val="21"/>
        </w:rPr>
        <w:t>Post-go-live monitoring, backup configuration, and handover documentation (runbook).</w:t>
      </w:r>
    </w:p>
    <w:p>
      <w:pPr>
        <w:pStyle w:val="Heading2"/>
      </w:pPr>
      <w:r>
        <w:t>5.2 Out of Scope</w:t>
      </w:r>
    </w:p>
    <w:p>
      <w:pPr>
        <w:pStyle w:val="ListBullet"/>
        <w:spacing w:after="60"/>
      </w:pPr>
      <w:r>
        <w:rPr>
          <w:sz w:val="21"/>
        </w:rPr>
        <w:t>New feature development or functional changes beyond what is already delivered in the existing modules.</w:t>
      </w:r>
    </w:p>
    <w:p>
      <w:pPr>
        <w:pStyle w:val="ListBullet"/>
        <w:spacing w:after="60"/>
      </w:pPr>
      <w:r>
        <w:rPr>
          <w:sz w:val="21"/>
        </w:rPr>
        <w:t>The recurring Bluehost VPS hosting subscription and any third-party licence / domain / SSL purchase costs.</w:t>
      </w:r>
    </w:p>
    <w:p>
      <w:pPr>
        <w:pStyle w:val="ListBullet"/>
        <w:spacing w:after="60"/>
      </w:pPr>
      <w:r>
        <w:rPr>
          <w:sz w:val="21"/>
        </w:rPr>
        <w:t>Data cleansing or correction of pre-existing master/transactional data quality issues.</w:t>
      </w:r>
    </w:p>
    <w:p>
      <w:pPr>
        <w:pStyle w:val="ListBullet"/>
        <w:spacing w:after="60"/>
      </w:pPr>
      <w:r>
        <w:rPr>
          <w:sz w:val="21"/>
        </w:rPr>
        <w:t>Ongoing production support / AMC (can be covered under a separate support agreement).</w:t>
      </w:r>
    </w:p>
    <w:p>
      <w:pPr>
        <w:pStyle w:val="ListBullet"/>
        <w:spacing w:after="60"/>
      </w:pPr>
      <w:r>
        <w:rPr>
          <w:sz w:val="21"/>
        </w:rPr>
        <w:t>Load / stress testing beyond functional smoke and UAT validation, unless separately agreed.</w:t>
      </w:r>
    </w:p>
    <w:p>
      <w:pPr>
        <w:pBdr>
          <w:bottom w:val="single" w:sz="6" w:space="1" w:color="BFBFBF"/>
        </w:pBdr>
      </w:pPr>
    </w:p>
    <w:p>
      <w:pPr>
        <w:pStyle w:val="Heading1"/>
      </w:pPr>
      <w:r>
        <w:t>6. Migration Approach &amp; Methodology</w:t>
      </w:r>
    </w:p>
    <w:p>
      <w:pPr>
        <w:spacing w:after="120"/>
      </w:pPr>
      <w:r>
        <w:rPr>
          <w:b w:val="0"/>
          <w:i w:val="0"/>
          <w:sz w:val="21"/>
        </w:rPr>
        <w:t>The migration will follow a controlled, phased approach designed to protect the currently-live sales data and minimise downtime during cutover:</w:t>
      </w:r>
    </w:p>
    <w:tbl>
      <w:tblPr>
        <w:tblStyle w:val="TableGrid"/>
        <w:tblW w:type="auto" w:w="0"/>
        <w:jc w:val="center"/>
        <w:tblLook w:firstColumn="1" w:firstRow="1" w:lastColumn="0" w:lastRow="0" w:noHBand="0" w:noVBand="1" w:val="04A0"/>
      </w:tblPr>
      <w:tblGrid>
        <w:gridCol w:w="4873"/>
        <w:gridCol w:w="4873"/>
      </w:tblGrid>
      <w:tr>
        <w:tc>
          <w:tcPr>
            <w:tcW w:type="dxa" w:w="3168"/>
            <w:shd w:val="clear" w:color="auto" w:fill="1F4E79"/>
          </w:tcPr>
          <w:p>
            <w:r/>
            <w:r>
              <w:rPr>
                <w:rFonts w:ascii="Calibri" w:hAnsi="Calibri"/>
                <w:b/>
                <w:color w:val="FFFFFF"/>
                <w:sz w:val="20"/>
              </w:rPr>
              <w:t>Phase</w:t>
            </w:r>
          </w:p>
        </w:tc>
        <w:tc>
          <w:tcPr>
            <w:tcW w:type="dxa" w:w="6192"/>
            <w:shd w:val="clear" w:color="auto" w:fill="1F4E79"/>
          </w:tcPr>
          <w:p>
            <w:r/>
            <w:r>
              <w:rPr>
                <w:rFonts w:ascii="Calibri" w:hAnsi="Calibri"/>
                <w:b/>
                <w:color w:val="FFFFFF"/>
                <w:sz w:val="20"/>
              </w:rPr>
              <w:t>Key Activities</w:t>
            </w:r>
          </w:p>
        </w:tc>
      </w:tr>
      <w:tr>
        <w:tc>
          <w:tcPr>
            <w:tcW w:type="dxa" w:w="3168"/>
          </w:tcPr>
          <w:p>
            <w:r/>
            <w:r>
              <w:rPr>
                <w:rFonts w:ascii="Calibri" w:hAnsi="Calibri"/>
                <w:b w:val="0"/>
                <w:sz w:val="20"/>
              </w:rPr>
              <w:t>Phase 1 – Provision &amp; Prepare</w:t>
            </w:r>
          </w:p>
        </w:tc>
        <w:tc>
          <w:tcPr>
            <w:tcW w:type="dxa" w:w="6192"/>
          </w:tcPr>
          <w:p>
            <w:r/>
            <w:r>
              <w:rPr>
                <w:rFonts w:ascii="Calibri" w:hAnsi="Calibri"/>
                <w:b w:val="0"/>
                <w:sz w:val="20"/>
              </w:rPr>
              <w:t>Provision the Bluehost VPS, harden the OS, and install the complete production stack.</w:t>
            </w:r>
          </w:p>
        </w:tc>
      </w:tr>
      <w:tr>
        <w:tc>
          <w:tcPr>
            <w:tcW w:type="dxa" w:w="3168"/>
            <w:shd w:val="clear" w:color="auto" w:fill="DCE6F1"/>
          </w:tcPr>
          <w:p>
            <w:r/>
            <w:r>
              <w:rPr>
                <w:rFonts w:ascii="Calibri" w:hAnsi="Calibri"/>
                <w:b w:val="0"/>
                <w:sz w:val="20"/>
              </w:rPr>
              <w:t>Phase 2 – Deploy</w:t>
            </w:r>
          </w:p>
        </w:tc>
        <w:tc>
          <w:tcPr>
            <w:tcW w:type="dxa" w:w="6192"/>
            <w:shd w:val="clear" w:color="auto" w:fill="DCE6F1"/>
          </w:tcPr>
          <w:p>
            <w:r/>
            <w:r>
              <w:rPr>
                <w:rFonts w:ascii="Calibri" w:hAnsi="Calibri"/>
                <w:b w:val="0"/>
                <w:sz w:val="20"/>
              </w:rPr>
              <w:t>Deploy the Scanify application and portal, create the production site, and configure services, workers and email.</w:t>
            </w:r>
          </w:p>
        </w:tc>
      </w:tr>
      <w:tr>
        <w:tc>
          <w:tcPr>
            <w:tcW w:type="dxa" w:w="3168"/>
          </w:tcPr>
          <w:p>
            <w:r/>
            <w:r>
              <w:rPr>
                <w:rFonts w:ascii="Calibri" w:hAnsi="Calibri"/>
                <w:b w:val="0"/>
                <w:sz w:val="20"/>
              </w:rPr>
              <w:t>Phase 3 – Migrate Data</w:t>
            </w:r>
          </w:p>
        </w:tc>
        <w:tc>
          <w:tcPr>
            <w:tcW w:type="dxa" w:w="6192"/>
          </w:tcPr>
          <w:p>
            <w:r/>
            <w:r>
              <w:rPr>
                <w:rFonts w:ascii="Calibri" w:hAnsi="Calibri"/>
                <w:b w:val="0"/>
                <w:sz w:val="20"/>
              </w:rPr>
              <w:t>Take a consistent backup from the Hyper-V VM, restore the database, migrate all attachments, and validate data integrity and division access.</w:t>
            </w:r>
          </w:p>
        </w:tc>
      </w:tr>
      <w:tr>
        <w:tc>
          <w:tcPr>
            <w:tcW w:type="dxa" w:w="3168"/>
            <w:shd w:val="clear" w:color="auto" w:fill="DCE6F1"/>
          </w:tcPr>
          <w:p>
            <w:r/>
            <w:r>
              <w:rPr>
                <w:rFonts w:ascii="Calibri" w:hAnsi="Calibri"/>
                <w:b w:val="0"/>
                <w:sz w:val="20"/>
              </w:rPr>
              <w:t>Phase 4 – Harden &amp; Tune</w:t>
            </w:r>
          </w:p>
        </w:tc>
        <w:tc>
          <w:tcPr>
            <w:tcW w:type="dxa" w:w="6192"/>
            <w:shd w:val="clear" w:color="auto" w:fill="DCE6F1"/>
          </w:tcPr>
          <w:p>
            <w:r/>
            <w:r>
              <w:rPr>
                <w:rFonts w:ascii="Calibri" w:hAnsi="Calibri"/>
                <w:b w:val="0"/>
                <w:sz w:val="20"/>
              </w:rPr>
              <w:t>Apply SSL/HTTPS, security hardening, performance tuning for concurrency, and configure automated backups.</w:t>
            </w:r>
          </w:p>
        </w:tc>
      </w:tr>
      <w:tr>
        <w:tc>
          <w:tcPr>
            <w:tcW w:type="dxa" w:w="3168"/>
          </w:tcPr>
          <w:p>
            <w:r/>
            <w:r>
              <w:rPr>
                <w:rFonts w:ascii="Calibri" w:hAnsi="Calibri"/>
                <w:b w:val="0"/>
                <w:sz w:val="20"/>
              </w:rPr>
              <w:t>Phase 5 – Validate &amp; Go-Live</w:t>
            </w:r>
          </w:p>
        </w:tc>
        <w:tc>
          <w:tcPr>
            <w:tcW w:type="dxa" w:w="6192"/>
          </w:tcPr>
          <w:p>
            <w:r/>
            <w:r>
              <w:rPr>
                <w:rFonts w:ascii="Calibri" w:hAnsi="Calibri"/>
                <w:b w:val="0"/>
                <w:sz w:val="20"/>
              </w:rPr>
              <w:t>Smoke test + UAT support for both modules, perform DNS cutover, take the full platform live, monitor, and hand over the runbook.</w:t>
            </w:r>
          </w:p>
        </w:tc>
      </w:tr>
    </w:tbl>
    <w:p>
      <w:pPr>
        <w:pBdr>
          <w:bottom w:val="single" w:sz="6" w:space="1" w:color="BFBFBF"/>
        </w:pBdr>
      </w:pPr>
    </w:p>
    <w:p>
      <w:pPr>
        <w:pStyle w:val="Heading1"/>
      </w:pPr>
      <w:r>
        <w:t>7. Detailed Effort Estimation</w:t>
      </w:r>
    </w:p>
    <w:p>
      <w:pPr>
        <w:spacing w:after="120"/>
      </w:pPr>
      <w:r>
        <w:rPr>
          <w:b w:val="0"/>
          <w:i w:val="0"/>
          <w:sz w:val="21"/>
        </w:rPr>
        <w:t>The total estimated effort for this change is 5 (five) person-days. The day-wise breakdown is as follows:</w:t>
      </w:r>
    </w:p>
    <w:tbl>
      <w:tblPr>
        <w:tblStyle w:val="TableGrid"/>
        <w:tblW w:type="auto" w:w="0"/>
        <w:jc w:val="center"/>
        <w:tblLook w:firstColumn="1" w:firstRow="1" w:lastColumn="0" w:lastRow="0" w:noHBand="0" w:noVBand="1" w:val="04A0"/>
      </w:tblPr>
      <w:tblGrid>
        <w:gridCol w:w="3249"/>
        <w:gridCol w:w="3249"/>
        <w:gridCol w:w="3249"/>
      </w:tblGrid>
      <w:tr>
        <w:tc>
          <w:tcPr>
            <w:tcW w:type="dxa" w:w="1008"/>
            <w:shd w:val="clear" w:color="auto" w:fill="1F4E79"/>
          </w:tcPr>
          <w:p>
            <w:r/>
            <w:r>
              <w:rPr>
                <w:rFonts w:ascii="Calibri" w:hAnsi="Calibri"/>
                <w:b/>
                <w:color w:val="FFFFFF"/>
                <w:sz w:val="20"/>
              </w:rPr>
              <w:t>Day</w:t>
            </w:r>
          </w:p>
        </w:tc>
        <w:tc>
          <w:tcPr>
            <w:tcW w:type="dxa" w:w="2592"/>
            <w:shd w:val="clear" w:color="auto" w:fill="1F4E79"/>
          </w:tcPr>
          <w:p>
            <w:r/>
            <w:r>
              <w:rPr>
                <w:rFonts w:ascii="Calibri" w:hAnsi="Calibri"/>
                <w:b/>
                <w:color w:val="FFFFFF"/>
                <w:sz w:val="20"/>
              </w:rPr>
              <w:t>Focus</w:t>
            </w:r>
          </w:p>
        </w:tc>
        <w:tc>
          <w:tcPr>
            <w:tcW w:type="dxa" w:w="5760"/>
            <w:shd w:val="clear" w:color="auto" w:fill="1F4E79"/>
          </w:tcPr>
          <w:p>
            <w:r/>
            <w:r>
              <w:rPr>
                <w:rFonts w:ascii="Calibri" w:hAnsi="Calibri"/>
                <w:b/>
                <w:color w:val="FFFFFF"/>
                <w:sz w:val="20"/>
              </w:rPr>
              <w:t>Activities</w:t>
            </w:r>
          </w:p>
        </w:tc>
      </w:tr>
      <w:tr>
        <w:tc>
          <w:tcPr>
            <w:tcW w:type="dxa" w:w="1008"/>
          </w:tcPr>
          <w:p>
            <w:r/>
            <w:r>
              <w:rPr>
                <w:rFonts w:ascii="Calibri" w:hAnsi="Calibri"/>
                <w:b w:val="0"/>
                <w:sz w:val="20"/>
              </w:rPr>
              <w:t>Day 1</w:t>
            </w:r>
          </w:p>
        </w:tc>
        <w:tc>
          <w:tcPr>
            <w:tcW w:type="dxa" w:w="2592"/>
          </w:tcPr>
          <w:p>
            <w:r/>
            <w:r>
              <w:rPr>
                <w:rFonts w:ascii="Calibri" w:hAnsi="Calibri"/>
                <w:b w:val="0"/>
                <w:sz w:val="20"/>
              </w:rPr>
              <w:t>Environment provisioning &amp; base setup</w:t>
            </w:r>
          </w:p>
        </w:tc>
        <w:tc>
          <w:tcPr>
            <w:tcW w:type="dxa" w:w="5760"/>
          </w:tcPr>
          <w:p>
            <w:r/>
            <w:r>
              <w:rPr>
                <w:rFonts w:ascii="Calibri" w:hAnsi="Calibri"/>
                <w:b w:val="0"/>
                <w:sz w:val="20"/>
              </w:rPr>
              <w:t>VPS provisioning &amp; access; OS hardening (firewall, SSH, updates, swap); install Python, Node.js, MariaDB, Redis, Nginx, Supervisor and Bench in production mode.</w:t>
            </w:r>
          </w:p>
        </w:tc>
      </w:tr>
      <w:tr>
        <w:tc>
          <w:tcPr>
            <w:tcW w:type="dxa" w:w="1008"/>
            <w:shd w:val="clear" w:color="auto" w:fill="DCE6F1"/>
          </w:tcPr>
          <w:p>
            <w:r/>
            <w:r>
              <w:rPr>
                <w:rFonts w:ascii="Calibri" w:hAnsi="Calibri"/>
                <w:b w:val="0"/>
                <w:sz w:val="20"/>
              </w:rPr>
              <w:t>Day 2</w:t>
            </w:r>
          </w:p>
        </w:tc>
        <w:tc>
          <w:tcPr>
            <w:tcW w:type="dxa" w:w="2592"/>
            <w:shd w:val="clear" w:color="auto" w:fill="DCE6F1"/>
          </w:tcPr>
          <w:p>
            <w:r/>
            <w:r>
              <w:rPr>
                <w:rFonts w:ascii="Calibri" w:hAnsi="Calibri"/>
                <w:b w:val="0"/>
                <w:sz w:val="20"/>
              </w:rPr>
              <w:t>Application deployment</w:t>
            </w:r>
          </w:p>
        </w:tc>
        <w:tc>
          <w:tcPr>
            <w:tcW w:type="dxa" w:w="5760"/>
            <w:shd w:val="clear" w:color="auto" w:fill="DCE6F1"/>
          </w:tcPr>
          <w:p>
            <w:r/>
            <w:r>
              <w:rPr>
                <w:rFonts w:ascii="Calibri" w:hAnsi="Calibri"/>
                <w:b w:val="0"/>
                <w:sz w:val="20"/>
              </w:rPr>
              <w:t>Deploy Scanify custom app + portal (www/) and dependencies; create production site; configure site config, keys, environment variables, workers, scheduler and SMTP/email.</w:t>
            </w:r>
          </w:p>
        </w:tc>
      </w:tr>
      <w:tr>
        <w:tc>
          <w:tcPr>
            <w:tcW w:type="dxa" w:w="1008"/>
          </w:tcPr>
          <w:p>
            <w:r/>
            <w:r>
              <w:rPr>
                <w:rFonts w:ascii="Calibri" w:hAnsi="Calibri"/>
                <w:b w:val="0"/>
                <w:sz w:val="20"/>
              </w:rPr>
              <w:t>Day 3</w:t>
            </w:r>
          </w:p>
        </w:tc>
        <w:tc>
          <w:tcPr>
            <w:tcW w:type="dxa" w:w="2592"/>
          </w:tcPr>
          <w:p>
            <w:r/>
            <w:r>
              <w:rPr>
                <w:rFonts w:ascii="Calibri" w:hAnsi="Calibri"/>
                <w:b w:val="0"/>
                <w:sz w:val="20"/>
              </w:rPr>
              <w:t>Data migration</w:t>
            </w:r>
          </w:p>
        </w:tc>
        <w:tc>
          <w:tcPr>
            <w:tcW w:type="dxa" w:w="5760"/>
          </w:tcPr>
          <w:p>
            <w:r/>
            <w:r>
              <w:rPr>
                <w:rFonts w:ascii="Calibri" w:hAnsi="Calibri"/>
                <w:b w:val="0"/>
                <w:sz w:val="20"/>
              </w:rPr>
              <w:t>Consistent DB dump from Hyper-V; restore to VPS (masters, transactions, sales data, users/roles); migrate all file attachments; verify data integrity and division/hierarchy access.</w:t>
            </w:r>
          </w:p>
        </w:tc>
      </w:tr>
      <w:tr>
        <w:tc>
          <w:tcPr>
            <w:tcW w:type="dxa" w:w="1008"/>
            <w:shd w:val="clear" w:color="auto" w:fill="DCE6F1"/>
          </w:tcPr>
          <w:p>
            <w:r/>
            <w:r>
              <w:rPr>
                <w:rFonts w:ascii="Calibri" w:hAnsi="Calibri"/>
                <w:b w:val="0"/>
                <w:sz w:val="20"/>
              </w:rPr>
              <w:t>Day 4</w:t>
            </w:r>
          </w:p>
        </w:tc>
        <w:tc>
          <w:tcPr>
            <w:tcW w:type="dxa" w:w="2592"/>
            <w:shd w:val="clear" w:color="auto" w:fill="DCE6F1"/>
          </w:tcPr>
          <w:p>
            <w:r/>
            <w:r>
              <w:rPr>
                <w:rFonts w:ascii="Calibri" w:hAnsi="Calibri"/>
                <w:b w:val="0"/>
                <w:sz w:val="20"/>
              </w:rPr>
              <w:t>Security, SSL &amp; performance tuning</w:t>
            </w:r>
          </w:p>
        </w:tc>
        <w:tc>
          <w:tcPr>
            <w:tcW w:type="dxa" w:w="5760"/>
            <w:shd w:val="clear" w:color="auto" w:fill="DCE6F1"/>
          </w:tcPr>
          <w:p>
            <w:r/>
            <w:r>
              <w:rPr>
                <w:rFonts w:ascii="Calibri" w:hAnsi="Calibri"/>
                <w:b w:val="0"/>
                <w:sz w:val="20"/>
              </w:rPr>
              <w:t>Install SSL/TLS (HTTPS); Nginx reverse-proxy &amp; rate limits; tune worker counts, MariaDB and Redis for concurrent load; configure automated backups and basic monitoring.</w:t>
            </w:r>
          </w:p>
        </w:tc>
      </w:tr>
      <w:tr>
        <w:tc>
          <w:tcPr>
            <w:tcW w:type="dxa" w:w="1008"/>
          </w:tcPr>
          <w:p>
            <w:r/>
            <w:r>
              <w:rPr>
                <w:rFonts w:ascii="Calibri" w:hAnsi="Calibri"/>
                <w:b w:val="0"/>
                <w:sz w:val="20"/>
              </w:rPr>
              <w:t>Day 5</w:t>
            </w:r>
          </w:p>
        </w:tc>
        <w:tc>
          <w:tcPr>
            <w:tcW w:type="dxa" w:w="2592"/>
          </w:tcPr>
          <w:p>
            <w:r/>
            <w:r>
              <w:rPr>
                <w:rFonts w:ascii="Calibri" w:hAnsi="Calibri"/>
                <w:b w:val="0"/>
                <w:sz w:val="20"/>
              </w:rPr>
              <w:t>Testing, go-live &amp; handover</w:t>
            </w:r>
          </w:p>
        </w:tc>
        <w:tc>
          <w:tcPr>
            <w:tcW w:type="dxa" w:w="5760"/>
          </w:tcPr>
          <w:p>
            <w:r/>
            <w:r>
              <w:rPr>
                <w:rFonts w:ascii="Calibri" w:hAnsi="Calibri"/>
                <w:b w:val="0"/>
                <w:sz w:val="20"/>
              </w:rPr>
              <w:t>Smoke testing + UAT support for Sales and Scheme modules; DNS cutover and controlled go-live; post-go-live monitoring; runbook / handover documentation.</w:t>
            </w:r>
          </w:p>
        </w:tc>
      </w:tr>
    </w:tbl>
    <w:p>
      <w:pPr>
        <w:spacing w:after="60"/>
      </w:pPr>
      <w:r>
        <w:rPr>
          <w:b/>
          <w:i w:val="0"/>
          <w:color w:val="1F4E79"/>
          <w:sz w:val="21"/>
        </w:rPr>
        <w:t>Total Effort: 5 person-days.</w:t>
      </w:r>
    </w:p>
    <w:p>
      <w:pPr>
        <w:spacing w:after="120"/>
      </w:pPr>
      <w:r>
        <w:rPr>
          <w:b w:val="0"/>
          <w:i/>
          <w:color w:val="595959"/>
          <w:sz w:val="19"/>
        </w:rPr>
        <w:t>Effort is expressed in person-days of dedicated engineering work and assumes timely availability of the client-side dependencies listed in Section 10.</w:t>
      </w:r>
    </w:p>
    <w:p>
      <w:pPr>
        <w:pBdr>
          <w:bottom w:val="single" w:sz="6" w:space="1" w:color="BFBFBF"/>
        </w:pBdr>
      </w:pPr>
    </w:p>
    <w:p>
      <w:pPr>
        <w:pStyle w:val="Heading1"/>
      </w:pPr>
      <w:r>
        <w:t>8. Indicative Timeline</w:t>
      </w:r>
    </w:p>
    <w:p>
      <w:pPr>
        <w:spacing w:after="120"/>
      </w:pPr>
      <w:r>
        <w:rPr>
          <w:b w:val="0"/>
          <w:i w:val="0"/>
          <w:sz w:val="21"/>
        </w:rPr>
        <w:t>Subject to receipt of VPS credentials, source-server access and written approval of this CR, the migration is planned as a continuous 5 working-day engagement, with the final go-live and cutover scheduled for Day 5. Cutover will be performed during a mutually agreed low-usage window to minimise disruption to live sales users.</w:t>
      </w:r>
    </w:p>
    <w:tbl>
      <w:tblPr>
        <w:tblStyle w:val="TableGrid"/>
        <w:tblW w:type="auto" w:w="0"/>
        <w:jc w:val="center"/>
        <w:tblLook w:firstColumn="1" w:firstRow="1" w:lastColumn="0" w:lastRow="0" w:noHBand="0" w:noVBand="1" w:val="04A0"/>
      </w:tblPr>
      <w:tblGrid>
        <w:gridCol w:w="4873"/>
        <w:gridCol w:w="4873"/>
      </w:tblGrid>
      <w:tr>
        <w:tc>
          <w:tcPr>
            <w:tcW w:type="dxa" w:w="5184"/>
            <w:shd w:val="clear" w:color="auto" w:fill="1F4E79"/>
          </w:tcPr>
          <w:p>
            <w:r/>
            <w:r>
              <w:rPr>
                <w:rFonts w:ascii="Calibri" w:hAnsi="Calibri"/>
                <w:b/>
                <w:color w:val="FFFFFF"/>
                <w:sz w:val="20"/>
              </w:rPr>
              <w:t>Milestone</w:t>
            </w:r>
          </w:p>
        </w:tc>
        <w:tc>
          <w:tcPr>
            <w:tcW w:type="dxa" w:w="4176"/>
            <w:shd w:val="clear" w:color="auto" w:fill="1F4E79"/>
          </w:tcPr>
          <w:p>
            <w:r/>
            <w:r>
              <w:rPr>
                <w:rFonts w:ascii="Calibri" w:hAnsi="Calibri"/>
                <w:b/>
                <w:color w:val="FFFFFF"/>
                <w:sz w:val="20"/>
              </w:rPr>
              <w:t>Target</w:t>
            </w:r>
          </w:p>
        </w:tc>
      </w:tr>
      <w:tr>
        <w:tc>
          <w:tcPr>
            <w:tcW w:type="dxa" w:w="5184"/>
          </w:tcPr>
          <w:p>
            <w:r/>
            <w:r>
              <w:rPr>
                <w:rFonts w:ascii="Calibri" w:hAnsi="Calibri"/>
                <w:b w:val="0"/>
                <w:sz w:val="20"/>
              </w:rPr>
              <w:t>CR approval &amp; inputs received</w:t>
            </w:r>
          </w:p>
        </w:tc>
        <w:tc>
          <w:tcPr>
            <w:tcW w:type="dxa" w:w="4176"/>
          </w:tcPr>
          <w:p>
            <w:r/>
            <w:r>
              <w:rPr>
                <w:rFonts w:ascii="Calibri" w:hAnsi="Calibri"/>
                <w:b w:val="0"/>
                <w:sz w:val="20"/>
              </w:rPr>
              <w:t>Day 0</w:t>
            </w:r>
          </w:p>
        </w:tc>
      </w:tr>
      <w:tr>
        <w:tc>
          <w:tcPr>
            <w:tcW w:type="dxa" w:w="5184"/>
            <w:shd w:val="clear" w:color="auto" w:fill="DCE6F1"/>
          </w:tcPr>
          <w:p>
            <w:r/>
            <w:r>
              <w:rPr>
                <w:rFonts w:ascii="Calibri" w:hAnsi="Calibri"/>
                <w:b w:val="0"/>
                <w:sz w:val="20"/>
              </w:rPr>
              <w:t>Environment ready (stack installed)</w:t>
            </w:r>
          </w:p>
        </w:tc>
        <w:tc>
          <w:tcPr>
            <w:tcW w:type="dxa" w:w="4176"/>
            <w:shd w:val="clear" w:color="auto" w:fill="DCE6F1"/>
          </w:tcPr>
          <w:p>
            <w:r/>
            <w:r>
              <w:rPr>
                <w:rFonts w:ascii="Calibri" w:hAnsi="Calibri"/>
                <w:b w:val="0"/>
                <w:sz w:val="20"/>
              </w:rPr>
              <w:t>End of Day 1</w:t>
            </w:r>
          </w:p>
        </w:tc>
      </w:tr>
      <w:tr>
        <w:tc>
          <w:tcPr>
            <w:tcW w:type="dxa" w:w="5184"/>
          </w:tcPr>
          <w:p>
            <w:r/>
            <w:r>
              <w:rPr>
                <w:rFonts w:ascii="Calibri" w:hAnsi="Calibri"/>
                <w:b w:val="0"/>
                <w:sz w:val="20"/>
              </w:rPr>
              <w:t>Application deployed</w:t>
            </w:r>
          </w:p>
        </w:tc>
        <w:tc>
          <w:tcPr>
            <w:tcW w:type="dxa" w:w="4176"/>
          </w:tcPr>
          <w:p>
            <w:r/>
            <w:r>
              <w:rPr>
                <w:rFonts w:ascii="Calibri" w:hAnsi="Calibri"/>
                <w:b w:val="0"/>
                <w:sz w:val="20"/>
              </w:rPr>
              <w:t>End of Day 2</w:t>
            </w:r>
          </w:p>
        </w:tc>
      </w:tr>
      <w:tr>
        <w:tc>
          <w:tcPr>
            <w:tcW w:type="dxa" w:w="5184"/>
            <w:shd w:val="clear" w:color="auto" w:fill="DCE6F1"/>
          </w:tcPr>
          <w:p>
            <w:r/>
            <w:r>
              <w:rPr>
                <w:rFonts w:ascii="Calibri" w:hAnsi="Calibri"/>
                <w:b w:val="0"/>
                <w:sz w:val="20"/>
              </w:rPr>
              <w:t>Data migrated &amp; validated</w:t>
            </w:r>
          </w:p>
        </w:tc>
        <w:tc>
          <w:tcPr>
            <w:tcW w:type="dxa" w:w="4176"/>
            <w:shd w:val="clear" w:color="auto" w:fill="DCE6F1"/>
          </w:tcPr>
          <w:p>
            <w:r/>
            <w:r>
              <w:rPr>
                <w:rFonts w:ascii="Calibri" w:hAnsi="Calibri"/>
                <w:b w:val="0"/>
                <w:sz w:val="20"/>
              </w:rPr>
              <w:t>End of Day 3</w:t>
            </w:r>
          </w:p>
        </w:tc>
      </w:tr>
      <w:tr>
        <w:tc>
          <w:tcPr>
            <w:tcW w:type="dxa" w:w="5184"/>
          </w:tcPr>
          <w:p>
            <w:r/>
            <w:r>
              <w:rPr>
                <w:rFonts w:ascii="Calibri" w:hAnsi="Calibri"/>
                <w:b w:val="0"/>
                <w:sz w:val="20"/>
              </w:rPr>
              <w:t>Secured &amp; performance-tuned</w:t>
            </w:r>
          </w:p>
        </w:tc>
        <w:tc>
          <w:tcPr>
            <w:tcW w:type="dxa" w:w="4176"/>
          </w:tcPr>
          <w:p>
            <w:r/>
            <w:r>
              <w:rPr>
                <w:rFonts w:ascii="Calibri" w:hAnsi="Calibri"/>
                <w:b w:val="0"/>
                <w:sz w:val="20"/>
              </w:rPr>
              <w:t>End of Day 4</w:t>
            </w:r>
          </w:p>
        </w:tc>
      </w:tr>
      <w:tr>
        <w:tc>
          <w:tcPr>
            <w:tcW w:type="dxa" w:w="5184"/>
            <w:shd w:val="clear" w:color="auto" w:fill="DCE6F1"/>
          </w:tcPr>
          <w:p>
            <w:r/>
            <w:r>
              <w:rPr>
                <w:rFonts w:ascii="Calibri" w:hAnsi="Calibri"/>
                <w:b w:val="0"/>
                <w:sz w:val="20"/>
              </w:rPr>
              <w:t>Go-live, cutover &amp; handover</w:t>
            </w:r>
          </w:p>
        </w:tc>
        <w:tc>
          <w:tcPr>
            <w:tcW w:type="dxa" w:w="4176"/>
            <w:shd w:val="clear" w:color="auto" w:fill="DCE6F1"/>
          </w:tcPr>
          <w:p>
            <w:r/>
            <w:r>
              <w:rPr>
                <w:rFonts w:ascii="Calibri" w:hAnsi="Calibri"/>
                <w:b w:val="0"/>
                <w:sz w:val="20"/>
              </w:rPr>
              <w:t>End of Day 5</w:t>
            </w:r>
          </w:p>
        </w:tc>
      </w:tr>
    </w:tbl>
    <w:p>
      <w:pPr>
        <w:pBdr>
          <w:bottom w:val="single" w:sz="6" w:space="1" w:color="BFBFBF"/>
        </w:pBdr>
      </w:pPr>
    </w:p>
    <w:p>
      <w:pPr>
        <w:pStyle w:val="Heading1"/>
      </w:pPr>
      <w:r>
        <w:t>9. Commercials – Implementation Fee</w:t>
      </w:r>
    </w:p>
    <w:p>
      <w:pPr>
        <w:spacing w:after="120"/>
      </w:pPr>
      <w:r>
        <w:rPr>
          <w:b w:val="0"/>
          <w:i w:val="0"/>
          <w:sz w:val="21"/>
        </w:rPr>
        <w:t>This is a one-time change request with an associated implementation fee for the 5 person-days of migration and go-live effort described above.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76"/>
            <w:shd w:val="clear" w:color="auto" w:fill="1F4E79"/>
          </w:tcPr>
          <w:p>
            <w:r/>
            <w:r>
              <w:rPr>
                <w:rFonts w:ascii="Calibri" w:hAnsi="Calibri"/>
                <w:b/>
                <w:color w:val="FFFFFF"/>
                <w:sz w:val="20"/>
              </w:rPr>
              <w:t>#</w:t>
            </w:r>
          </w:p>
        </w:tc>
        <w:tc>
          <w:tcPr>
            <w:tcW w:type="dxa" w:w="6192"/>
            <w:shd w:val="clear" w:color="auto" w:fill="1F4E79"/>
          </w:tcPr>
          <w:p>
            <w:r/>
            <w:r>
              <w:rPr>
                <w:rFonts w:ascii="Calibri" w:hAnsi="Calibri"/>
                <w:b/>
                <w:color w:val="FFFFFF"/>
                <w:sz w:val="20"/>
              </w:rPr>
              <w:t>Description</w:t>
            </w:r>
          </w:p>
        </w:tc>
        <w:tc>
          <w:tcPr>
            <w:tcW w:type="dxa" w:w="1440"/>
            <w:shd w:val="clear" w:color="auto" w:fill="1F4E79"/>
          </w:tcPr>
          <w:p>
            <w:r/>
            <w:r>
              <w:rPr>
                <w:rFonts w:ascii="Calibri" w:hAnsi="Calibri"/>
                <w:b/>
                <w:color w:val="FFFFFF"/>
                <w:sz w:val="20"/>
              </w:rPr>
              <w:t>Effort</w:t>
            </w:r>
          </w:p>
        </w:tc>
        <w:tc>
          <w:tcPr>
            <w:tcW w:type="dxa" w:w="2016"/>
            <w:shd w:val="clear" w:color="auto" w:fill="1F4E79"/>
          </w:tcPr>
          <w:p>
            <w:r/>
            <w:r>
              <w:rPr>
                <w:rFonts w:ascii="Calibri" w:hAnsi="Calibri"/>
                <w:b/>
                <w:color w:val="FFFFFF"/>
                <w:sz w:val="20"/>
              </w:rPr>
              <w:t>Amount</w:t>
            </w:r>
          </w:p>
        </w:tc>
      </w:tr>
      <w:tr>
        <w:tc>
          <w:tcPr>
            <w:tcW w:type="dxa" w:w="576"/>
          </w:tcPr>
          <w:p>
            <w:r/>
            <w:r>
              <w:rPr>
                <w:rFonts w:ascii="Calibri" w:hAnsi="Calibri"/>
                <w:b w:val="0"/>
                <w:sz w:val="20"/>
              </w:rPr>
              <w:t>1</w:t>
            </w:r>
          </w:p>
        </w:tc>
        <w:tc>
          <w:tcPr>
            <w:tcW w:type="dxa" w:w="6192"/>
          </w:tcPr>
          <w:p>
            <w:r/>
            <w:r>
              <w:rPr>
                <w:rFonts w:ascii="Calibri" w:hAnsi="Calibri"/>
                <w:b w:val="0"/>
                <w:sz w:val="20"/>
              </w:rPr>
              <w:t>Production migration &amp; go-live of the Scanify platform (Sales + Scheme modules) to the dedicated Bluehost VPS – provisioning, deployment, data migration, security, tuning, testing and handover.</w:t>
            </w:r>
          </w:p>
        </w:tc>
        <w:tc>
          <w:tcPr>
            <w:tcW w:type="dxa" w:w="1440"/>
          </w:tcPr>
          <w:p>
            <w:r/>
            <w:r>
              <w:rPr>
                <w:rFonts w:ascii="Calibri" w:hAnsi="Calibri"/>
                <w:b w:val="0"/>
                <w:sz w:val="20"/>
              </w:rPr>
              <w:t>5 person-days</w:t>
            </w:r>
          </w:p>
        </w:tc>
        <w:tc>
          <w:tcPr>
            <w:tcW w:type="dxa" w:w="2016"/>
          </w:tcPr>
          <w:p>
            <w:r/>
            <w:r>
              <w:rPr>
                <w:rFonts w:ascii="Calibri" w:hAnsi="Calibri"/>
                <w:b w:val="0"/>
                <w:sz w:val="20"/>
              </w:rPr>
              <w:t>₹ ____________</w:t>
            </w:r>
          </w:p>
        </w:tc>
      </w:tr>
      <w:tr>
        <w:tc>
          <w:tcPr>
            <w:tcW w:type="dxa" w:w="576"/>
            <w:shd w:val="clear" w:color="auto" w:fill="DCE6F1"/>
          </w:tcPr>
          <w:p>
            <w:r/>
            <w:r>
              <w:rPr>
                <w:rFonts w:ascii="Calibri" w:hAnsi="Calibri"/>
                <w:b w:val="0"/>
                <w:sz w:val="20"/>
              </w:rPr>
            </w:r>
          </w:p>
        </w:tc>
        <w:tc>
          <w:tcPr>
            <w:tcW w:type="dxa" w:w="6192"/>
            <w:shd w:val="clear" w:color="auto" w:fill="DCE6F1"/>
          </w:tcPr>
          <w:p>
            <w:r/>
            <w:r>
              <w:rPr>
                <w:rFonts w:ascii="Calibri" w:hAnsi="Calibri"/>
                <w:b w:val="0"/>
                <w:sz w:val="20"/>
              </w:rPr>
              <w:t>One-time Implementation Fee (Total)</w:t>
            </w:r>
          </w:p>
        </w:tc>
        <w:tc>
          <w:tcPr>
            <w:tcW w:type="dxa" w:w="1440"/>
            <w:shd w:val="clear" w:color="auto" w:fill="DCE6F1"/>
          </w:tcPr>
          <w:p>
            <w:r/>
            <w:r>
              <w:rPr>
                <w:rFonts w:ascii="Calibri" w:hAnsi="Calibri"/>
                <w:b w:val="0"/>
                <w:sz w:val="20"/>
              </w:rPr>
              <w:t>5 person-days</w:t>
            </w:r>
          </w:p>
        </w:tc>
        <w:tc>
          <w:tcPr>
            <w:tcW w:type="dxa" w:w="2016"/>
            <w:shd w:val="clear" w:color="auto" w:fill="DCE6F1"/>
          </w:tcPr>
          <w:p>
            <w:r/>
            <w:r>
              <w:rPr>
                <w:rFonts w:ascii="Calibri" w:hAnsi="Calibri"/>
                <w:b w:val="0"/>
                <w:sz w:val="20"/>
              </w:rPr>
              <w:t>₹ ____________</w:t>
            </w:r>
          </w:p>
        </w:tc>
      </w:tr>
    </w:tbl>
    <w:p>
      <w:pPr>
        <w:spacing w:after="60"/>
      </w:pPr>
      <w:r>
        <w:rPr>
          <w:b/>
          <w:i w:val="0"/>
          <w:sz w:val="21"/>
        </w:rPr>
        <w:t>Notes:</w:t>
      </w:r>
    </w:p>
    <w:p>
      <w:pPr>
        <w:pStyle w:val="ListBullet"/>
        <w:spacing w:after="60"/>
      </w:pPr>
      <w:r>
        <w:rPr>
          <w:sz w:val="21"/>
        </w:rPr>
        <w:t>Amounts are to be finalised and are shown as placeholders pending commercial confirmation.</w:t>
      </w:r>
    </w:p>
    <w:p>
      <w:pPr>
        <w:pStyle w:val="ListBullet"/>
        <w:spacing w:after="60"/>
      </w:pPr>
      <w:r>
        <w:rPr>
          <w:sz w:val="21"/>
        </w:rPr>
        <w:t>Taxes (GST) as applicable will be charged additionally.</w:t>
      </w:r>
    </w:p>
    <w:p>
      <w:pPr>
        <w:pStyle w:val="ListBullet"/>
        <w:spacing w:after="60"/>
      </w:pPr>
      <w:r>
        <w:rPr>
          <w:sz w:val="21"/>
        </w:rPr>
        <w:t>The recurring Bluehost VPS hosting subscription, domain and any third-party licence costs are borne directly by the client and are not included in the implementation fee.</w:t>
      </w:r>
    </w:p>
    <w:p>
      <w:pPr>
        <w:pStyle w:val="ListBullet"/>
        <w:spacing w:after="60"/>
      </w:pPr>
      <w:r>
        <w:rPr>
          <w:sz w:val="21"/>
        </w:rPr>
        <w:t>Ongoing production support / AMC, if required, will be quoted separately.</w:t>
      </w:r>
    </w:p>
    <w:p>
      <w:pPr>
        <w:pBdr>
          <w:bottom w:val="single" w:sz="6" w:space="1" w:color="BFBFBF"/>
        </w:pBdr>
      </w:pPr>
    </w:p>
    <w:p>
      <w:pPr>
        <w:pStyle w:val="Heading1"/>
      </w:pPr>
      <w:r>
        <w:t>10. Assumptions &amp; Client Dependencies</w:t>
      </w:r>
    </w:p>
    <w:p>
      <w:pPr>
        <w:pStyle w:val="ListBullet"/>
        <w:spacing w:after="60"/>
      </w:pPr>
      <w:r>
        <w:rPr>
          <w:sz w:val="21"/>
        </w:rPr>
        <w:t>The Bluehost VPS (4 vCPU / 8 GB RAM) is procured by the client and root/administrative credentials are provided to Kodivian before work begins.</w:t>
      </w:r>
    </w:p>
    <w:p>
      <w:pPr>
        <w:pStyle w:val="ListBullet"/>
        <w:spacing w:after="60"/>
      </w:pPr>
      <w:r>
        <w:rPr>
          <w:sz w:val="21"/>
        </w:rPr>
        <w:t>Administrative access to the existing Hyper-V VM (application, database and file store) is provided for taking backups and validating data.</w:t>
      </w:r>
    </w:p>
    <w:p>
      <w:pPr>
        <w:pStyle w:val="ListBullet"/>
        <w:spacing w:after="60"/>
      </w:pPr>
      <w:r>
        <w:rPr>
          <w:sz w:val="21"/>
        </w:rPr>
        <w:t>The domain / sub-domain to be used for production and the ability to update DNS records are available.</w:t>
      </w:r>
    </w:p>
    <w:p>
      <w:pPr>
        <w:pStyle w:val="ListBullet"/>
        <w:spacing w:after="60"/>
      </w:pPr>
      <w:r>
        <w:rPr>
          <w:sz w:val="21"/>
        </w:rPr>
        <w:t>SMTP / email service details are provided for scheme notifications.</w:t>
      </w:r>
    </w:p>
    <w:p>
      <w:pPr>
        <w:pStyle w:val="ListBullet"/>
        <w:spacing w:after="60"/>
      </w:pPr>
      <w:r>
        <w:rPr>
          <w:sz w:val="21"/>
        </w:rPr>
        <w:t>A mutually agreed cutover window is provided; brief, planned downtime during final cutover is acceptable.</w:t>
      </w:r>
    </w:p>
    <w:p>
      <w:pPr>
        <w:pStyle w:val="ListBullet"/>
        <w:spacing w:after="60"/>
      </w:pPr>
      <w:r>
        <w:rPr>
          <w:sz w:val="21"/>
        </w:rPr>
        <w:t>Client-side stakeholders are available for UAT sign-off on Day 5.</w:t>
      </w:r>
    </w:p>
    <w:p>
      <w:pPr>
        <w:pStyle w:val="ListBullet"/>
        <w:spacing w:after="60"/>
      </w:pPr>
      <w:r>
        <w:rPr>
          <w:sz w:val="21"/>
        </w:rPr>
        <w:t>No new functional development or scope change is introduced during this engagement.</w:t>
      </w:r>
    </w:p>
    <w:p>
      <w:pPr>
        <w:pBdr>
          <w:bottom w:val="single" w:sz="6" w:space="1" w:color="BFBFBF"/>
        </w:pBdr>
      </w:pPr>
    </w:p>
    <w:p>
      <w:pPr>
        <w:pStyle w:val="Heading1"/>
      </w:pPr>
      <w:r>
        <w:t>11. Risks &amp; Mitigation</w:t>
      </w:r>
    </w:p>
    <w:tbl>
      <w:tblPr>
        <w:tblStyle w:val="TableGrid"/>
        <w:tblW w:type="auto" w:w="0"/>
        <w:jc w:val="center"/>
        <w:tblLook w:firstColumn="1" w:firstRow="1" w:lastColumn="0" w:lastRow="0" w:noHBand="0" w:noVBand="1" w:val="04A0"/>
      </w:tblPr>
      <w:tblGrid>
        <w:gridCol w:w="4873"/>
        <w:gridCol w:w="4873"/>
      </w:tblGrid>
      <w:tr>
        <w:tc>
          <w:tcPr>
            <w:tcW w:type="dxa" w:w="3744"/>
            <w:shd w:val="clear" w:color="auto" w:fill="1F4E79"/>
          </w:tcPr>
          <w:p>
            <w:r/>
            <w:r>
              <w:rPr>
                <w:rFonts w:ascii="Calibri" w:hAnsi="Calibri"/>
                <w:b/>
                <w:color w:val="FFFFFF"/>
                <w:sz w:val="20"/>
              </w:rPr>
              <w:t>Risk</w:t>
            </w:r>
          </w:p>
        </w:tc>
        <w:tc>
          <w:tcPr>
            <w:tcW w:type="dxa" w:w="5616"/>
            <w:shd w:val="clear" w:color="auto" w:fill="1F4E79"/>
          </w:tcPr>
          <w:p>
            <w:r/>
            <w:r>
              <w:rPr>
                <w:rFonts w:ascii="Calibri" w:hAnsi="Calibri"/>
                <w:b/>
                <w:color w:val="FFFFFF"/>
                <w:sz w:val="20"/>
              </w:rPr>
              <w:t>Mitigation</w:t>
            </w:r>
          </w:p>
        </w:tc>
      </w:tr>
      <w:tr>
        <w:tc>
          <w:tcPr>
            <w:tcW w:type="dxa" w:w="3744"/>
          </w:tcPr>
          <w:p>
            <w:r/>
            <w:r>
              <w:rPr>
                <w:rFonts w:ascii="Calibri" w:hAnsi="Calibri"/>
                <w:b w:val="0"/>
                <w:sz w:val="20"/>
              </w:rPr>
              <w:t>Data loss or corruption during migration</w:t>
            </w:r>
          </w:p>
        </w:tc>
        <w:tc>
          <w:tcPr>
            <w:tcW w:type="dxa" w:w="5616"/>
          </w:tcPr>
          <w:p>
            <w:r/>
            <w:r>
              <w:rPr>
                <w:rFonts w:ascii="Calibri" w:hAnsi="Calibri"/>
                <w:b w:val="0"/>
                <w:sz w:val="20"/>
              </w:rPr>
              <w:t>Full verified backup of the source before cutover; integrity checks post-restore; source VM retained as rollback until sign-off.</w:t>
            </w:r>
          </w:p>
        </w:tc>
      </w:tr>
      <w:tr>
        <w:tc>
          <w:tcPr>
            <w:tcW w:type="dxa" w:w="3744"/>
            <w:shd w:val="clear" w:color="auto" w:fill="DCE6F1"/>
          </w:tcPr>
          <w:p>
            <w:r/>
            <w:r>
              <w:rPr>
                <w:rFonts w:ascii="Calibri" w:hAnsi="Calibri"/>
                <w:b w:val="0"/>
                <w:sz w:val="20"/>
              </w:rPr>
              <w:t>Extended downtime affecting live sales users</w:t>
            </w:r>
          </w:p>
        </w:tc>
        <w:tc>
          <w:tcPr>
            <w:tcW w:type="dxa" w:w="5616"/>
            <w:shd w:val="clear" w:color="auto" w:fill="DCE6F1"/>
          </w:tcPr>
          <w:p>
            <w:r/>
            <w:r>
              <w:rPr>
                <w:rFonts w:ascii="Calibri" w:hAnsi="Calibri"/>
                <w:b w:val="0"/>
                <w:sz w:val="20"/>
              </w:rPr>
              <w:t>Cutover during an agreed low-usage window; parallel-build approach so the source stays live until the new environment is validated.</w:t>
            </w:r>
          </w:p>
        </w:tc>
      </w:tr>
      <w:tr>
        <w:tc>
          <w:tcPr>
            <w:tcW w:type="dxa" w:w="3744"/>
          </w:tcPr>
          <w:p>
            <w:r/>
            <w:r>
              <w:rPr>
                <w:rFonts w:ascii="Calibri" w:hAnsi="Calibri"/>
                <w:b w:val="0"/>
                <w:sz w:val="20"/>
              </w:rPr>
              <w:t>Resource contention under new load</w:t>
            </w:r>
          </w:p>
        </w:tc>
        <w:tc>
          <w:tcPr>
            <w:tcW w:type="dxa" w:w="5616"/>
          </w:tcPr>
          <w:p>
            <w:r/>
            <w:r>
              <w:rPr>
                <w:rFonts w:ascii="Calibri" w:hAnsi="Calibri"/>
                <w:b w:val="0"/>
                <w:sz w:val="20"/>
              </w:rPr>
              <w:t>Right-sized VPS (4 vCPU / 8 GB), production tuning of workers/DB/Redis, and a vertical-resize path on Bluehost.</w:t>
            </w:r>
          </w:p>
        </w:tc>
      </w:tr>
      <w:tr>
        <w:tc>
          <w:tcPr>
            <w:tcW w:type="dxa" w:w="3744"/>
            <w:shd w:val="clear" w:color="auto" w:fill="DCE6F1"/>
          </w:tcPr>
          <w:p>
            <w:r/>
            <w:r>
              <w:rPr>
                <w:rFonts w:ascii="Calibri" w:hAnsi="Calibri"/>
                <w:b w:val="0"/>
                <w:sz w:val="20"/>
              </w:rPr>
              <w:t>Delayed client inputs (VPS / DNS / access)</w:t>
            </w:r>
          </w:p>
        </w:tc>
        <w:tc>
          <w:tcPr>
            <w:tcW w:type="dxa" w:w="5616"/>
            <w:shd w:val="clear" w:color="auto" w:fill="DCE6F1"/>
          </w:tcPr>
          <w:p>
            <w:r/>
            <w:r>
              <w:rPr>
                <w:rFonts w:ascii="Calibri" w:hAnsi="Calibri"/>
                <w:b w:val="0"/>
                <w:sz w:val="20"/>
              </w:rPr>
              <w:t>Clear dependency list (Section 10); schedule starts on receipt of all inputs.</w:t>
            </w:r>
          </w:p>
        </w:tc>
      </w:tr>
      <w:tr>
        <w:tc>
          <w:tcPr>
            <w:tcW w:type="dxa" w:w="3744"/>
          </w:tcPr>
          <w:p>
            <w:r/>
            <w:r>
              <w:rPr>
                <w:rFonts w:ascii="Calibri" w:hAnsi="Calibri"/>
                <w:b w:val="0"/>
                <w:sz w:val="20"/>
              </w:rPr>
              <w:t>Security exposure (internet-facing)</w:t>
            </w:r>
          </w:p>
        </w:tc>
        <w:tc>
          <w:tcPr>
            <w:tcW w:type="dxa" w:w="5616"/>
          </w:tcPr>
          <w:p>
            <w:r/>
            <w:r>
              <w:rPr>
                <w:rFonts w:ascii="Calibri" w:hAnsi="Calibri"/>
                <w:b w:val="0"/>
                <w:sz w:val="20"/>
              </w:rPr>
              <w:t>OS hardening, firewall, SSH keys, SSL/HTTPS, role-based access and restricted ports.</w:t>
            </w:r>
          </w:p>
        </w:tc>
      </w:tr>
    </w:tbl>
    <w:p>
      <w:pPr>
        <w:pBdr>
          <w:bottom w:val="single" w:sz="6" w:space="1" w:color="BFBFBF"/>
        </w:pBdr>
      </w:pPr>
    </w:p>
    <w:p>
      <w:pPr>
        <w:pStyle w:val="Heading1"/>
      </w:pPr>
      <w:r>
        <w:t>12. Deliverables</w:t>
      </w:r>
    </w:p>
    <w:p>
      <w:pPr>
        <w:pStyle w:val="ListBullet"/>
        <w:spacing w:after="60"/>
      </w:pPr>
      <w:r>
        <w:rPr>
          <w:sz w:val="21"/>
        </w:rPr>
        <w:t>A fully provisioned, hardened and production-tuned Bluehost VPS running the complete Scanify platform.</w:t>
      </w:r>
    </w:p>
    <w:p>
      <w:pPr>
        <w:pStyle w:val="ListBullet"/>
        <w:spacing w:after="60"/>
      </w:pPr>
      <w:r>
        <w:rPr>
          <w:sz w:val="21"/>
        </w:rPr>
        <w:t>Both modules (Sales / Stock Statement and Scheme Management) live and accessible over secure HTTPS.</w:t>
      </w:r>
    </w:p>
    <w:p>
      <w:pPr>
        <w:pStyle w:val="ListBullet"/>
        <w:spacing w:after="60"/>
      </w:pPr>
      <w:r>
        <w:rPr>
          <w:sz w:val="21"/>
        </w:rPr>
        <w:t>All application code, configuration and data (database + attachments) migrated and integrity-verified.</w:t>
      </w:r>
    </w:p>
    <w:p>
      <w:pPr>
        <w:pStyle w:val="ListBullet"/>
        <w:spacing w:after="60"/>
      </w:pPr>
      <w:r>
        <w:rPr>
          <w:sz w:val="21"/>
        </w:rPr>
        <w:t>SSL/TLS, automated backups and basic monitoring configured.</w:t>
      </w:r>
    </w:p>
    <w:p>
      <w:pPr>
        <w:pStyle w:val="ListBullet"/>
        <w:spacing w:after="60"/>
      </w:pPr>
      <w:r>
        <w:rPr>
          <w:sz w:val="21"/>
        </w:rPr>
        <w:t>Handover runbook covering server access, service management, backup/restore and basic troubleshooting.</w:t>
      </w:r>
    </w:p>
    <w:p>
      <w:pPr>
        <w:pStyle w:val="ListBullet"/>
        <w:spacing w:after="60"/>
      </w:pPr>
      <w:r>
        <w:rPr>
          <w:sz w:val="21"/>
        </w:rPr>
        <w:t>Go-live confirmation and UAT sign-off.</w:t>
      </w:r>
    </w:p>
    <w:p>
      <w:pPr>
        <w:pBdr>
          <w:bottom w:val="single" w:sz="6" w:space="1" w:color="BFBFBF"/>
        </w:pBdr>
      </w:pPr>
    </w:p>
    <w:p>
      <w:pPr>
        <w:pStyle w:val="Heading1"/>
      </w:pPr>
      <w:r>
        <w:t>13. Acceptance Criteria</w:t>
      </w:r>
    </w:p>
    <w:p>
      <w:pPr>
        <w:pStyle w:val="ListBullet"/>
        <w:spacing w:after="60"/>
      </w:pPr>
      <w:r>
        <w:rPr>
          <w:sz w:val="21"/>
        </w:rPr>
        <w:t>Both modules are accessible over HTTPS on the new VPS and function as they did on the Hyper-V VM.</w:t>
      </w:r>
    </w:p>
    <w:p>
      <w:pPr>
        <w:pStyle w:val="ListBullet"/>
        <w:spacing w:after="60"/>
      </w:pPr>
      <w:r>
        <w:rPr>
          <w:sz w:val="21"/>
        </w:rPr>
        <w:t>All migrated master and transactional data reconcile with the source (record counts and spot checks).</w:t>
      </w:r>
    </w:p>
    <w:p>
      <w:pPr>
        <w:pStyle w:val="ListBullet"/>
        <w:spacing w:after="60"/>
      </w:pPr>
      <w:r>
        <w:rPr>
          <w:sz w:val="21"/>
        </w:rPr>
        <w:t>Division-controlled access and the Division → Zone → Region → Team → HQ hierarchy behave correctly.</w:t>
      </w:r>
    </w:p>
    <w:p>
      <w:pPr>
        <w:pStyle w:val="ListBullet"/>
        <w:spacing w:after="60"/>
      </w:pPr>
      <w:r>
        <w:rPr>
          <w:sz w:val="21"/>
        </w:rPr>
        <w:t>Scheme workflow (submit / approve / reroute / reject), notifications and reporting operate as expected.</w:t>
      </w:r>
    </w:p>
    <w:p>
      <w:pPr>
        <w:pStyle w:val="ListBullet"/>
        <w:spacing w:after="60"/>
      </w:pPr>
      <w:r>
        <w:rPr>
          <w:sz w:val="21"/>
        </w:rPr>
        <w:t>Backups run successfully and a restore has been validated.</w:t>
      </w:r>
    </w:p>
    <w:p>
      <w:pPr>
        <w:pBdr>
          <w:bottom w:val="single" w:sz="6" w:space="1" w:color="BFBFBF"/>
        </w:pBdr>
      </w:pPr>
    </w:p>
    <w:p>
      <w:pPr>
        <w:pStyle w:val="Heading1"/>
      </w:pPr>
      <w:r>
        <w:t>14. Approval &amp; Sign-off</w:t>
      </w:r>
    </w:p>
    <w:p>
      <w:pPr>
        <w:spacing w:after="120"/>
      </w:pPr>
      <w:r>
        <w:rPr>
          <w:b w:val="0"/>
          <w:i w:val="0"/>
          <w:sz w:val="21"/>
        </w:rPr>
        <w:t>By signing below, both parties agree to the scope, effort and commercial terms set out in this Change Request.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1"/>
          </w:tcPr>
          <w:p>
            <w:r/>
            <w:r>
              <w:rPr>
                <w:rFonts w:ascii="Calibri" w:hAnsi="Calibri"/>
                <w:b/>
                <w:sz w:val="20"/>
              </w:rPr>
              <w:t>For Kodivian Technologies LLP</w:t>
            </w:r>
          </w:p>
        </w:tc>
        <w:tc>
          <w:tcPr>
            <w:tcW w:type="dxa" w:w="4873"/>
            <w:shd w:val="clear" w:color="auto" w:fill="DCE6F1"/>
          </w:tcPr>
          <w:p>
            <w:r/>
            <w:r>
              <w:rPr>
                <w:rFonts w:ascii="Calibri" w:hAnsi="Calibri"/>
                <w:b/>
                <w:sz w:val="20"/>
              </w:rPr>
              <w:t>For Stedman Pharmaceuticals</w:t>
            </w:r>
          </w:p>
        </w:tc>
      </w:tr>
      <w:tr>
        <w:tc>
          <w:tcPr>
            <w:tcW w:type="dxa" w:w="4873"/>
          </w:tcPr>
          <w:p>
            <w:r/>
            <w:r>
              <w:rPr>
                <w:rFonts w:ascii="Calibri" w:hAnsi="Calibri"/>
                <w:b w:val="0"/>
                <w:sz w:val="20"/>
              </w:rPr>
              <w:t>Name: ____________________________</w:t>
            </w:r>
          </w:p>
        </w:tc>
        <w:tc>
          <w:tcPr>
            <w:tcW w:type="dxa" w:w="4873"/>
          </w:tcPr>
          <w:p>
            <w:r/>
            <w:r>
              <w:rPr>
                <w:rFonts w:ascii="Calibri" w:hAnsi="Calibri"/>
                <w:b w:val="0"/>
                <w:sz w:val="20"/>
              </w:rPr>
              <w:t>Name: ____________________________</w:t>
            </w:r>
          </w:p>
        </w:tc>
      </w:tr>
      <w:tr>
        <w:tc>
          <w:tcPr>
            <w:tcW w:type="dxa" w:w="4873"/>
          </w:tcPr>
          <w:p>
            <w:r/>
            <w:r>
              <w:rPr>
                <w:rFonts w:ascii="Calibri" w:hAnsi="Calibri"/>
                <w:b w:val="0"/>
                <w:sz w:val="20"/>
              </w:rPr>
              <w:t>Designation: ______________________</w:t>
            </w:r>
          </w:p>
        </w:tc>
        <w:tc>
          <w:tcPr>
            <w:tcW w:type="dxa" w:w="4873"/>
          </w:tcPr>
          <w:p>
            <w:r/>
            <w:r>
              <w:rPr>
                <w:rFonts w:ascii="Calibri" w:hAnsi="Calibri"/>
                <w:b w:val="0"/>
                <w:sz w:val="20"/>
              </w:rPr>
              <w:t>Designation: ______________________</w:t>
            </w:r>
          </w:p>
        </w:tc>
      </w:tr>
      <w:tr>
        <w:tc>
          <w:tcPr>
            <w:tcW w:type="dxa" w:w="4873"/>
          </w:tcPr>
          <w:p>
            <w:r/>
            <w:r>
              <w:rPr>
                <w:rFonts w:ascii="Calibri" w:hAnsi="Calibri"/>
                <w:b w:val="0"/>
                <w:sz w:val="20"/>
              </w:rPr>
              <w:t>Signature &amp; Date: __________________</w:t>
            </w:r>
          </w:p>
        </w:tc>
        <w:tc>
          <w:tcPr>
            <w:tcW w:type="dxa" w:w="4873"/>
          </w:tcPr>
          <w:p>
            <w:r/>
            <w:r>
              <w:rPr>
                <w:rFonts w:ascii="Calibri" w:hAnsi="Calibri"/>
                <w:b w:val="0"/>
                <w:sz w:val="20"/>
              </w:rPr>
              <w:t>Signature &amp; Date: __________________</w:t>
            </w:r>
          </w:p>
        </w:tc>
      </w:tr>
    </w:tbl>
    <w:p/>
    <w:p>
      <w:pPr>
        <w:spacing w:after="120"/>
        <w:jc w:val="center"/>
      </w:pPr>
      <w:r>
        <w:rPr>
          <w:b w:val="0"/>
          <w:i/>
          <w:color w:val="595959"/>
          <w:sz w:val="18"/>
        </w:rPr>
        <w:t>— End of Change Request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Kodivian Technologies LLP  |  Confidential  –  Prepared for Stedman Pharmaceuticals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