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rPr>
          <w:b/>
          <w:color w:val="2E6FB5"/>
          <w:sz w:val="32"/>
        </w:rPr>
        <w:t>Stedman Pharmaceuticals</w:t>
      </w:r>
    </w:p>
    <w:p>
      <w:pPr>
        <w:jc w:val="center"/>
      </w:pPr>
      <w:r>
        <w:rPr>
          <w:b/>
          <w:color w:val="1F3A5F"/>
          <w:sz w:val="56"/>
        </w:rPr>
        <w:br/>
        <w:t>CHANGE REQUEST (CR) ANALYSIS REPORT</w:t>
      </w:r>
    </w:p>
    <w:p>
      <w:pPr>
        <w:jc w:val="center"/>
      </w:pPr>
      <w:r>
        <w:rPr>
          <w:i/>
          <w:color w:val="555555"/>
          <w:sz w:val="26"/>
        </w:rPr>
        <w:t>Scope Delivered Beyond the System Requirement Specification (SRS v1.1)</w:t>
      </w:r>
    </w:p>
    <w:p>
      <w:pPr>
        <w:jc w:val="center"/>
      </w:pPr>
      <w:r>
        <w:rPr>
          <w:color w:val="555555"/>
          <w:sz w:val="22"/>
        </w:rPr>
        <w:br/>
        <w:t>Project: "Scanify" — Scheme Management System &amp; Stock Statement Entry Automation</w:t>
      </w:r>
    </w:p>
    <w:p/>
    <w:p/>
    <w:p/>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A5F"/>
          </w:tcPr>
          <w:p>
            <w:r/>
            <w:r>
              <w:rPr>
                <w:b/>
                <w:color w:val="FFFFFF"/>
                <w:sz w:val="20"/>
              </w:rPr>
              <w:t>Document Name</w:t>
            </w:r>
          </w:p>
        </w:tc>
        <w:tc>
          <w:tcPr>
            <w:tcW w:type="dxa" w:w="4320"/>
          </w:tcPr>
          <w:p>
            <w:r/>
            <w:r>
              <w:rPr>
                <w:b w:val="0"/>
                <w:sz w:val="20"/>
              </w:rPr>
              <w:t>CR Analysis Report — Delivered Scope vs. SRS</w:t>
            </w:r>
          </w:p>
        </w:tc>
      </w:tr>
      <w:tr>
        <w:tc>
          <w:tcPr>
            <w:tcW w:type="dxa" w:w="4320"/>
            <w:shd w:val="clear" w:color="auto" w:fill="1F3A5F"/>
          </w:tcPr>
          <w:p>
            <w:r/>
            <w:r>
              <w:rPr>
                <w:b/>
                <w:color w:val="FFFFFF"/>
                <w:sz w:val="20"/>
              </w:rPr>
              <w:t>Related Baseline</w:t>
            </w:r>
          </w:p>
        </w:tc>
        <w:tc>
          <w:tcPr>
            <w:tcW w:type="dxa" w:w="4320"/>
          </w:tcPr>
          <w:p>
            <w:r/>
            <w:r>
              <w:rPr>
                <w:b w:val="0"/>
                <w:sz w:val="20"/>
              </w:rPr>
              <w:t>System Requirement Specification, Release 1.1 (Kodivian Technologies)</w:t>
            </w:r>
          </w:p>
        </w:tc>
      </w:tr>
      <w:tr>
        <w:tc>
          <w:tcPr>
            <w:tcW w:type="dxa" w:w="4320"/>
            <w:shd w:val="clear" w:color="auto" w:fill="1F3A5F"/>
          </w:tcPr>
          <w:p>
            <w:r/>
            <w:r>
              <w:rPr>
                <w:b/>
                <w:color w:val="FFFFFF"/>
                <w:sz w:val="20"/>
              </w:rPr>
              <w:t>Application</w:t>
            </w:r>
          </w:p>
        </w:tc>
        <w:tc>
          <w:tcPr>
            <w:tcW w:type="dxa" w:w="4320"/>
          </w:tcPr>
          <w:p>
            <w:r/>
            <w:r>
              <w:rPr>
                <w:b w:val="0"/>
                <w:sz w:val="20"/>
              </w:rPr>
              <w:t>Scanify (Frappe / Bench, MariaDB, Redis)</w:t>
            </w:r>
          </w:p>
        </w:tc>
      </w:tr>
      <w:tr>
        <w:tc>
          <w:tcPr>
            <w:tcW w:type="dxa" w:w="4320"/>
            <w:shd w:val="clear" w:color="auto" w:fill="1F3A5F"/>
          </w:tcPr>
          <w:p>
            <w:r/>
            <w:r>
              <w:rPr>
                <w:b/>
                <w:color w:val="FFFFFF"/>
                <w:sz w:val="20"/>
              </w:rPr>
              <w:t>Analysis Basis</w:t>
            </w:r>
          </w:p>
        </w:tc>
        <w:tc>
          <w:tcPr>
            <w:tcW w:type="dxa" w:w="4320"/>
          </w:tcPr>
          <w:p>
            <w:r/>
            <w:r>
              <w:rPr>
                <w:b w:val="0"/>
                <w:sz w:val="20"/>
              </w:rPr>
              <w:t>Full walkthrough of the www/ portal, DocType models, and api.py service layer</w:t>
            </w:r>
          </w:p>
        </w:tc>
      </w:tr>
      <w:tr>
        <w:tc>
          <w:tcPr>
            <w:tcW w:type="dxa" w:w="4320"/>
            <w:shd w:val="clear" w:color="auto" w:fill="1F3A5F"/>
          </w:tcPr>
          <w:p>
            <w:r/>
            <w:r>
              <w:rPr>
                <w:b/>
                <w:color w:val="FFFFFF"/>
                <w:sz w:val="20"/>
              </w:rPr>
              <w:t>Prepared For</w:t>
            </w:r>
          </w:p>
        </w:tc>
        <w:tc>
          <w:tcPr>
            <w:tcW w:type="dxa" w:w="4320"/>
          </w:tcPr>
          <w:p>
            <w:r/>
            <w:r>
              <w:rPr>
                <w:b w:val="0"/>
                <w:sz w:val="20"/>
              </w:rPr>
              <w:t>Stedman Pharmaceuticals</w:t>
            </w:r>
          </w:p>
        </w:tc>
      </w:tr>
      <w:tr>
        <w:tc>
          <w:tcPr>
            <w:tcW w:type="dxa" w:w="4320"/>
            <w:shd w:val="clear" w:color="auto" w:fill="1F3A5F"/>
          </w:tcPr>
          <w:p>
            <w:r/>
            <w:r>
              <w:rPr>
                <w:b/>
                <w:color w:val="FFFFFF"/>
                <w:sz w:val="20"/>
              </w:rPr>
              <w:t>Date</w:t>
            </w:r>
          </w:p>
        </w:tc>
        <w:tc>
          <w:tcPr>
            <w:tcW w:type="dxa" w:w="4320"/>
          </w:tcPr>
          <w:p>
            <w:r/>
            <w:r>
              <w:rPr>
                <w:b w:val="0"/>
                <w:sz w:val="20"/>
              </w:rPr>
              <w:t>01 July 2026</w:t>
            </w:r>
          </w:p>
        </w:tc>
      </w:tr>
    </w:tbl>
    <w:p>
      <w:r>
        <w:br w:type="page"/>
      </w:r>
    </w:p>
    <w:p>
      <w:pPr>
        <w:pStyle w:val="Heading1"/>
      </w:pPr>
      <w:r>
        <w:rPr>
          <w:color w:val="1F3A5F"/>
          <w:sz w:val="32"/>
        </w:rPr>
        <w:t>1. Purpose of this Document</w:t>
      </w:r>
    </w:p>
    <w:p>
      <w:r>
        <w:rPr>
          <w:b w:val="0"/>
          <w:i w:val="0"/>
          <w:sz w:val="21"/>
        </w:rPr>
        <w:t>The System Requirement Specification (SRS v1.1) defined the agreed scope for the Scanify application covering two modules: Scheme Management and Stock Statement Entry Automation. During implementation, the application was re-platformed and substantially expanded beyond that baseline.</w:t>
      </w:r>
    </w:p>
    <w:p>
      <w:r>
        <w:rPr>
          <w:b w:val="0"/>
          <w:i w:val="0"/>
          <w:sz w:val="21"/>
        </w:rPr>
        <w:t>This Change Request (CR) Analysis Report documents, item by item, the functionality that has been designed and built into the delivered portal but which is NOT part of the signed SRS scope, or which materially extends/changes what the SRS described. Each item is presented with the SRS baseline, what was actually delivered (verified against the codebase), and a classification (New Module, Scope Expansion, or Technology Change).</w:t>
      </w:r>
    </w:p>
    <w:p>
      <w:r>
        <w:rPr>
          <w:b w:val="0"/>
          <w:i/>
          <w:color w:val="555555"/>
          <w:sz w:val="21"/>
        </w:rPr>
        <w:t>The intent is to provide a defensible basis for re-baselining the SRS and, where applicable, for commercial change-request discussions.</w:t>
      </w:r>
    </w:p>
    <w:p>
      <w:pPr>
        <w:pStyle w:val="Heading1"/>
      </w:pPr>
      <w:r>
        <w:rPr>
          <w:color w:val="1F3A5F"/>
          <w:sz w:val="32"/>
        </w:rPr>
        <w:t>2. Basis of Analysis</w:t>
      </w:r>
    </w:p>
    <w:p>
      <w:r>
        <w:rPr>
          <w:b w:val="0"/>
          <w:i w:val="0"/>
          <w:sz w:val="21"/>
        </w:rPr>
        <w:t>The delivered application was reviewed directly against source. The following were examined in full:</w:t>
      </w:r>
    </w:p>
    <w:p>
      <w:pPr>
        <w:pStyle w:val="ListBullet"/>
      </w:pPr>
      <w:r>
        <w:t>The portal shell and navigation — templates/portal_base.html (division switcher, session-scoped division context, 9 navigation groups, ~36 pages).</w:t>
      </w:r>
    </w:p>
    <w:p>
      <w:pPr>
        <w:pStyle w:val="ListBullet"/>
      </w:pPr>
      <w:r>
        <w:t>All server-rendered portal pages under www/portal/ (approx. 38 page modules, ~25,000 lines of HTML/JS/Python controllers).</w:t>
      </w:r>
    </w:p>
    <w:p>
      <w:pPr>
        <w:pStyle w:val="ListBullet"/>
      </w:pPr>
      <w:r>
        <w:t>The service layer — scanify/api.py (~14,600 lines, ~180 whitelisted endpoints).</w:t>
      </w:r>
    </w:p>
    <w:p>
      <w:pPr>
        <w:pStyle w:val="ListBullet"/>
      </w:pPr>
      <w:r>
        <w:t>The data model — 40+ DocTypes under scanify/doctype/ (masters, transactional, and report entities).</w:t>
      </w:r>
    </w:p>
    <w:p>
      <w:pPr>
        <w:pStyle w:val="ListBullet"/>
      </w:pPr>
      <w:r>
        <w:t>Platform wiring — hooks.py, boot.py, permissions.py, auth.py.</w:t>
      </w:r>
    </w:p>
    <w:p>
      <w:r>
        <w:rPr>
          <w:b w:val="0"/>
          <w:i/>
          <w:color w:val="555555"/>
          <w:sz w:val="21"/>
        </w:rPr>
        <w:t>Where a delivered capability is referenced below, it corresponds to observed pages, DocTypes, and API endpoints in the codebase.</w:t>
      </w:r>
    </w:p>
    <w:p>
      <w:pPr>
        <w:pStyle w:val="Heading1"/>
      </w:pPr>
      <w:r>
        <w:rPr>
          <w:color w:val="1F3A5F"/>
          <w:sz w:val="32"/>
        </w:rPr>
        <w:t>3. Executive Summary</w:t>
      </w:r>
    </w:p>
    <w:p>
      <w:r>
        <w:rPr>
          <w:b w:val="0"/>
          <w:i w:val="0"/>
          <w:sz w:val="21"/>
        </w:rPr>
        <w:t>The SRS described a Frappe desk-workspace application built primarily from standard DocType forms and list views, using Tesseract-based OCR, with a defined list of reports and a support-redirect chatbot. The delivered system goes considerably further:</w:t>
      </w:r>
    </w:p>
    <w:p>
      <w:pPr>
        <w:pStyle w:val="ListBullet"/>
      </w:pPr>
      <w:r>
        <w:rPr>
          <w:b/>
        </w:rPr>
        <w:t xml:space="preserve">Full portal re-platform. </w:t>
      </w:r>
      <w:r>
        <w:t>The entire front-end was re-engineered from a Frappe Desk workspace into a bespoke, division-aware web portal (www/) with a custom design system, sidebar navigation, and REST-driven pages.</w:t>
      </w:r>
    </w:p>
    <w:p>
      <w:pPr>
        <w:pStyle w:val="ListBullet"/>
      </w:pPr>
      <w:r>
        <w:rPr>
          <w:b/>
        </w:rPr>
        <w:t xml:space="preserve">AI extraction engine change. </w:t>
      </w:r>
      <w:r>
        <w:t>OCR was replaced with a Google Gemini multimodal (vision) LLM pipeline, adding confidence scoring, self-learning product-name corrections, and AI-based file-to-stockist auto-tagging.</w:t>
      </w:r>
    </w:p>
    <w:p>
      <w:pPr>
        <w:pStyle w:val="ListBullet"/>
      </w:pPr>
      <w:r>
        <w:rPr>
          <w:b/>
        </w:rPr>
        <w:t xml:space="preserve">Net-new modules. </w:t>
      </w:r>
      <w:r>
        <w:t>A Scheme Deduction engine, a Sales Target (HQ Yearly Target) module, a Bulk OCR job pipeline, an Audit Trail, and a natural-language Text-to-SQL analytics chatbot were added — none of these exist as functional modules in the SRS.</w:t>
      </w:r>
    </w:p>
    <w:p>
      <w:pPr>
        <w:pStyle w:val="ListBullet"/>
      </w:pPr>
      <w:r>
        <w:rPr>
          <w:b/>
        </w:rPr>
        <w:t xml:space="preserve">Scope expansion. </w:t>
      </w:r>
      <w:r>
        <w:t>The reporting suite was expanded well beyond the SRS list, and a five-tier geographic hierarchy (Division -&gt; Zone -&gt; Region -&gt; Team -&gt; HQ) was introduced.</w:t>
      </w:r>
    </w:p>
    <w:p>
      <w:r>
        <w:rPr>
          <w:b w:val="0"/>
          <w:i w:val="0"/>
          <w:sz w:val="21"/>
        </w:rPr>
        <w:t>A summary of all identified change items follows in Section 4, with detailed write-ups in Sections 5-8.</w:t>
      </w:r>
    </w:p>
    <w:p>
      <w:pPr>
        <w:pStyle w:val="Heading2"/>
      </w:pPr>
      <w:r>
        <w:rPr>
          <w:color w:val="2E6FB5"/>
          <w:sz w:val="26"/>
        </w:rPr>
        <w:t>3.1 Summary of Change Items</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color="auto" w:fill="1F3A5F"/>
          </w:tcPr>
          <w:p>
            <w:r/>
            <w:r>
              <w:rPr>
                <w:b/>
                <w:color w:val="FFFFFF"/>
                <w:sz w:val="19"/>
              </w:rPr>
              <w:t>CR ID</w:t>
            </w:r>
          </w:p>
        </w:tc>
        <w:tc>
          <w:tcPr>
            <w:tcW w:type="dxa" w:w="2880"/>
            <w:shd w:val="clear" w:color="auto" w:fill="1F3A5F"/>
          </w:tcPr>
          <w:p>
            <w:r/>
            <w:r>
              <w:rPr>
                <w:b/>
                <w:color w:val="FFFFFF"/>
                <w:sz w:val="19"/>
              </w:rPr>
              <w:t>Change Item</w:t>
            </w:r>
          </w:p>
        </w:tc>
        <w:tc>
          <w:tcPr>
            <w:tcW w:type="dxa" w:w="2160"/>
            <w:shd w:val="clear" w:color="auto" w:fill="1F3A5F"/>
          </w:tcPr>
          <w:p>
            <w:r/>
            <w:r>
              <w:rPr>
                <w:b/>
                <w:color w:val="FFFFFF"/>
                <w:sz w:val="19"/>
              </w:rPr>
              <w:t>Classification</w:t>
            </w:r>
          </w:p>
        </w:tc>
      </w:tr>
      <w:tr>
        <w:tc>
          <w:tcPr>
            <w:tcW w:type="dxa" w:w="2880"/>
          </w:tcPr>
          <w:p>
            <w:r/>
            <w:r>
              <w:rPr>
                <w:b/>
                <w:color w:val="1F3A5F"/>
                <w:sz w:val="18"/>
              </w:rPr>
              <w:t>CR-01</w:t>
            </w:r>
          </w:p>
        </w:tc>
        <w:tc>
          <w:tcPr>
            <w:tcW w:type="dxa" w:w="2880"/>
          </w:tcPr>
          <w:p>
            <w:r/>
            <w:r>
              <w:rPr>
                <w:b w:val="0"/>
                <w:sz w:val="18"/>
              </w:rPr>
              <w:t>Re-platform from Desk workspace to custom www/ portal</w:t>
            </w:r>
          </w:p>
        </w:tc>
        <w:tc>
          <w:tcPr>
            <w:tcW w:type="dxa" w:w="2880"/>
          </w:tcPr>
          <w:p>
            <w:r/>
            <w:r>
              <w:rPr>
                <w:b w:val="0"/>
                <w:color w:val="555555"/>
                <w:sz w:val="18"/>
              </w:rPr>
              <w:t>Technology Change</w:t>
            </w:r>
          </w:p>
        </w:tc>
      </w:tr>
      <w:tr>
        <w:tc>
          <w:tcPr>
            <w:tcW w:type="dxa" w:w="2880"/>
          </w:tcPr>
          <w:p>
            <w:r/>
            <w:r>
              <w:rPr>
                <w:b/>
                <w:color w:val="1F3A5F"/>
                <w:sz w:val="18"/>
              </w:rPr>
              <w:t>CR-02</w:t>
            </w:r>
          </w:p>
        </w:tc>
        <w:tc>
          <w:tcPr>
            <w:tcW w:type="dxa" w:w="2880"/>
          </w:tcPr>
          <w:p>
            <w:r/>
            <w:r>
              <w:rPr>
                <w:b w:val="0"/>
                <w:sz w:val="18"/>
              </w:rPr>
              <w:t>Division-scoped session &amp; permission architecture</w:t>
            </w:r>
          </w:p>
        </w:tc>
        <w:tc>
          <w:tcPr>
            <w:tcW w:type="dxa" w:w="2880"/>
          </w:tcPr>
          <w:p>
            <w:r/>
            <w:r>
              <w:rPr>
                <w:b w:val="0"/>
                <w:color w:val="555555"/>
                <w:sz w:val="18"/>
              </w:rPr>
              <w:t>Scope Expansion</w:t>
            </w:r>
          </w:p>
        </w:tc>
      </w:tr>
      <w:tr>
        <w:tc>
          <w:tcPr>
            <w:tcW w:type="dxa" w:w="2880"/>
          </w:tcPr>
          <w:p>
            <w:r/>
            <w:r>
              <w:rPr>
                <w:b/>
                <w:color w:val="1F3A5F"/>
                <w:sz w:val="18"/>
              </w:rPr>
              <w:t>CR-03</w:t>
            </w:r>
          </w:p>
        </w:tc>
        <w:tc>
          <w:tcPr>
            <w:tcW w:type="dxa" w:w="2880"/>
          </w:tcPr>
          <w:p>
            <w:r/>
            <w:r>
              <w:rPr>
                <w:b w:val="0"/>
                <w:sz w:val="18"/>
              </w:rPr>
              <w:t>Five-tier org hierarchy (Zone / State / Team masters)</w:t>
            </w:r>
          </w:p>
        </w:tc>
        <w:tc>
          <w:tcPr>
            <w:tcW w:type="dxa" w:w="2880"/>
          </w:tcPr>
          <w:p>
            <w:r/>
            <w:r>
              <w:rPr>
                <w:b w:val="0"/>
                <w:color w:val="555555"/>
                <w:sz w:val="18"/>
              </w:rPr>
              <w:t>Scope Expansion</w:t>
            </w:r>
          </w:p>
        </w:tc>
      </w:tr>
      <w:tr>
        <w:tc>
          <w:tcPr>
            <w:tcW w:type="dxa" w:w="2880"/>
          </w:tcPr>
          <w:p>
            <w:r/>
            <w:r>
              <w:rPr>
                <w:b/>
                <w:color w:val="1F3A5F"/>
                <w:sz w:val="18"/>
              </w:rPr>
              <w:t>CR-04</w:t>
            </w:r>
          </w:p>
        </w:tc>
        <w:tc>
          <w:tcPr>
            <w:tcW w:type="dxa" w:w="2880"/>
          </w:tcPr>
          <w:p>
            <w:r/>
            <w:r>
              <w:rPr>
                <w:b w:val="0"/>
                <w:sz w:val="18"/>
              </w:rPr>
              <w:t>Gemini vision LLM replacing Tesseract OCR</w:t>
            </w:r>
          </w:p>
        </w:tc>
        <w:tc>
          <w:tcPr>
            <w:tcW w:type="dxa" w:w="2880"/>
          </w:tcPr>
          <w:p>
            <w:r/>
            <w:r>
              <w:rPr>
                <w:b w:val="0"/>
                <w:color w:val="555555"/>
                <w:sz w:val="18"/>
              </w:rPr>
              <w:t>Technology Change</w:t>
            </w:r>
          </w:p>
        </w:tc>
      </w:tr>
      <w:tr>
        <w:tc>
          <w:tcPr>
            <w:tcW w:type="dxa" w:w="2880"/>
          </w:tcPr>
          <w:p>
            <w:r/>
            <w:r>
              <w:rPr>
                <w:b/>
                <w:color w:val="1F3A5F"/>
                <w:sz w:val="18"/>
              </w:rPr>
              <w:t>CR-05</w:t>
            </w:r>
          </w:p>
        </w:tc>
        <w:tc>
          <w:tcPr>
            <w:tcW w:type="dxa" w:w="2880"/>
          </w:tcPr>
          <w:p>
            <w:r/>
            <w:r>
              <w:rPr>
                <w:b w:val="0"/>
                <w:sz w:val="18"/>
              </w:rPr>
              <w:t>Bulk OCR pipeline (ZIP + async jobs + auto-tagging)</w:t>
            </w:r>
          </w:p>
        </w:tc>
        <w:tc>
          <w:tcPr>
            <w:tcW w:type="dxa" w:w="2880"/>
          </w:tcPr>
          <w:p>
            <w:r/>
            <w:r>
              <w:rPr>
                <w:b w:val="0"/>
                <w:color w:val="555555"/>
                <w:sz w:val="18"/>
              </w:rPr>
              <w:t>New Module</w:t>
            </w:r>
          </w:p>
        </w:tc>
      </w:tr>
      <w:tr>
        <w:tc>
          <w:tcPr>
            <w:tcW w:type="dxa" w:w="2880"/>
          </w:tcPr>
          <w:p>
            <w:r/>
            <w:r>
              <w:rPr>
                <w:b/>
                <w:color w:val="1F3A5F"/>
                <w:sz w:val="18"/>
              </w:rPr>
              <w:t>CR-06</w:t>
            </w:r>
          </w:p>
        </w:tc>
        <w:tc>
          <w:tcPr>
            <w:tcW w:type="dxa" w:w="2880"/>
          </w:tcPr>
          <w:p>
            <w:r/>
            <w:r>
              <w:rPr>
                <w:b w:val="0"/>
                <w:sz w:val="18"/>
              </w:rPr>
              <w:t>QC / validation workflow (draft, QC status, finalise, corrections)</w:t>
            </w:r>
          </w:p>
        </w:tc>
        <w:tc>
          <w:tcPr>
            <w:tcW w:type="dxa" w:w="2880"/>
          </w:tcPr>
          <w:p>
            <w:r/>
            <w:r>
              <w:rPr>
                <w:b w:val="0"/>
                <w:color w:val="555555"/>
                <w:sz w:val="18"/>
              </w:rPr>
              <w:t>Scope Expansion</w:t>
            </w:r>
          </w:p>
        </w:tc>
      </w:tr>
      <w:tr>
        <w:tc>
          <w:tcPr>
            <w:tcW w:type="dxa" w:w="2880"/>
          </w:tcPr>
          <w:p>
            <w:r/>
            <w:r>
              <w:rPr>
                <w:b/>
                <w:color w:val="1F3A5F"/>
                <w:sz w:val="18"/>
              </w:rPr>
              <w:t>CR-07</w:t>
            </w:r>
          </w:p>
        </w:tc>
        <w:tc>
          <w:tcPr>
            <w:tcW w:type="dxa" w:w="2880"/>
          </w:tcPr>
          <w:p>
            <w:r/>
            <w:r>
              <w:rPr>
                <w:b w:val="0"/>
                <w:sz w:val="18"/>
              </w:rPr>
              <w:t>Self-learning product-name correction + region exclusion</w:t>
            </w:r>
          </w:p>
        </w:tc>
        <w:tc>
          <w:tcPr>
            <w:tcW w:type="dxa" w:w="2880"/>
          </w:tcPr>
          <w:p>
            <w:r/>
            <w:r>
              <w:rPr>
                <w:b w:val="0"/>
                <w:color w:val="555555"/>
                <w:sz w:val="18"/>
              </w:rPr>
              <w:t>New Feature</w:t>
            </w:r>
          </w:p>
        </w:tc>
      </w:tr>
      <w:tr>
        <w:tc>
          <w:tcPr>
            <w:tcW w:type="dxa" w:w="2880"/>
          </w:tcPr>
          <w:p>
            <w:r/>
            <w:r>
              <w:rPr>
                <w:b/>
                <w:color w:val="1F3A5F"/>
                <w:sz w:val="18"/>
              </w:rPr>
              <w:t>CR-08</w:t>
            </w:r>
          </w:p>
        </w:tc>
        <w:tc>
          <w:tcPr>
            <w:tcW w:type="dxa" w:w="2880"/>
          </w:tcPr>
          <w:p>
            <w:r/>
            <w:r>
              <w:rPr>
                <w:b w:val="0"/>
                <w:sz w:val="18"/>
              </w:rPr>
              <w:t>Scheme Deduction engine (manual / bulk / auto)</w:t>
            </w:r>
          </w:p>
        </w:tc>
        <w:tc>
          <w:tcPr>
            <w:tcW w:type="dxa" w:w="2880"/>
          </w:tcPr>
          <w:p>
            <w:r/>
            <w:r>
              <w:rPr>
                <w:b w:val="0"/>
                <w:color w:val="555555"/>
                <w:sz w:val="18"/>
              </w:rPr>
              <w:t>New Module</w:t>
            </w:r>
          </w:p>
        </w:tc>
      </w:tr>
      <w:tr>
        <w:tc>
          <w:tcPr>
            <w:tcW w:type="dxa" w:w="2880"/>
          </w:tcPr>
          <w:p>
            <w:r/>
            <w:r>
              <w:rPr>
                <w:b/>
                <w:color w:val="1F3A5F"/>
                <w:sz w:val="18"/>
              </w:rPr>
              <w:t>CR-09</w:t>
            </w:r>
          </w:p>
        </w:tc>
        <w:tc>
          <w:tcPr>
            <w:tcW w:type="dxa" w:w="2880"/>
          </w:tcPr>
          <w:p>
            <w:r/>
            <w:r>
              <w:rPr>
                <w:b w:val="0"/>
                <w:sz w:val="18"/>
              </w:rPr>
              <w:t>Sales Target module (HQ Yearly Target + Target vs Sales)</w:t>
            </w:r>
          </w:p>
        </w:tc>
        <w:tc>
          <w:tcPr>
            <w:tcW w:type="dxa" w:w="2880"/>
          </w:tcPr>
          <w:p>
            <w:r/>
            <w:r>
              <w:rPr>
                <w:b w:val="0"/>
                <w:color w:val="555555"/>
                <w:sz w:val="18"/>
              </w:rPr>
              <w:t>New Module</w:t>
            </w:r>
          </w:p>
        </w:tc>
      </w:tr>
      <w:tr>
        <w:tc>
          <w:tcPr>
            <w:tcW w:type="dxa" w:w="2880"/>
          </w:tcPr>
          <w:p>
            <w:r/>
            <w:r>
              <w:rPr>
                <w:b/>
                <w:color w:val="1F3A5F"/>
                <w:sz w:val="18"/>
              </w:rPr>
              <w:t>CR-10</w:t>
            </w:r>
          </w:p>
        </w:tc>
        <w:tc>
          <w:tcPr>
            <w:tcW w:type="dxa" w:w="2880"/>
          </w:tcPr>
          <w:p>
            <w:r/>
            <w:r>
              <w:rPr>
                <w:b w:val="0"/>
                <w:sz w:val="18"/>
              </w:rPr>
              <w:t>Agentic Text-to-SQL analytics chatbot</w:t>
            </w:r>
          </w:p>
        </w:tc>
        <w:tc>
          <w:tcPr>
            <w:tcW w:type="dxa" w:w="2880"/>
          </w:tcPr>
          <w:p>
            <w:r/>
            <w:r>
              <w:rPr>
                <w:b w:val="0"/>
                <w:color w:val="555555"/>
                <w:sz w:val="18"/>
              </w:rPr>
              <w:t>Scope Expansion</w:t>
            </w:r>
          </w:p>
        </w:tc>
      </w:tr>
      <w:tr>
        <w:tc>
          <w:tcPr>
            <w:tcW w:type="dxa" w:w="2880"/>
          </w:tcPr>
          <w:p>
            <w:r/>
            <w:r>
              <w:rPr>
                <w:b/>
                <w:color w:val="1F3A5F"/>
                <w:sz w:val="18"/>
              </w:rPr>
              <w:t>CR-11</w:t>
            </w:r>
          </w:p>
        </w:tc>
        <w:tc>
          <w:tcPr>
            <w:tcW w:type="dxa" w:w="2880"/>
          </w:tcPr>
          <w:p>
            <w:r/>
            <w:r>
              <w:rPr>
                <w:b w:val="0"/>
                <w:sz w:val="18"/>
              </w:rPr>
              <w:t>Audit Trail / change history</w:t>
            </w:r>
          </w:p>
        </w:tc>
        <w:tc>
          <w:tcPr>
            <w:tcW w:type="dxa" w:w="2880"/>
          </w:tcPr>
          <w:p>
            <w:r/>
            <w:r>
              <w:rPr>
                <w:b w:val="0"/>
                <w:color w:val="555555"/>
                <w:sz w:val="18"/>
              </w:rPr>
              <w:t>New Module</w:t>
            </w:r>
          </w:p>
        </w:tc>
      </w:tr>
      <w:tr>
        <w:tc>
          <w:tcPr>
            <w:tcW w:type="dxa" w:w="2880"/>
          </w:tcPr>
          <w:p>
            <w:r/>
            <w:r>
              <w:rPr>
                <w:b/>
                <w:color w:val="1F3A5F"/>
                <w:sz w:val="18"/>
              </w:rPr>
              <w:t>CR-12</w:t>
            </w:r>
          </w:p>
        </w:tc>
        <w:tc>
          <w:tcPr>
            <w:tcW w:type="dxa" w:w="2880"/>
          </w:tcPr>
          <w:p>
            <w:r/>
            <w:r>
              <w:rPr>
                <w:b w:val="0"/>
                <w:sz w:val="18"/>
              </w:rPr>
              <w:t>Expanded reporting suite (Insights, Ranking, Stockist, Scheme)</w:t>
            </w:r>
          </w:p>
        </w:tc>
        <w:tc>
          <w:tcPr>
            <w:tcW w:type="dxa" w:w="2880"/>
          </w:tcPr>
          <w:p>
            <w:r/>
            <w:r>
              <w:rPr>
                <w:b w:val="0"/>
                <w:color w:val="555555"/>
                <w:sz w:val="18"/>
              </w:rPr>
              <w:t>Scope Expansion</w:t>
            </w:r>
          </w:p>
        </w:tc>
      </w:tr>
      <w:tr>
        <w:tc>
          <w:tcPr>
            <w:tcW w:type="dxa" w:w="2880"/>
          </w:tcPr>
          <w:p>
            <w:r/>
            <w:r>
              <w:rPr>
                <w:b/>
                <w:color w:val="1F3A5F"/>
                <w:sz w:val="18"/>
              </w:rPr>
              <w:t>CR-13</w:t>
            </w:r>
          </w:p>
        </w:tc>
        <w:tc>
          <w:tcPr>
            <w:tcW w:type="dxa" w:w="2880"/>
          </w:tcPr>
          <w:p>
            <w:r/>
            <w:r>
              <w:rPr>
                <w:b w:val="0"/>
                <w:sz w:val="18"/>
              </w:rPr>
              <w:t>Operational utilities (Reload, bulk delete, repeat request, exports)</w:t>
            </w:r>
          </w:p>
        </w:tc>
        <w:tc>
          <w:tcPr>
            <w:tcW w:type="dxa" w:w="2880"/>
          </w:tcPr>
          <w:p>
            <w:r/>
            <w:r>
              <w:rPr>
                <w:b w:val="0"/>
                <w:color w:val="555555"/>
                <w:sz w:val="18"/>
              </w:rPr>
              <w:t>New Features</w:t>
            </w:r>
          </w:p>
        </w:tc>
      </w:tr>
      <w:tr>
        <w:tc>
          <w:tcPr>
            <w:tcW w:type="dxa" w:w="2880"/>
          </w:tcPr>
          <w:p>
            <w:r/>
            <w:r>
              <w:rPr>
                <w:b/>
                <w:color w:val="1F3A5F"/>
                <w:sz w:val="18"/>
              </w:rPr>
              <w:t>CR-14</w:t>
            </w:r>
          </w:p>
        </w:tc>
        <w:tc>
          <w:tcPr>
            <w:tcW w:type="dxa" w:w="2880"/>
          </w:tcPr>
          <w:p>
            <w:r/>
            <w:r>
              <w:rPr>
                <w:b w:val="0"/>
                <w:sz w:val="18"/>
              </w:rPr>
              <w:t>Primary sales management screens (CRUD, month delete, export)</w:t>
            </w:r>
          </w:p>
        </w:tc>
        <w:tc>
          <w:tcPr>
            <w:tcW w:type="dxa" w:w="2880"/>
          </w:tcPr>
          <w:p>
            <w:r/>
            <w:r>
              <w:rPr>
                <w:b w:val="0"/>
                <w:color w:val="555555"/>
                <w:sz w:val="18"/>
              </w:rPr>
              <w:t>Scope Expansion</w:t>
            </w:r>
          </w:p>
        </w:tc>
      </w:tr>
    </w:tbl>
    <w:p>
      <w:r>
        <w:br w:type="page"/>
      </w:r>
    </w:p>
    <w:p>
      <w:pPr>
        <w:pStyle w:val="Heading1"/>
      </w:pPr>
      <w:r>
        <w:rPr>
          <w:color w:val="1F3A5F"/>
          <w:sz w:val="32"/>
        </w:rPr>
        <w:t>4. Architecture &amp; Platform Changes</w:t>
      </w:r>
    </w:p>
    <w:p>
      <w:pPr>
        <w:pStyle w:val="Heading3"/>
      </w:pPr>
      <w:r>
        <w:rPr>
          <w:color w:val="1F3A5F"/>
          <w:sz w:val="23"/>
        </w:rPr>
        <w:t>CR-01  Re-platform: Frappe Desk workspace -&gt; custom web portal (www/)</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described a Frappe-based web application delivered through standard DocType model/database handling, with the earlier build using desk list/form screens. The technical stack lists Frappe, Bootstrap, and 'DocType model/database handling' as the delivery mechanism.</w:t>
            </w:r>
          </w:p>
        </w:tc>
      </w:tr>
      <w:tr>
        <w:tc>
          <w:tcPr>
            <w:tcW w:type="dxa" w:w="2304"/>
            <w:shd w:val="clear" w:color="auto" w:fill="EAF1FB"/>
          </w:tcPr>
          <w:p>
            <w:r/>
            <w:r>
              <w:rPr>
                <w:b/>
                <w:color w:val="1F3A5F"/>
                <w:sz w:val="19"/>
              </w:rPr>
              <w:t>Delivered in Portal</w:t>
            </w:r>
          </w:p>
        </w:tc>
        <w:tc>
          <w:tcPr>
            <w:tcW w:type="dxa" w:w="4320"/>
          </w:tcPr>
          <w:p>
            <w:r/>
            <w:r>
              <w:rPr>
                <w:b w:val="0"/>
                <w:sz w:val="19"/>
              </w:rPr>
              <w:t>The entire operator-facing experience was rebuilt as a standalone server-rendered portal under www/portal/ — approximately 38 custom pages (dashboard, masters, statements, schemes, targets, analytics, users) on a shared Jinja shell (templates/portal_base.html) with a bespoke CSS design system, collapsible sidebar, top bar, user menu, and toast/loading framework. All page logic was re-implemented from the DocType JS/list screens into portal controllers backed by ~180 custom REST endpoints in api.py. This is a complete front-end re-engineering effort not represented in the SRS.</w:t>
            </w:r>
          </w:p>
        </w:tc>
      </w:tr>
      <w:tr>
        <w:tc>
          <w:tcPr>
            <w:tcW w:type="dxa" w:w="2304"/>
            <w:shd w:val="clear" w:color="auto" w:fill="EAF1FB"/>
          </w:tcPr>
          <w:p>
            <w:r/>
            <w:r>
              <w:rPr>
                <w:b/>
                <w:color w:val="1F3A5F"/>
                <w:sz w:val="19"/>
              </w:rPr>
              <w:t>Classification</w:t>
            </w:r>
          </w:p>
        </w:tc>
        <w:tc>
          <w:tcPr>
            <w:tcW w:type="dxa" w:w="4320"/>
          </w:tcPr>
          <w:p>
            <w:r/>
            <w:r>
              <w:rPr>
                <w:b w:val="0"/>
                <w:sz w:val="19"/>
              </w:rPr>
              <w:t>Technology Change / Major re-engineering. Effort far exceeds standard DocType form delivery implied by the SRS.</w:t>
            </w:r>
          </w:p>
        </w:tc>
      </w:tr>
    </w:tbl>
    <w:p/>
    <w:p>
      <w:pPr>
        <w:pStyle w:val="Heading3"/>
      </w:pPr>
      <w:r>
        <w:rPr>
          <w:color w:val="1F3A5F"/>
          <w:sz w:val="23"/>
        </w:rPr>
        <w:t>CR-02  Division-scoped session and permission architecture</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references Prima and Vektra as divisions in the data and reports, but does not specify a division-context switching mechanism, session persistence, or division-based access control.</w:t>
            </w:r>
          </w:p>
        </w:tc>
      </w:tr>
      <w:tr>
        <w:tc>
          <w:tcPr>
            <w:tcW w:type="dxa" w:w="2304"/>
            <w:shd w:val="clear" w:color="auto" w:fill="EAF1FB"/>
          </w:tcPr>
          <w:p>
            <w:r/>
            <w:r>
              <w:rPr>
                <w:b/>
                <w:color w:val="1F3A5F"/>
                <w:sz w:val="19"/>
              </w:rPr>
              <w:t>Delivered in Portal</w:t>
            </w:r>
          </w:p>
        </w:tc>
        <w:tc>
          <w:tcPr>
            <w:tcW w:type="dxa" w:w="4320"/>
          </w:tcPr>
          <w:p>
            <w:r/>
            <w:r>
              <w:rPr>
                <w:b w:val="0"/>
                <w:sz w:val="19"/>
              </w:rPr>
              <w:t>A division switcher was built into the portal shell (portal_base.html) allowing Prima/Vektra switching that persists across the session via set_user_division / get_user_division (api.py). Effectively every query, list, report, dashboard statistic, and export is filtered by the active division, and the website permission layer (permissions.py — has_scheme_permission, has_statement_permission) enforces division ownership. This is a cross-cutting architectural capability applied to all ~180 endpoints.</w:t>
            </w:r>
          </w:p>
        </w:tc>
      </w:tr>
      <w:tr>
        <w:tc>
          <w:tcPr>
            <w:tcW w:type="dxa" w:w="2304"/>
            <w:shd w:val="clear" w:color="auto" w:fill="EAF1FB"/>
          </w:tcPr>
          <w:p>
            <w:r/>
            <w:r>
              <w:rPr>
                <w:b/>
                <w:color w:val="1F3A5F"/>
                <w:sz w:val="19"/>
              </w:rPr>
              <w:t>Classification</w:t>
            </w:r>
          </w:p>
        </w:tc>
        <w:tc>
          <w:tcPr>
            <w:tcW w:type="dxa" w:w="4320"/>
          </w:tcPr>
          <w:p>
            <w:r/>
            <w:r>
              <w:rPr>
                <w:b w:val="0"/>
                <w:sz w:val="19"/>
              </w:rPr>
              <w:t>Scope Expansion — cross-cutting multi-division tenancy not specified in the SRS.</w:t>
            </w:r>
          </w:p>
        </w:tc>
      </w:tr>
    </w:tbl>
    <w:p/>
    <w:p>
      <w:pPr>
        <w:pStyle w:val="Heading3"/>
      </w:pPr>
      <w:r>
        <w:rPr>
          <w:color w:val="1F3A5F"/>
          <w:sz w:val="23"/>
        </w:rPr>
        <w:t>CR-03  Five-tier geographic hierarchy (Zone / State / Team masters)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Common Masters list Doctor, Product, Stockist, and HQ, plus a Sales Hierarchy Master of designations (ZSM, RSM, DRSM, ASM, SO) each mapped to 'a region and reporting manager'.</w:t>
            </w:r>
          </w:p>
        </w:tc>
      </w:tr>
      <w:tr>
        <w:tc>
          <w:tcPr>
            <w:tcW w:type="dxa" w:w="2304"/>
            <w:shd w:val="clear" w:color="auto" w:fill="EAF1FB"/>
          </w:tcPr>
          <w:p>
            <w:r/>
            <w:r>
              <w:rPr>
                <w:b/>
                <w:color w:val="1F3A5F"/>
                <w:sz w:val="19"/>
              </w:rPr>
              <w:t>Delivered in Portal</w:t>
            </w:r>
          </w:p>
        </w:tc>
        <w:tc>
          <w:tcPr>
            <w:tcW w:type="dxa" w:w="4320"/>
          </w:tcPr>
          <w:p>
            <w:r/>
            <w:r>
              <w:rPr>
                <w:b w:val="0"/>
                <w:sz w:val="19"/>
              </w:rPr>
              <w:t>A full geographic master hierarchy was implemented as first-class DocTypes and portal masters: Division -&gt; Zone -&gt; Region -&gt; Team -&gt; HQ, plus a State Master. Team Master includes derived attributes such as sanctioned strength with a recalculation routine (recalculate_team_sanctioned_strength). Reports and filters cascade through this hierarchy (zone/region/team/hq filters appear throughout the analytics endpoints).</w:t>
            </w:r>
          </w:p>
        </w:tc>
      </w:tr>
      <w:tr>
        <w:tc>
          <w:tcPr>
            <w:tcW w:type="dxa" w:w="2304"/>
            <w:shd w:val="clear" w:color="auto" w:fill="EAF1FB"/>
          </w:tcPr>
          <w:p>
            <w:r/>
            <w:r>
              <w:rPr>
                <w:b/>
                <w:color w:val="1F3A5F"/>
                <w:sz w:val="19"/>
              </w:rPr>
              <w:t>Classification</w:t>
            </w:r>
          </w:p>
        </w:tc>
        <w:tc>
          <w:tcPr>
            <w:tcW w:type="dxa" w:w="4320"/>
          </w:tcPr>
          <w:p>
            <w:r/>
            <w:r>
              <w:rPr>
                <w:b w:val="0"/>
                <w:sz w:val="19"/>
              </w:rPr>
              <w:t>Scope Expansion — the geographic master tree (Zone, State, Team) goes beyond the four SRS masters and the designation-only hierarchy.</w:t>
            </w:r>
          </w:p>
        </w:tc>
      </w:tr>
    </w:tbl>
    <w:p/>
    <w:p>
      <w:pPr>
        <w:pStyle w:val="Heading1"/>
      </w:pPr>
      <w:r>
        <w:rPr>
          <w:color w:val="1F3A5F"/>
          <w:sz w:val="32"/>
        </w:rPr>
        <w:t>5. AI, OCR &amp; Extraction Changes</w:t>
      </w:r>
    </w:p>
    <w:p>
      <w:pPr>
        <w:pStyle w:val="Heading3"/>
      </w:pPr>
      <w:r>
        <w:rPr>
          <w:color w:val="1F3A5F"/>
          <w:sz w:val="23"/>
        </w:rPr>
        <w:t>CR-04  Google Gemini vision LLM replacing Tesseract OCR</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technical stack specifies 'Python OCR libraries (Tesseract, pytesseract or custom module)' for OCR &amp; extraction, with a separate 'AI Processing' layer for post-OCR fuzzy matching/NLP.</w:t>
            </w:r>
          </w:p>
        </w:tc>
      </w:tr>
      <w:tr>
        <w:tc>
          <w:tcPr>
            <w:tcW w:type="dxa" w:w="2304"/>
            <w:shd w:val="clear" w:color="auto" w:fill="EAF1FB"/>
          </w:tcPr>
          <w:p>
            <w:r/>
            <w:r>
              <w:rPr>
                <w:b/>
                <w:color w:val="1F3A5F"/>
                <w:sz w:val="19"/>
              </w:rPr>
              <w:t>Delivered in Portal</w:t>
            </w:r>
          </w:p>
        </w:tc>
        <w:tc>
          <w:tcPr>
            <w:tcW w:type="dxa" w:w="4320"/>
          </w:tcPr>
          <w:p>
            <w:r/>
            <w:r>
              <w:rPr>
                <w:b w:val="0"/>
                <w:sz w:val="19"/>
              </w:rPr>
              <w:t>Extraction was implemented on Google's Gemini multimodal (vision) LLM via the google-genai SDK (api.py: get_gemini_settings, call_gemini_extraction_with_catalog, extract_stockist_statement, default model gemini-2.5-flash). Statement images/PDFs are sent directly to the model with an injected product catalog prompt; the model returns structured rows (product code/name, sales/closing/opening qty, returns, transfers, free/scheme qty). Fuzzy matching, layout identification, total-row detection, and value parsing are handled in the same LLM-centric pipeline rather than Tesseract + a separate ML layer. API keys and model are managed through a Scanify Settings singleton.</w:t>
            </w:r>
          </w:p>
        </w:tc>
      </w:tr>
      <w:tr>
        <w:tc>
          <w:tcPr>
            <w:tcW w:type="dxa" w:w="2304"/>
            <w:shd w:val="clear" w:color="auto" w:fill="EAF1FB"/>
          </w:tcPr>
          <w:p>
            <w:r/>
            <w:r>
              <w:rPr>
                <w:b/>
                <w:color w:val="1F3A5F"/>
                <w:sz w:val="19"/>
              </w:rPr>
              <w:t>Classification</w:t>
            </w:r>
          </w:p>
        </w:tc>
        <w:tc>
          <w:tcPr>
            <w:tcW w:type="dxa" w:w="4320"/>
          </w:tcPr>
          <w:p>
            <w:r/>
            <w:r>
              <w:rPr>
                <w:b w:val="0"/>
                <w:sz w:val="19"/>
              </w:rPr>
              <w:t>Technology Change — a different, more capable extraction engine than the SRS specified; changes dependency, cost model (per-call API), and data-processing flow.</w:t>
            </w:r>
          </w:p>
        </w:tc>
      </w:tr>
    </w:tbl>
    <w:p/>
    <w:p>
      <w:pPr>
        <w:pStyle w:val="Heading3"/>
      </w:pPr>
      <w:r>
        <w:rPr>
          <w:color w:val="1F3A5F"/>
          <w:sz w:val="23"/>
        </w:rPr>
        <w:t>CR-05  Bulk OCR pipeline — ZIP upload, async jobs, AI file-to-stockist tagging</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upload module accepts individual files (JPG/PNG/PDF/Excel/Word/txt) tagged by Stockist, Region, Month-Year, followed by extraction and validation of that statement.</w:t>
            </w:r>
          </w:p>
        </w:tc>
      </w:tr>
      <w:tr>
        <w:tc>
          <w:tcPr>
            <w:tcW w:type="dxa" w:w="2304"/>
            <w:shd w:val="clear" w:color="auto" w:fill="EAF1FB"/>
          </w:tcPr>
          <w:p>
            <w:r/>
            <w:r>
              <w:rPr>
                <w:b/>
                <w:color w:val="1F3A5F"/>
                <w:sz w:val="19"/>
              </w:rPr>
              <w:t>Delivered in Portal</w:t>
            </w:r>
          </w:p>
        </w:tc>
        <w:tc>
          <w:tcPr>
            <w:tcW w:type="dxa" w:w="4320"/>
          </w:tcPr>
          <w:p>
            <w:r/>
            <w:r>
              <w:rPr>
                <w:b w:val="0"/>
                <w:sz w:val="19"/>
              </w:rPr>
              <w:t>A dedicated bulk-processing subsystem was built: upload a ZIP of many statements (upload_bulk_zip), create a Bulk Statement Upload job (create_bulk_ocr_job), and run extraction as an asynchronous background job via Redis enqueue (bulk_extract_statements_async / process_bulk_extraction) with live status polling (get_bulk_job_status), an enhanced paginated job list, and job deletion. Filenames are auto-mapped to stockists using Gemini (map_filenames_to_stockists_via_gemini, identify_stockist_from_filename) with unmatched-file suggestions. Portal pages: bulk-ocr-new, bulk-ocr-list, bulk-ocr-view.</w:t>
            </w:r>
          </w:p>
        </w:tc>
      </w:tr>
      <w:tr>
        <w:tc>
          <w:tcPr>
            <w:tcW w:type="dxa" w:w="2304"/>
            <w:shd w:val="clear" w:color="auto" w:fill="EAF1FB"/>
          </w:tcPr>
          <w:p>
            <w:r/>
            <w:r>
              <w:rPr>
                <w:b/>
                <w:color w:val="1F3A5F"/>
                <w:sz w:val="19"/>
              </w:rPr>
              <w:t>Classification</w:t>
            </w:r>
          </w:p>
        </w:tc>
        <w:tc>
          <w:tcPr>
            <w:tcW w:type="dxa" w:w="4320"/>
          </w:tcPr>
          <w:p>
            <w:r/>
            <w:r>
              <w:rPr>
                <w:b w:val="0"/>
                <w:sz w:val="19"/>
              </w:rPr>
              <w:t>New Module — bulk/asynchronous processing and AI auto-tagging are not part of the single-file SRS flow.</w:t>
            </w:r>
          </w:p>
        </w:tc>
      </w:tr>
    </w:tbl>
    <w:p/>
    <w:p>
      <w:pPr>
        <w:pStyle w:val="Heading3"/>
      </w:pPr>
      <w:r>
        <w:rPr>
          <w:color w:val="1F3A5F"/>
          <w:sz w:val="23"/>
        </w:rPr>
        <w:t>CR-06  QC / validation workflow (draft, QC review, finalise, corrections)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validation module specifies 'visual compare, manual adjustment, confirmation' before storing validated data.</w:t>
            </w:r>
          </w:p>
        </w:tc>
      </w:tr>
      <w:tr>
        <w:tc>
          <w:tcPr>
            <w:tcW w:type="dxa" w:w="2304"/>
            <w:shd w:val="clear" w:color="auto" w:fill="EAF1FB"/>
          </w:tcPr>
          <w:p>
            <w:r/>
            <w:r>
              <w:rPr>
                <w:b/>
                <w:color w:val="1F3A5F"/>
                <w:sz w:val="19"/>
              </w:rPr>
              <w:t>Delivered in Portal</w:t>
            </w:r>
          </w:p>
        </w:tc>
        <w:tc>
          <w:tcPr>
            <w:tcW w:type="dxa" w:w="4320"/>
          </w:tcPr>
          <w:p>
            <w:r/>
            <w:r>
              <w:rPr>
                <w:b w:val="0"/>
                <w:sz w:val="19"/>
              </w:rPr>
              <w:t>A multi-state QC workflow was implemented around the Stockist Statement: draft auto-save (save_draft_statement), a QC review status with explicit mark-reviewed (mark_statement_qc_reviewed), a confidence score with manual override (override_qc_confidence), and a finalise/submit lock (finalize_statement) that permanently locks the document. A rich visual-compare/validation screen (statement-view, ~2,500 lines) and a manual statement entry screen (manual-statement-entry, no OCR) were also delivered.</w:t>
            </w:r>
          </w:p>
        </w:tc>
      </w:tr>
      <w:tr>
        <w:tc>
          <w:tcPr>
            <w:tcW w:type="dxa" w:w="2304"/>
            <w:shd w:val="clear" w:color="auto" w:fill="EAF1FB"/>
          </w:tcPr>
          <w:p>
            <w:r/>
            <w:r>
              <w:rPr>
                <w:b/>
                <w:color w:val="1F3A5F"/>
                <w:sz w:val="19"/>
              </w:rPr>
              <w:t>Classification</w:t>
            </w:r>
          </w:p>
        </w:tc>
        <w:tc>
          <w:tcPr>
            <w:tcW w:type="dxa" w:w="4320"/>
          </w:tcPr>
          <w:p>
            <w:r/>
            <w:r>
              <w:rPr>
                <w:b w:val="0"/>
                <w:sz w:val="19"/>
              </w:rPr>
              <w:t>Scope Expansion — a formal QC lifecycle (draft -&gt; QC reviewed -&gt; finalised) with confidence management goes beyond 'compare, adjust, confirm'.</w:t>
            </w:r>
          </w:p>
        </w:tc>
      </w:tr>
    </w:tbl>
    <w:p/>
    <w:p>
      <w:pPr>
        <w:pStyle w:val="Heading3"/>
      </w:pPr>
      <w:r>
        <w:rPr>
          <w:color w:val="1F3A5F"/>
          <w:sz w:val="23"/>
        </w:rPr>
        <w:t>CR-07  Self-learning product-name corrections &amp; region-based product exclusion</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mentions AI-powered fuzzy matching but no persistent correction memory or per-region product exclusion logic.</w:t>
            </w:r>
          </w:p>
        </w:tc>
      </w:tr>
      <w:tr>
        <w:tc>
          <w:tcPr>
            <w:tcW w:type="dxa" w:w="2304"/>
            <w:shd w:val="clear" w:color="auto" w:fill="EAF1FB"/>
          </w:tcPr>
          <w:p>
            <w:r/>
            <w:r>
              <w:rPr>
                <w:b/>
                <w:color w:val="1F3A5F"/>
                <w:sz w:val="19"/>
              </w:rPr>
              <w:t>Delivered in Portal</w:t>
            </w:r>
          </w:p>
        </w:tc>
        <w:tc>
          <w:tcPr>
            <w:tcW w:type="dxa" w:w="4320"/>
          </w:tcPr>
          <w:p>
            <w:r/>
            <w:r>
              <w:rPr>
                <w:b w:val="0"/>
                <w:sz w:val="19"/>
              </w:rPr>
              <w:t xml:space="preserve">Operators can map an unrecognised raw product name to a product code and persist it (save_product_correction, apply_mapping_and_save_correction) via a Stockist Product Correction DocType, so future extractions for that stockist auto-apply the learned mapping (_build_correction_map / _build_correction_prompt). Additionally, a Product Excluded Region model lets specific products be skipped for specific regions during extraction (_build_region_excluded_codes). </w:t>
            </w:r>
          </w:p>
        </w:tc>
      </w:tr>
      <w:tr>
        <w:tc>
          <w:tcPr>
            <w:tcW w:type="dxa" w:w="2304"/>
            <w:shd w:val="clear" w:color="auto" w:fill="EAF1FB"/>
          </w:tcPr>
          <w:p>
            <w:r/>
            <w:r>
              <w:rPr>
                <w:b/>
                <w:color w:val="1F3A5F"/>
                <w:sz w:val="19"/>
              </w:rPr>
              <w:t>Classification</w:t>
            </w:r>
          </w:p>
        </w:tc>
        <w:tc>
          <w:tcPr>
            <w:tcW w:type="dxa" w:w="4320"/>
          </w:tcPr>
          <w:p>
            <w:r/>
            <w:r>
              <w:rPr>
                <w:b w:val="0"/>
                <w:sz w:val="19"/>
              </w:rPr>
              <w:t>New Feature — self-learning mapping memory and region exclusion are additions to the extraction intelligence.</w:t>
            </w:r>
          </w:p>
        </w:tc>
      </w:tr>
    </w:tbl>
    <w:p/>
    <w:p>
      <w:r>
        <w:br w:type="page"/>
      </w:r>
    </w:p>
    <w:p>
      <w:pPr>
        <w:pStyle w:val="Heading1"/>
      </w:pPr>
      <w:r>
        <w:rPr>
          <w:color w:val="1F3A5F"/>
          <w:sz w:val="32"/>
        </w:rPr>
        <w:t>6. Net-New Functional Modules</w:t>
      </w:r>
    </w:p>
    <w:p>
      <w:pPr>
        <w:pStyle w:val="Heading3"/>
      </w:pPr>
      <w:r>
        <w:rPr>
          <w:color w:val="1F3A5F"/>
          <w:sz w:val="23"/>
        </w:rPr>
        <w:t>CR-08  Scheme Deduction engine (manual, bulk, auto)</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lists a 'Scheme Approved Products Not Reflected' REPORT — identifying scheme-approved products not reflected in secondary sales — as a monitoring output. It does not describe a transactional deduction mechanism.</w:t>
            </w:r>
          </w:p>
        </w:tc>
      </w:tr>
      <w:tr>
        <w:tc>
          <w:tcPr>
            <w:tcW w:type="dxa" w:w="2304"/>
            <w:shd w:val="clear" w:color="auto" w:fill="EAF1FB"/>
          </w:tcPr>
          <w:p>
            <w:r/>
            <w:r>
              <w:rPr>
                <w:b/>
                <w:color w:val="1F3A5F"/>
                <w:sz w:val="19"/>
              </w:rPr>
              <w:t>Delivered in Portal</w:t>
            </w:r>
          </w:p>
        </w:tc>
        <w:tc>
          <w:tcPr>
            <w:tcW w:type="dxa" w:w="4320"/>
          </w:tcPr>
          <w:p>
            <w:r/>
            <w:r>
              <w:rPr>
                <w:b w:val="0"/>
                <w:sz w:val="19"/>
              </w:rPr>
              <w:t>A complete deduction module was built to actively reconcile approved scheme free-quantities against secondary sales: DocTypes Scheme Deduction + Scheme Deduction Item; portal pages for Manual Deduction, Bulk/Auto Deduction, and a Deduction List; endpoints fetch_deduction_items_portal, create_scheme_deduction_portal, create_bulk_scheme_deductions_portal, get_scheme_deductions_portal. Reports then support an 'after_deduction' sales mode (e.g. get_region_product_closing_stock) so closing stock/secondary values can be viewed net of scheme deductions. A stock-adjustment hook fires on scheme submit (create_stock_adjustment).</w:t>
            </w:r>
          </w:p>
        </w:tc>
      </w:tr>
      <w:tr>
        <w:tc>
          <w:tcPr>
            <w:tcW w:type="dxa" w:w="2304"/>
            <w:shd w:val="clear" w:color="auto" w:fill="EAF1FB"/>
          </w:tcPr>
          <w:p>
            <w:r/>
            <w:r>
              <w:rPr>
                <w:b/>
                <w:color w:val="1F3A5F"/>
                <w:sz w:val="19"/>
              </w:rPr>
              <w:t>Classification</w:t>
            </w:r>
          </w:p>
        </w:tc>
        <w:tc>
          <w:tcPr>
            <w:tcW w:type="dxa" w:w="4320"/>
          </w:tcPr>
          <w:p>
            <w:r/>
            <w:r>
              <w:rPr>
                <w:b w:val="0"/>
                <w:sz w:val="19"/>
              </w:rPr>
              <w:t>New Module — a transactional engine, not the reporting-only item in the SRS.</w:t>
            </w:r>
          </w:p>
        </w:tc>
      </w:tr>
    </w:tbl>
    <w:p/>
    <w:p>
      <w:pPr>
        <w:pStyle w:val="Heading3"/>
      </w:pPr>
      <w:r>
        <w:rPr>
          <w:color w:val="1F3A5F"/>
          <w:sz w:val="23"/>
        </w:rPr>
        <w:t>CR-09  Sales Target module (HQ Yearly Target + Target vs Sales)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covers incentive calculation and ranking, but does not define a target-setting module or target-versus-actual tracking.</w:t>
            </w:r>
          </w:p>
        </w:tc>
      </w:tr>
      <w:tr>
        <w:tc>
          <w:tcPr>
            <w:tcW w:type="dxa" w:w="2304"/>
            <w:shd w:val="clear" w:color="auto" w:fill="EAF1FB"/>
          </w:tcPr>
          <w:p>
            <w:r/>
            <w:r>
              <w:rPr>
                <w:b/>
                <w:color w:val="1F3A5F"/>
                <w:sz w:val="19"/>
              </w:rPr>
              <w:t>Delivered in Portal</w:t>
            </w:r>
          </w:p>
        </w:tc>
        <w:tc>
          <w:tcPr>
            <w:tcW w:type="dxa" w:w="4320"/>
          </w:tcPr>
          <w:p>
            <w:r/>
            <w:r>
              <w:rPr>
                <w:b w:val="0"/>
                <w:sz w:val="19"/>
              </w:rPr>
              <w:t>A target module was implemented: DocTypes HQ Yearly Target + HQ Target Item; portal pages sales-targets (create), sales-targets-list, and a Sales Target Report (year-wise-report). Endpoints include create/update/submit HQ Yearly Target from portal, target-row resolution from an uploaded file (resolve_hq_target_rows_from_file), HQ-target search, and a Target vs Sales report (get_target_vs_sales_report) comparing achievement against set targets by financial year.</w:t>
            </w:r>
          </w:p>
        </w:tc>
      </w:tr>
      <w:tr>
        <w:tc>
          <w:tcPr>
            <w:tcW w:type="dxa" w:w="2304"/>
            <w:shd w:val="clear" w:color="auto" w:fill="EAF1FB"/>
          </w:tcPr>
          <w:p>
            <w:r/>
            <w:r>
              <w:rPr>
                <w:b/>
                <w:color w:val="1F3A5F"/>
                <w:sz w:val="19"/>
              </w:rPr>
              <w:t>Classification</w:t>
            </w:r>
          </w:p>
        </w:tc>
        <w:tc>
          <w:tcPr>
            <w:tcW w:type="dxa" w:w="4320"/>
          </w:tcPr>
          <w:p>
            <w:r/>
            <w:r>
              <w:rPr>
                <w:b w:val="0"/>
                <w:sz w:val="19"/>
              </w:rPr>
              <w:t>New Module — target setting and achievement tracking are not in the SRS.</w:t>
            </w:r>
          </w:p>
        </w:tc>
      </w:tr>
    </w:tbl>
    <w:p/>
    <w:p>
      <w:pPr>
        <w:pStyle w:val="Heading3"/>
      </w:pPr>
      <w:r>
        <w:rPr>
          <w:color w:val="1F3A5F"/>
          <w:sz w:val="23"/>
        </w:rPr>
        <w:t>CR-10  Agentic Text-to-SQL analytics chatbot</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deliverable states: 'An AI chatbot will be integrated to redirect users to the support team when needed.' — i.e. a support-routing bot.</w:t>
            </w:r>
          </w:p>
        </w:tc>
      </w:tr>
      <w:tr>
        <w:tc>
          <w:tcPr>
            <w:tcW w:type="dxa" w:w="2304"/>
            <w:shd w:val="clear" w:color="auto" w:fill="EAF1FB"/>
          </w:tcPr>
          <w:p>
            <w:r/>
            <w:r>
              <w:rPr>
                <w:b/>
                <w:color w:val="1F3A5F"/>
                <w:sz w:val="19"/>
              </w:rPr>
              <w:t>Delivered in Portal</w:t>
            </w:r>
          </w:p>
        </w:tc>
        <w:tc>
          <w:tcPr>
            <w:tcW w:type="dxa" w:w="4320"/>
          </w:tcPr>
          <w:p>
            <w:r/>
            <w:r>
              <w:rPr>
                <w:b w:val="0"/>
                <w:sz w:val="19"/>
              </w:rPr>
              <w:t>A natural-language analytics assistant was built (chatbot_query, portal page chatbot). It uses Gemini to translate a user's plain-English question into SQL against the application database, executes it read-only, and returns formatted tables or charts. It carries conversation history for context, injects the active division into every query, and includes guardrails (SELECT/WITH-only, word-boundary regex blocking INSERT/UPDATE/DELETE/DROP/etc., information_schema and time-based injection blocks, 500-row cap) plus an automatic self-correction retry when a generated query errors.</w:t>
            </w:r>
          </w:p>
        </w:tc>
      </w:tr>
      <w:tr>
        <w:tc>
          <w:tcPr>
            <w:tcW w:type="dxa" w:w="2304"/>
            <w:shd w:val="clear" w:color="auto" w:fill="EAF1FB"/>
          </w:tcPr>
          <w:p>
            <w:r/>
            <w:r>
              <w:rPr>
                <w:b/>
                <w:color w:val="1F3A5F"/>
                <w:sz w:val="19"/>
              </w:rPr>
              <w:t>Classification</w:t>
            </w:r>
          </w:p>
        </w:tc>
        <w:tc>
          <w:tcPr>
            <w:tcW w:type="dxa" w:w="4320"/>
          </w:tcPr>
          <w:p>
            <w:r/>
            <w:r>
              <w:rPr>
                <w:b w:val="0"/>
                <w:sz w:val="19"/>
              </w:rPr>
              <w:t>Scope Expansion — a self-service data-query/BI assistant is materially more than a support-redirect bot.</w:t>
            </w:r>
          </w:p>
        </w:tc>
      </w:tr>
    </w:tbl>
    <w:p/>
    <w:p>
      <w:pPr>
        <w:pStyle w:val="Heading3"/>
      </w:pPr>
      <w:r>
        <w:rPr>
          <w:color w:val="1F3A5F"/>
          <w:sz w:val="23"/>
        </w:rPr>
        <w:t>CR-11  Audit Trail / change history</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does not list an audit-trail or change-history requirement (it captures approval comments within the scheme workflow only).</w:t>
            </w:r>
          </w:p>
        </w:tc>
      </w:tr>
      <w:tr>
        <w:tc>
          <w:tcPr>
            <w:tcW w:type="dxa" w:w="2304"/>
            <w:shd w:val="clear" w:color="auto" w:fill="EAF1FB"/>
          </w:tcPr>
          <w:p>
            <w:r/>
            <w:r>
              <w:rPr>
                <w:b/>
                <w:color w:val="1F3A5F"/>
                <w:sz w:val="19"/>
              </w:rPr>
              <w:t>Delivered in Portal</w:t>
            </w:r>
          </w:p>
        </w:tc>
        <w:tc>
          <w:tcPr>
            <w:tcW w:type="dxa" w:w="4320"/>
          </w:tcPr>
          <w:p>
            <w:r/>
            <w:r>
              <w:rPr>
                <w:b w:val="0"/>
                <w:sz w:val="19"/>
              </w:rPr>
              <w:t xml:space="preserve">An Audit Trail portal (audit-trail page; get_audit_trail_portal, get_audit_trail_detail) surfaces field-level change history from Frappe's version records — showing who changed what field from which value to which value, with user display resolution, field-label mapping, and filtering. </w:t>
            </w:r>
          </w:p>
        </w:tc>
      </w:tr>
      <w:tr>
        <w:tc>
          <w:tcPr>
            <w:tcW w:type="dxa" w:w="2304"/>
            <w:shd w:val="clear" w:color="auto" w:fill="EAF1FB"/>
          </w:tcPr>
          <w:p>
            <w:r/>
            <w:r>
              <w:rPr>
                <w:b/>
                <w:color w:val="1F3A5F"/>
                <w:sz w:val="19"/>
              </w:rPr>
              <w:t>Classification</w:t>
            </w:r>
          </w:p>
        </w:tc>
        <w:tc>
          <w:tcPr>
            <w:tcW w:type="dxa" w:w="4320"/>
          </w:tcPr>
          <w:p>
            <w:r/>
            <w:r>
              <w:rPr>
                <w:b w:val="0"/>
                <w:sz w:val="19"/>
              </w:rPr>
              <w:t>New Module — system-wide change auditing beyond scheme approval comments.</w:t>
            </w:r>
          </w:p>
        </w:tc>
      </w:tr>
    </w:tbl>
    <w:p/>
    <w:p>
      <w:pPr>
        <w:pStyle w:val="Heading1"/>
      </w:pPr>
      <w:r>
        <w:rPr>
          <w:color w:val="1F3A5F"/>
          <w:sz w:val="32"/>
        </w:rPr>
        <w:t>7. Reporting &amp; Other Scope Expansions</w:t>
      </w:r>
    </w:p>
    <w:p>
      <w:pPr>
        <w:pStyle w:val="Heading3"/>
      </w:pPr>
      <w:r>
        <w:rPr>
          <w:color w:val="1F3A5F"/>
          <w:sz w:val="23"/>
        </w:rPr>
        <w:t>CR-12  Expanded reporting suite</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enumerates a defined report list (Incentive Calculation, Ranking Sheets, ASPR/Wellness updation, Product Moving Trend, Stockist-wise Quantity, Growth, Monthly Value/Qty, Secondary vs Closing Value, Product Selection, Sales Performance, HQ Performance; and scheme reports: Not-Reflected, Activity Trend, Activity Track, New Approval Doctor).</w:t>
            </w:r>
          </w:p>
        </w:tc>
      </w:tr>
      <w:tr>
        <w:tc>
          <w:tcPr>
            <w:tcW w:type="dxa" w:w="2304"/>
            <w:shd w:val="clear" w:color="auto" w:fill="EAF1FB"/>
          </w:tcPr>
          <w:p>
            <w:r/>
            <w:r>
              <w:rPr>
                <w:b/>
                <w:color w:val="1F3A5F"/>
                <w:sz w:val="19"/>
              </w:rPr>
              <w:t>Delivered in Portal</w:t>
            </w:r>
          </w:p>
        </w:tc>
        <w:tc>
          <w:tcPr>
            <w:tcW w:type="dxa" w:w="4320"/>
          </w:tcPr>
          <w:p>
            <w:r/>
            <w:r>
              <w:rPr>
                <w:b w:val="0"/>
                <w:sz w:val="19"/>
              </w:rPr>
              <w:t>In addition to delivering the listed reports, the portal adds substantial analytics not named in the SRS, including: an Insights dashboard with multiple analytic tabs (scheme, statement, deduction, masters, targets, products); a large Stockist Reports module (~3,400 lines) covering region-product closing stock, HQ-wise stockist, stockist address, organizational/monthly-organizational rollups, region-wise stockist moving trend, and a Gynae report; a Ranking Reports module with product-wise Top-N, product-wise 'all', an advanced ranking view, a PCPM (per chemist per month) tracker, and rupee-wise ranking; and Excel/PDF export for effectively every report. Reports also add before/after-deduction sales modes tied to CR-08.</w:t>
            </w:r>
          </w:p>
        </w:tc>
      </w:tr>
      <w:tr>
        <w:tc>
          <w:tcPr>
            <w:tcW w:type="dxa" w:w="2304"/>
            <w:shd w:val="clear" w:color="auto" w:fill="EAF1FB"/>
          </w:tcPr>
          <w:p>
            <w:r/>
            <w:r>
              <w:rPr>
                <w:b/>
                <w:color w:val="1F3A5F"/>
                <w:sz w:val="19"/>
              </w:rPr>
              <w:t>Classification</w:t>
            </w:r>
          </w:p>
        </w:tc>
        <w:tc>
          <w:tcPr>
            <w:tcW w:type="dxa" w:w="4320"/>
          </w:tcPr>
          <w:p>
            <w:r/>
            <w:r>
              <w:rPr>
                <w:b w:val="0"/>
                <w:sz w:val="19"/>
              </w:rPr>
              <w:t>Scope Expansion — several reports (Gynae, PCPM tracker, organizational rollups, Insights tabs) and the depth of drill-downs/exports exceed the SRS list.</w:t>
            </w:r>
          </w:p>
        </w:tc>
      </w:tr>
    </w:tbl>
    <w:p/>
    <w:p>
      <w:pPr>
        <w:pStyle w:val="Heading3"/>
      </w:pPr>
      <w:r>
        <w:rPr>
          <w:color w:val="1F3A5F"/>
          <w:sz w:val="23"/>
        </w:rPr>
        <w:t>CR-13  Operational &amp; data-management utilities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covers bulk import via Excel/CSV and report exports, but does not describe operational maintenance utilities.</w:t>
            </w:r>
          </w:p>
        </w:tc>
      </w:tr>
      <w:tr>
        <w:tc>
          <w:tcPr>
            <w:tcW w:type="dxa" w:w="2304"/>
            <w:shd w:val="clear" w:color="auto" w:fill="EAF1FB"/>
          </w:tcPr>
          <w:p>
            <w:r/>
            <w:r>
              <w:rPr>
                <w:b/>
                <w:color w:val="1F3A5F"/>
                <w:sz w:val="19"/>
              </w:rPr>
              <w:t>Delivered in Portal</w:t>
            </w:r>
          </w:p>
        </w:tc>
        <w:tc>
          <w:tcPr>
            <w:tcW w:type="dxa" w:w="4320"/>
          </w:tcPr>
          <w:p>
            <w:r/>
            <w:r>
              <w:rPr>
                <w:b w:val="0"/>
                <w:sz w:val="19"/>
              </w:rPr>
              <w:t>Several operator utilities were added: Reload Statements (reload_stockist_statements) to recompute statement totals from the latest masters after PTS/PTR/pack/HQ changes; Delete Statement and bulk delete with mandatory reason capture; Repeat Request (portal_repeat_scheme_request) to clone a prior scheme request; per-master and all-masters ZIP export (export_master_data, export_all_masters_zip); spreadsheet preview rendering; and doctor monthly-limit checks on scheme entry.</w:t>
            </w:r>
          </w:p>
        </w:tc>
      </w:tr>
      <w:tr>
        <w:tc>
          <w:tcPr>
            <w:tcW w:type="dxa" w:w="2304"/>
            <w:shd w:val="clear" w:color="auto" w:fill="EAF1FB"/>
          </w:tcPr>
          <w:p>
            <w:r/>
            <w:r>
              <w:rPr>
                <w:b/>
                <w:color w:val="1F3A5F"/>
                <w:sz w:val="19"/>
              </w:rPr>
              <w:t>Classification</w:t>
            </w:r>
          </w:p>
        </w:tc>
        <w:tc>
          <w:tcPr>
            <w:tcW w:type="dxa" w:w="4320"/>
          </w:tcPr>
          <w:p>
            <w:r/>
            <w:r>
              <w:rPr>
                <w:b w:val="0"/>
                <w:sz w:val="19"/>
              </w:rPr>
              <w:t>New Features — maintenance/productivity tooling not in the SRS.</w:t>
            </w:r>
          </w:p>
        </w:tc>
      </w:tr>
    </w:tbl>
    <w:p/>
    <w:p>
      <w:pPr>
        <w:pStyle w:val="Heading3"/>
      </w:pPr>
      <w:r>
        <w:rPr>
          <w:color w:val="1F3A5F"/>
          <w:sz w:val="23"/>
        </w:rPr>
        <w:t>CR-14  Primary sales management screens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specifies bulk upload for primary sales data (Prima, Vektra, ASPR, Wellness, Other Sales).</w:t>
            </w:r>
          </w:p>
        </w:tc>
      </w:tr>
      <w:tr>
        <w:tc>
          <w:tcPr>
            <w:tcW w:type="dxa" w:w="2304"/>
            <w:shd w:val="clear" w:color="auto" w:fill="EAF1FB"/>
          </w:tcPr>
          <w:p>
            <w:r/>
            <w:r>
              <w:rPr>
                <w:b/>
                <w:color w:val="1F3A5F"/>
                <w:sz w:val="19"/>
              </w:rPr>
              <w:t>Delivered in Portal</w:t>
            </w:r>
          </w:p>
        </w:tc>
        <w:tc>
          <w:tcPr>
            <w:tcW w:type="dxa" w:w="4320"/>
          </w:tcPr>
          <w:p>
            <w:r/>
            <w:r>
              <w:rPr>
                <w:b w:val="0"/>
                <w:sz w:val="19"/>
              </w:rPr>
              <w:t>Beyond the upload itself, full management screens were delivered: paginated Primary Sales Data list with inline edit/save/delete (get_primary_sales_data, save_primary_sales_record, delete_primary_sales_record), delete-by-month with reason (delete_primary_sales_month), primary sales export, and primary-sales moving-trend analytics.</w:t>
            </w:r>
          </w:p>
        </w:tc>
      </w:tr>
      <w:tr>
        <w:tc>
          <w:tcPr>
            <w:tcW w:type="dxa" w:w="2304"/>
            <w:shd w:val="clear" w:color="auto" w:fill="EAF1FB"/>
          </w:tcPr>
          <w:p>
            <w:r/>
            <w:r>
              <w:rPr>
                <w:b/>
                <w:color w:val="1F3A5F"/>
                <w:sz w:val="19"/>
              </w:rPr>
              <w:t>Classification</w:t>
            </w:r>
          </w:p>
        </w:tc>
        <w:tc>
          <w:tcPr>
            <w:tcW w:type="dxa" w:w="4320"/>
          </w:tcPr>
          <w:p>
            <w:r/>
            <w:r>
              <w:rPr>
                <w:b w:val="0"/>
                <w:sz w:val="19"/>
              </w:rPr>
              <w:t>Scope Expansion — granular record management and analytics beyond a bulk-upload utility.</w:t>
            </w:r>
          </w:p>
        </w:tc>
      </w:tr>
    </w:tbl>
    <w:p/>
    <w:p>
      <w:pPr>
        <w:pStyle w:val="Heading1"/>
      </w:pPr>
      <w:r>
        <w:rPr>
          <w:color w:val="1F3A5F"/>
          <w:sz w:val="32"/>
        </w:rPr>
        <w:t>8. SRS Conformance Note (delivered as specified)</w:t>
      </w:r>
    </w:p>
    <w:p>
      <w:r>
        <w:rPr>
          <w:b w:val="0"/>
          <w:i w:val="0"/>
          <w:sz w:val="21"/>
        </w:rPr>
        <w:t>For completeness, the following SRS items were delivered broadly in line with the specification and are NOT counted as change items above:</w:t>
      </w:r>
    </w:p>
    <w:p>
      <w:pPr>
        <w:pStyle w:val="ListBullet"/>
      </w:pPr>
      <w:r>
        <w:t>Scheme entry form with auto-generated scheme number, master-driven dropdowns, and attachments (scheme-new, upload_scheme_attachment).</w:t>
      </w:r>
    </w:p>
    <w:p>
      <w:pPr>
        <w:pStyle w:val="ListBullet"/>
      </w:pPr>
      <w:r>
        <w:t>Scheme approval workflow with approve / reject / reroute and comment capture (approve_/reject_/reroute_scheme_request, Scheme Approval Log).</w:t>
      </w:r>
    </w:p>
    <w:p>
      <w:pPr>
        <w:pStyle w:val="ListBullet"/>
      </w:pPr>
      <w:r>
        <w:t>Email notifications on reroute and rejection (send_scheme_notification).</w:t>
      </w:r>
    </w:p>
    <w:p>
      <w:pPr>
        <w:pStyle w:val="ListBullet"/>
      </w:pPr>
      <w:r>
        <w:t>Real-time validation against Doctor / Product / Stockist / HQ masters, and master bulk import via Excel/CSV (import_master_data with column mapping).</w:t>
      </w:r>
    </w:p>
    <w:p>
      <w:pPr>
        <w:pStyle w:val="ListBullet"/>
      </w:pPr>
      <w:r>
        <w:t>Role-based access (admin / approver / user) and admin user management (users page, create_portal_user).</w:t>
      </w:r>
    </w:p>
    <w:p>
      <w:pPr>
        <w:pStyle w:val="ListBullet"/>
      </w:pPr>
      <w:r>
        <w:t>PTS -&gt; PTR -&gt; MRP pricing structure used throughout statement valuation and reporting.</w:t>
      </w:r>
    </w:p>
    <w:p>
      <w:pPr>
        <w:pStyle w:val="ListBullet"/>
      </w:pPr>
      <w:r>
        <w:t>Excel/PDF export of major report types.</w:t>
      </w:r>
    </w:p>
    <w:p>
      <w:pPr>
        <w:pStyle w:val="Heading1"/>
      </w:pPr>
      <w:r>
        <w:rPr>
          <w:color w:val="1F3A5F"/>
          <w:sz w:val="32"/>
        </w:rPr>
        <w:t>9. Recommendations</w:t>
      </w:r>
    </w:p>
    <w:p>
      <w:pPr>
        <w:pStyle w:val="ListBullet"/>
      </w:pPr>
      <w:r>
        <w:rPr>
          <w:b/>
        </w:rPr>
        <w:t xml:space="preserve">Re-baseline. </w:t>
      </w:r>
      <w:r>
        <w:t>Formalise CR-01 through CR-14 as approved change requests and re-baseline the SRS to v2.0 so the delivered system and its documentation agree.</w:t>
      </w:r>
    </w:p>
    <w:p>
      <w:pPr>
        <w:pStyle w:val="ListBullet"/>
      </w:pPr>
      <w:r>
        <w:rPr>
          <w:b/>
        </w:rPr>
        <w:t xml:space="preserve">Document the AI dependency. </w:t>
      </w:r>
      <w:r>
        <w:t>Treat CR-04 (Gemini) explicitly in the SRS technical stack, including the external API dependency, key management, and per-call cost/throughput implications that Tesseract did not carry.</w:t>
      </w:r>
    </w:p>
    <w:p>
      <w:pPr>
        <w:pStyle w:val="ListBullet"/>
      </w:pPr>
      <w:r>
        <w:rPr>
          <w:b/>
        </w:rPr>
        <w:t xml:space="preserve">Commercial review. </w:t>
      </w:r>
      <w:r>
        <w:t>Assess commercial impact for the net-new modules (CR-05, CR-08, CR-09, CR-10, CR-11) and expansions (CR-12), which represent significant additional build effort beyond the signed scope.</w:t>
      </w:r>
    </w:p>
    <w:p>
      <w:pPr>
        <w:pStyle w:val="ListBullet"/>
      </w:pPr>
      <w:r>
        <w:rPr>
          <w:b/>
        </w:rPr>
        <w:t xml:space="preserve">Update training material. </w:t>
      </w:r>
      <w:r>
        <w:t>Add the new capabilities (division switching, bulk OCR, deduction, targets, chatbot, audit trail) to the user manuals and training deliverables named in the SRS.</w:t>
      </w:r>
    </w:p>
    <w:p>
      <w:pPr>
        <w:pStyle w:val="ListBullet"/>
      </w:pPr>
      <w:r>
        <w:rPr>
          <w:b/>
        </w:rPr>
        <w:t xml:space="preserve">Security sign-off. </w:t>
      </w:r>
      <w:r>
        <w:t>For CR-10, document the read-only SQL guardrails and division scoping as a security control, and consider periodic review of the generated-SQL allow/deny patterns.</w:t>
      </w:r>
    </w:p>
    <w:p>
      <w:r>
        <w:rPr>
          <w:b w:val="0"/>
          <w:i/>
          <w:color w:val="555555"/>
          <w:sz w:val="21"/>
        </w:rPr>
        <w:b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