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4E79"/>
          <w:sz w:val="32"/>
        </w:rPr>
        <w:t>KODIVIAN TECHNOLOGIES LLP</w:t>
      </w:r>
    </w:p>
    <w:p>
      <w:pPr>
        <w:spacing w:after="40"/>
        <w:jc w:val="center"/>
      </w:pPr>
      <w:r>
        <w:rPr>
          <w:b w:val="0"/>
          <w:i w:val="0"/>
          <w:sz w:val="18"/>
        </w:rPr>
        <w:t>ISO 27001 Certified  |  A SS Group Company</w:t>
      </w:r>
    </w:p>
    <w:p/>
    <w:p>
      <w:pPr>
        <w:spacing w:after="40"/>
        <w:jc w:val="center"/>
      </w:pPr>
      <w:r>
        <w:rPr>
          <w:b/>
          <w:i w:val="0"/>
          <w:color w:val="1F4E79"/>
          <w:sz w:val="40"/>
        </w:rPr>
        <w:t>CHANGE REQUEST</w:t>
      </w:r>
    </w:p>
    <w:p>
      <w:pPr>
        <w:spacing w:after="40"/>
        <w:jc w:val="center"/>
      </w:pPr>
      <w:r>
        <w:rPr>
          <w:b w:val="0"/>
          <w:i w:val="0"/>
          <w:sz w:val="24"/>
        </w:rPr>
        <w:t>&amp; Implementation Proposal</w:t>
      </w:r>
    </w:p>
    <w:p>
      <w:pPr>
        <w:spacing w:after="40"/>
        <w:jc w:val="center"/>
      </w:pPr>
      <w:r>
        <w:rPr>
          <w:b/>
          <w:i w:val="0"/>
          <w:color w:val="1F4E79"/>
          <w:sz w:val="26"/>
        </w:rPr>
        <w:t>Stock Statement Data Recovery – West Bengal Region</w:t>
      </w:r>
    </w:p>
    <w:p>
      <w:pPr>
        <w:spacing w:after="40"/>
        <w:jc w:val="center"/>
      </w:pPr>
      <w:r>
        <w:rPr>
          <w:b w:val="0"/>
          <w:i/>
          <w:sz w:val="20"/>
        </w:rPr>
        <w:t>Corrective Data-Recovery Engagement following a Client-Side Deletion</w:t>
      </w:r>
    </w:p>
    <w:p>
      <w:pPr>
        <w:spacing w:after="40"/>
        <w:jc w:val="center"/>
      </w:pPr>
      <w:r>
        <w:rPr>
          <w:b w:val="0"/>
          <w:i w:val="0"/>
          <w:sz w:val="20"/>
        </w:rPr>
        <w:t>Scheme Management System &amp; Stock Statement Entry Automation</w:t>
      </w:r>
    </w:p>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1F4E79"/>
          </w:tcPr>
          <w:p>
            <w:r/>
            <w:r>
              <w:rPr>
                <w:b/>
                <w:color w:val="FFFFFF"/>
                <w:sz w:val="20"/>
              </w:rPr>
              <w:t>Document Control</w:t>
            </w:r>
          </w:p>
        </w:tc>
      </w:tr>
      <w:tr>
        <w:tc>
          <w:tcPr>
            <w:tcW w:type="dxa" w:w="4320"/>
            <w:shd w:val="clear" w:color="auto" w:fill="DCE6F1"/>
          </w:tcPr>
          <w:p>
            <w:r/>
            <w:r>
              <w:rPr>
                <w:b/>
                <w:sz w:val="20"/>
              </w:rPr>
              <w:t>Document Name</w:t>
            </w:r>
          </w:p>
        </w:tc>
        <w:tc>
          <w:tcPr>
            <w:tcW w:type="dxa" w:w="4320"/>
          </w:tcPr>
          <w:p>
            <w:r/>
            <w:r>
              <w:rPr>
                <w:b w:val="0"/>
                <w:sz w:val="20"/>
              </w:rPr>
              <w:t>Change Request – Stock Statement Data Recovery</w:t>
            </w:r>
          </w:p>
        </w:tc>
      </w:tr>
      <w:tr>
        <w:tc>
          <w:tcPr>
            <w:tcW w:type="dxa" w:w="4320"/>
            <w:shd w:val="clear" w:color="auto" w:fill="DCE6F1"/>
          </w:tcPr>
          <w:p>
            <w:r/>
            <w:r>
              <w:rPr>
                <w:b/>
                <w:sz w:val="20"/>
              </w:rPr>
              <w:t>CR Reference No.</w:t>
            </w:r>
          </w:p>
        </w:tc>
        <w:tc>
          <w:tcPr>
            <w:tcW w:type="dxa" w:w="4320"/>
          </w:tcPr>
          <w:p>
            <w:r/>
            <w:r>
              <w:rPr>
                <w:b w:val="0"/>
                <w:sz w:val="20"/>
              </w:rPr>
              <w:t>KT/STED/CR-10</w:t>
            </w:r>
          </w:p>
        </w:tc>
      </w:tr>
      <w:tr>
        <w:tc>
          <w:tcPr>
            <w:tcW w:type="dxa" w:w="4320"/>
            <w:shd w:val="clear" w:color="auto" w:fill="DCE6F1"/>
          </w:tcPr>
          <w:p>
            <w:r/>
            <w:r>
              <w:rPr>
                <w:b/>
                <w:sz w:val="20"/>
              </w:rPr>
              <w:t>CR Report Item</w:t>
            </w:r>
          </w:p>
        </w:tc>
        <w:tc>
          <w:tcPr>
            <w:tcW w:type="dxa" w:w="4320"/>
          </w:tcPr>
          <w:p>
            <w:r/>
            <w:r>
              <w:rPr>
                <w:b w:val="0"/>
                <w:sz w:val="20"/>
              </w:rPr>
              <w:t>CR-10 (CR Report)</w:t>
            </w:r>
          </w:p>
        </w:tc>
      </w:tr>
      <w:tr>
        <w:tc>
          <w:tcPr>
            <w:tcW w:type="dxa" w:w="4320"/>
            <w:shd w:val="clear" w:color="auto" w:fill="DCE6F1"/>
          </w:tcPr>
          <w:p>
            <w:r/>
            <w:r>
              <w:rPr>
                <w:b/>
                <w:sz w:val="20"/>
              </w:rPr>
              <w:t>Classification</w:t>
            </w:r>
          </w:p>
        </w:tc>
        <w:tc>
          <w:tcPr>
            <w:tcW w:type="dxa" w:w="4320"/>
          </w:tcPr>
          <w:p>
            <w:r/>
            <w:r>
              <w:rPr>
                <w:b w:val="0"/>
                <w:sz w:val="20"/>
              </w:rPr>
              <w:t>Corrective / Data Recovery</w:t>
            </w:r>
          </w:p>
        </w:tc>
      </w:tr>
      <w:tr>
        <w:tc>
          <w:tcPr>
            <w:tcW w:type="dxa" w:w="4320"/>
            <w:shd w:val="clear" w:color="auto" w:fill="DCE6F1"/>
          </w:tcPr>
          <w:p>
            <w:r/>
            <w:r>
              <w:rPr>
                <w:b/>
                <w:sz w:val="20"/>
              </w:rPr>
              <w:t>Release No.</w:t>
            </w:r>
          </w:p>
        </w:tc>
        <w:tc>
          <w:tcPr>
            <w:tcW w:type="dxa" w:w="4320"/>
          </w:tcPr>
          <w:p>
            <w:r/>
            <w:r>
              <w:rPr>
                <w:b w:val="0"/>
                <w:sz w:val="20"/>
              </w:rPr>
              <w:t>1.0</w:t>
            </w:r>
          </w:p>
        </w:tc>
      </w:tr>
      <w:tr>
        <w:tc>
          <w:tcPr>
            <w:tcW w:type="dxa" w:w="4320"/>
            <w:shd w:val="clear" w:color="auto" w:fill="DCE6F1"/>
          </w:tcPr>
          <w:p>
            <w:r/>
            <w:r>
              <w:rPr>
                <w:b/>
                <w:sz w:val="20"/>
              </w:rPr>
              <w:t>Date of Release</w:t>
            </w:r>
          </w:p>
        </w:tc>
        <w:tc>
          <w:tcPr>
            <w:tcW w:type="dxa" w:w="4320"/>
          </w:tcPr>
          <w:p>
            <w:r/>
            <w:r>
              <w:rPr>
                <w:b w:val="0"/>
                <w:sz w:val="20"/>
              </w:rPr>
              <w:t>4th July 2026</w:t>
            </w:r>
          </w:p>
        </w:tc>
      </w:tr>
      <w:tr>
        <w:tc>
          <w:tcPr>
            <w:tcW w:type="dxa" w:w="4320"/>
            <w:shd w:val="clear" w:color="auto" w:fill="DCE6F1"/>
          </w:tcPr>
          <w:p>
            <w:r/>
            <w:r>
              <w:rPr>
                <w:b/>
                <w:sz w:val="20"/>
              </w:rPr>
              <w:t>Client</w:t>
            </w:r>
          </w:p>
        </w:tc>
        <w:tc>
          <w:tcPr>
            <w:tcW w:type="dxa" w:w="4320"/>
          </w:tcPr>
          <w:p>
            <w:r/>
            <w:r>
              <w:rPr>
                <w:b w:val="0"/>
                <w:sz w:val="20"/>
              </w:rPr>
              <w:t>Stedman Pharmaceuticals</w:t>
            </w:r>
          </w:p>
        </w:tc>
      </w:tr>
      <w:tr>
        <w:tc>
          <w:tcPr>
            <w:tcW w:type="dxa" w:w="4320"/>
            <w:shd w:val="clear" w:color="auto" w:fill="DCE6F1"/>
          </w:tcPr>
          <w:p>
            <w:r/>
            <w:r>
              <w:rPr>
                <w:b/>
                <w:sz w:val="20"/>
              </w:rPr>
              <w:t>Prepared By</w:t>
            </w:r>
          </w:p>
        </w:tc>
        <w:tc>
          <w:tcPr>
            <w:tcW w:type="dxa" w:w="4320"/>
          </w:tcPr>
          <w:p>
            <w:r/>
            <w:r>
              <w:rPr>
                <w:b w:val="0"/>
                <w:sz w:val="20"/>
              </w:rPr>
              <w:t>Kodivian Technologies LLP</w:t>
            </w:r>
          </w:p>
        </w:tc>
      </w:tr>
      <w:tr>
        <w:tc>
          <w:tcPr>
            <w:tcW w:type="dxa" w:w="4320"/>
            <w:shd w:val="clear" w:color="auto" w:fill="DCE6F1"/>
          </w:tcPr>
          <w:p>
            <w:r/>
            <w:r>
              <w:rPr>
                <w:b/>
                <w:sz w:val="20"/>
              </w:rPr>
              <w:t>Reviewed By</w:t>
            </w:r>
          </w:p>
        </w:tc>
        <w:tc>
          <w:tcPr>
            <w:tcW w:type="dxa" w:w="4320"/>
          </w:tcPr>
          <w:p>
            <w:r/>
            <w:r>
              <w:rPr>
                <w:b w:val="0"/>
                <w:sz w:val="20"/>
              </w:rPr>
              <w:t>Vijay Sabari</w:t>
            </w:r>
          </w:p>
        </w:tc>
      </w:tr>
      <w:tr>
        <w:tc>
          <w:tcPr>
            <w:tcW w:type="dxa" w:w="4320"/>
            <w:shd w:val="clear" w:color="auto" w:fill="DCE6F1"/>
          </w:tcPr>
          <w:p>
            <w:r/>
            <w:r>
              <w:rPr>
                <w:b/>
                <w:sz w:val="20"/>
              </w:rPr>
              <w:t>Approved By</w:t>
            </w:r>
          </w:p>
        </w:tc>
        <w:tc>
          <w:tcPr>
            <w:tcW w:type="dxa" w:w="4320"/>
          </w:tcPr>
          <w:p>
            <w:r/>
            <w:r>
              <w:rPr>
                <w:b w:val="0"/>
                <w:sz w:val="20"/>
              </w:rPr>
              <w:t>________________________</w:t>
            </w:r>
          </w:p>
        </w:tc>
      </w:tr>
      <w:tr>
        <w:tc>
          <w:tcPr>
            <w:tcW w:type="dxa" w:w="4320"/>
            <w:shd w:val="clear" w:color="auto" w:fill="DCE6F1"/>
          </w:tcPr>
          <w:p>
            <w:r/>
            <w:r>
              <w:rPr>
                <w:b/>
                <w:sz w:val="20"/>
              </w:rPr>
              <w:t>Approved Date</w:t>
            </w:r>
          </w:p>
        </w:tc>
        <w:tc>
          <w:tcPr>
            <w:tcW w:type="dxa" w:w="4320"/>
          </w:tcPr>
          <w:p>
            <w:r/>
            <w:r>
              <w:rPr>
                <w:b w:val="0"/>
                <w:sz w:val="20"/>
              </w:rPr>
              <w:t>________________________</w:t>
            </w:r>
          </w:p>
        </w:tc>
      </w:tr>
    </w:tbl>
    <w:p>
      <w:pPr>
        <w:spacing w:before="200" w:after="60"/>
      </w:pPr>
      <w:r>
        <w:rPr>
          <w:b/>
          <w:color w:val="1F4E79"/>
          <w:sz w:val="24"/>
        </w:rPr>
        <w:t>1. Purpose of this Change Request</w:t>
      </w:r>
    </w:p>
    <w:p>
      <w:pPr>
        <w:spacing w:after="80"/>
      </w:pPr>
      <w:r>
        <w:t>This Change Request is raised by Kodivian Technologies LLP for Stedman Pharmaceuticals to scope, estimate and obtain approval for the recovery and restoration of Stock Statement records for the West Bengal region that were removed during a client-side bulk-delete operation. This item corresponds to Change Item CR-10 in the CR Report.</w:t>
      </w:r>
    </w:p>
    <w:p>
      <w:pPr>
        <w:spacing w:after="80"/>
      </w:pPr>
      <w:r>
        <w:t>The deletion was initiated from the client side and affected approximately the last two months of Stock Statement data for the region, including the manual adjustments made on those statements. This CR captures the controlled recovery, restoration and re-validation of that data for formal approval and commercial settlement.</w:t>
      </w:r>
    </w:p>
    <w:p>
      <w:pPr>
        <w:spacing w:before="200" w:after="60"/>
      </w:pPr>
      <w:r>
        <w:rPr>
          <w:b/>
          <w:color w:val="1F4E79"/>
          <w:sz w:val="24"/>
        </w:rPr>
        <w:t>2. Background &amp; Context</w:t>
      </w:r>
    </w:p>
    <w:p>
      <w:pPr>
        <w:spacing w:after="80"/>
      </w:pPr>
      <w:r>
        <w:t>During routine operation, a bulk-delete action was performed from the client side on the Delete Statement screen with a region filter (West Bengal) applied but without a statement month selected. As a result, all Stock Statement records for that region were removed, along with the manual adjustments that had been entered on those statements.</w:t>
      </w:r>
    </w:p>
    <w:p>
      <w:pPr>
        <w:spacing w:after="80"/>
      </w:pPr>
      <w:r>
        <w:t>The affected statements and their uploaded source files are recoverable from the system's audit trail and activity logs, which retain a record of every deletion. This CR covers the controlled recovery, restoration and re-validation of that data.</w:t>
      </w:r>
    </w:p>
    <w:p>
      <w:pPr>
        <w:spacing w:after="80"/>
      </w:pPr>
      <w:r>
        <w:t>Affected scope:</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
              <w:rPr>
                <w:b/>
                <w:color w:val="FFFFFF"/>
                <w:sz w:val="20"/>
              </w:rPr>
              <w:t>Item</w:t>
            </w:r>
          </w:p>
        </w:tc>
        <w:tc>
          <w:tcPr>
            <w:tcW w:type="dxa" w:w="4320"/>
            <w:shd w:val="clear" w:color="auto" w:fill="1F4E79"/>
          </w:tcPr>
          <w:p>
            <w:r/>
            <w:r>
              <w:rPr>
                <w:b/>
                <w:color w:val="FFFFFF"/>
                <w:sz w:val="20"/>
              </w:rPr>
              <w:t>Detail</w:t>
            </w:r>
          </w:p>
        </w:tc>
      </w:tr>
      <w:tr>
        <w:tc>
          <w:tcPr>
            <w:tcW w:type="dxa" w:w="4320"/>
          </w:tcPr>
          <w:p>
            <w:r/>
            <w:r>
              <w:rPr>
                <w:b w:val="0"/>
                <w:sz w:val="20"/>
              </w:rPr>
              <w:t>Region affected</w:t>
            </w:r>
          </w:p>
        </w:tc>
        <w:tc>
          <w:tcPr>
            <w:tcW w:type="dxa" w:w="4320"/>
          </w:tcPr>
          <w:p>
            <w:r/>
            <w:r>
              <w:rPr>
                <w:b w:val="0"/>
                <w:sz w:val="20"/>
              </w:rPr>
              <w:t>West Bengal</w:t>
            </w:r>
          </w:p>
        </w:tc>
      </w:tr>
      <w:tr>
        <w:tc>
          <w:tcPr>
            <w:tcW w:type="dxa" w:w="4320"/>
          </w:tcPr>
          <w:p>
            <w:r/>
            <w:r>
              <w:rPr>
                <w:b w:val="0"/>
                <w:sz w:val="20"/>
              </w:rPr>
              <w:t>Period affected</w:t>
            </w:r>
          </w:p>
        </w:tc>
        <w:tc>
          <w:tcPr>
            <w:tcW w:type="dxa" w:w="4320"/>
          </w:tcPr>
          <w:p>
            <w:r/>
            <w:r>
              <w:rPr>
                <w:b w:val="0"/>
                <w:sz w:val="20"/>
              </w:rPr>
              <w:t>Approximately the last two (2) months</w:t>
            </w:r>
          </w:p>
        </w:tc>
      </w:tr>
      <w:tr>
        <w:tc>
          <w:tcPr>
            <w:tcW w:type="dxa" w:w="4320"/>
          </w:tcPr>
          <w:p>
            <w:r/>
            <w:r>
              <w:rPr>
                <w:b w:val="0"/>
                <w:sz w:val="20"/>
              </w:rPr>
              <w:t>Record types</w:t>
            </w:r>
          </w:p>
        </w:tc>
        <w:tc>
          <w:tcPr>
            <w:tcW w:type="dxa" w:w="4320"/>
          </w:tcPr>
          <w:p>
            <w:r/>
            <w:r>
              <w:rPr>
                <w:b w:val="0"/>
                <w:sz w:val="20"/>
              </w:rPr>
              <w:t>Stock Statements and their uploaded statement files</w:t>
            </w:r>
          </w:p>
        </w:tc>
      </w:tr>
      <w:tr>
        <w:tc>
          <w:tcPr>
            <w:tcW w:type="dxa" w:w="4320"/>
          </w:tcPr>
          <w:p>
            <w:r/>
            <w:r>
              <w:rPr>
                <w:b w:val="0"/>
                <w:sz w:val="20"/>
              </w:rPr>
              <w:t>Trigger</w:t>
            </w:r>
          </w:p>
        </w:tc>
        <w:tc>
          <w:tcPr>
            <w:tcW w:type="dxa" w:w="4320"/>
          </w:tcPr>
          <w:p>
            <w:r/>
            <w:r>
              <w:rPr>
                <w:b w:val="0"/>
                <w:sz w:val="20"/>
              </w:rPr>
              <w:t>Client-side bulk delete with region filter but no month selected</w:t>
            </w:r>
          </w:p>
        </w:tc>
      </w:tr>
      <w:tr>
        <w:tc>
          <w:tcPr>
            <w:tcW w:type="dxa" w:w="4320"/>
          </w:tcPr>
          <w:p>
            <w:r/>
            <w:r>
              <w:rPr>
                <w:b w:val="0"/>
                <w:sz w:val="20"/>
              </w:rPr>
              <w:t>Recovery source</w:t>
            </w:r>
          </w:p>
        </w:tc>
        <w:tc>
          <w:tcPr>
            <w:tcW w:type="dxa" w:w="4320"/>
          </w:tcPr>
          <w:p>
            <w:r/>
            <w:r>
              <w:rPr>
                <w:b w:val="0"/>
                <w:sz w:val="20"/>
              </w:rPr>
              <w:t>System audit trail / activity logs</w:t>
            </w:r>
          </w:p>
        </w:tc>
      </w:tr>
    </w:tbl>
    <w:p>
      <w:pPr>
        <w:spacing w:before="200" w:after="60"/>
      </w:pPr>
      <w:r>
        <w:rPr>
          <w:b/>
          <w:color w:val="1F4E79"/>
          <w:sz w:val="24"/>
        </w:rPr>
        <w:t>3. Business Justification (Reason for Change)</w:t>
      </w:r>
    </w:p>
    <w:p>
      <w:pPr>
        <w:spacing w:after="80"/>
      </w:pPr>
      <w:r>
        <w:t>The recovery is corrective work arising from a client-side operational action and is not covered by the SRS or the existing delivered scope:</w:t>
      </w:r>
    </w:p>
    <w:p>
      <w:pPr>
        <w:pStyle w:val="ListBullet"/>
      </w:pPr>
      <w:r>
        <w:t>The deletion resulted from a client-side action on live data, outside the scope of the delivered application.</w:t>
      </w:r>
    </w:p>
    <w:p>
      <w:pPr>
        <w:pStyle w:val="ListBullet"/>
      </w:pPr>
      <w:r>
        <w:t>The affected statements carry manual adjustments; recovery from the audit trail preserves this work and avoids re-doing it by hand.</w:t>
      </w:r>
    </w:p>
    <w:p>
      <w:pPr>
        <w:pStyle w:val="ListBullet"/>
      </w:pPr>
      <w:r>
        <w:t>Restoring from the audit trail and logs is faster, safer and more accurate than re-uploading and re-entering two months of regional data.</w:t>
      </w:r>
    </w:p>
    <w:p>
      <w:pPr>
        <w:pStyle w:val="ListBullet"/>
      </w:pPr>
      <w:r>
        <w:t>This is a one-time corrective engagement and is therefore raised as a formal Change Request.</w:t>
      </w:r>
    </w:p>
    <w:p>
      <w:pPr>
        <w:spacing w:before="200" w:after="60"/>
      </w:pPr>
      <w:r>
        <w:rPr>
          <w:b/>
          <w:color w:val="1F4E79"/>
          <w:sz w:val="24"/>
        </w:rPr>
        <w:t>4. Proposed Change – Recovery Approach</w:t>
      </w:r>
    </w:p>
    <w:p>
      <w:pPr>
        <w:spacing w:after="80"/>
      </w:pPr>
      <w:r>
        <w:t>The recovery will deliver the following:</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
              <w:rPr>
                <w:b/>
                <w:color w:val="FFFFFF"/>
                <w:sz w:val="20"/>
              </w:rPr>
              <w:t>Activity</w:t>
            </w:r>
          </w:p>
        </w:tc>
        <w:tc>
          <w:tcPr>
            <w:tcW w:type="dxa" w:w="4320"/>
            <w:shd w:val="clear" w:color="auto" w:fill="1F4E79"/>
          </w:tcPr>
          <w:p>
            <w:r/>
            <w:r>
              <w:rPr>
                <w:b/>
                <w:color w:val="FFFFFF"/>
                <w:sz w:val="20"/>
              </w:rPr>
              <w:t>Description</w:t>
            </w:r>
          </w:p>
        </w:tc>
      </w:tr>
      <w:tr>
        <w:tc>
          <w:tcPr>
            <w:tcW w:type="dxa" w:w="4320"/>
          </w:tcPr>
          <w:p>
            <w:r/>
            <w:r>
              <w:rPr>
                <w:b w:val="0"/>
                <w:sz w:val="20"/>
              </w:rPr>
              <w:t>Log-based recovery</w:t>
            </w:r>
          </w:p>
        </w:tc>
        <w:tc>
          <w:tcPr>
            <w:tcW w:type="dxa" w:w="4320"/>
          </w:tcPr>
          <w:p>
            <w:r/>
            <w:r>
              <w:rPr>
                <w:b w:val="0"/>
                <w:sz w:val="20"/>
              </w:rPr>
              <w:t>Recover the deleted West Bengal Stock Statement records from the system audit trail / activity logs.</w:t>
            </w:r>
          </w:p>
        </w:tc>
      </w:tr>
      <w:tr>
        <w:tc>
          <w:tcPr>
            <w:tcW w:type="dxa" w:w="4320"/>
          </w:tcPr>
          <w:p>
            <w:r/>
            <w:r>
              <w:rPr>
                <w:b w:val="0"/>
                <w:sz w:val="20"/>
              </w:rPr>
              <w:t>File restoration</w:t>
            </w:r>
          </w:p>
        </w:tc>
        <w:tc>
          <w:tcPr>
            <w:tcW w:type="dxa" w:w="4320"/>
          </w:tcPr>
          <w:p>
            <w:r/>
            <w:r>
              <w:rPr>
                <w:b w:val="0"/>
                <w:sz w:val="20"/>
              </w:rPr>
              <w:t>Restore the associated uploaded statement files and re-link them to their statements.</w:t>
            </w:r>
          </w:p>
        </w:tc>
      </w:tr>
      <w:tr>
        <w:tc>
          <w:tcPr>
            <w:tcW w:type="dxa" w:w="4320"/>
          </w:tcPr>
          <w:p>
            <w:r/>
            <w:r>
              <w:rPr>
                <w:b w:val="0"/>
                <w:sz w:val="20"/>
              </w:rPr>
              <w:t>Identity preservation</w:t>
            </w:r>
          </w:p>
        </w:tc>
        <w:tc>
          <w:tcPr>
            <w:tcW w:type="dxa" w:w="4320"/>
          </w:tcPr>
          <w:p>
            <w:r/>
            <w:r>
              <w:rPr>
                <w:b w:val="0"/>
                <w:sz w:val="20"/>
              </w:rPr>
              <w:t>Restore each record under its original identifier so downstream references remain intact.</w:t>
            </w:r>
          </w:p>
        </w:tc>
      </w:tr>
      <w:tr>
        <w:tc>
          <w:tcPr>
            <w:tcW w:type="dxa" w:w="4320"/>
          </w:tcPr>
          <w:p>
            <w:r/>
            <w:r>
              <w:rPr>
                <w:b w:val="0"/>
                <w:sz w:val="20"/>
              </w:rPr>
              <w:t>Re-validation</w:t>
            </w:r>
          </w:p>
        </w:tc>
        <w:tc>
          <w:tcPr>
            <w:tcW w:type="dxa" w:w="4320"/>
          </w:tcPr>
          <w:p>
            <w:r/>
            <w:r>
              <w:rPr>
                <w:b w:val="0"/>
                <w:sz w:val="20"/>
              </w:rPr>
              <w:t>Recompute and verify statement totals and confirm the manual adjustments are intact.</w:t>
            </w:r>
          </w:p>
        </w:tc>
      </w:tr>
      <w:tr>
        <w:tc>
          <w:tcPr>
            <w:tcW w:type="dxa" w:w="4320"/>
          </w:tcPr>
          <w:p>
            <w:r/>
            <w:r>
              <w:rPr>
                <w:b w:val="0"/>
                <w:sz w:val="20"/>
              </w:rPr>
              <w:t>Reconciliation report</w:t>
            </w:r>
          </w:p>
        </w:tc>
        <w:tc>
          <w:tcPr>
            <w:tcW w:type="dxa" w:w="4320"/>
          </w:tcPr>
          <w:p>
            <w:r/>
            <w:r>
              <w:rPr>
                <w:b w:val="0"/>
                <w:sz w:val="20"/>
              </w:rPr>
              <w:t>Provide a reconciliation of records recovered versus records deleted.</w:t>
            </w:r>
          </w:p>
        </w:tc>
      </w:tr>
    </w:tbl>
    <w:p>
      <w:pPr>
        <w:spacing w:before="200" w:after="60"/>
      </w:pPr>
      <w:r>
        <w:rPr>
          <w:b/>
          <w:color w:val="1F4E79"/>
          <w:sz w:val="24"/>
        </w:rPr>
        <w:t>5. Scope of Work</w:t>
      </w:r>
    </w:p>
    <w:p>
      <w:r>
        <w:rPr>
          <w:b/>
        </w:rPr>
        <w:t>5.1 In Scope</w:t>
      </w:r>
    </w:p>
    <w:p>
      <w:pPr>
        <w:pStyle w:val="ListBullet"/>
      </w:pPr>
      <w:r>
        <w:t>A full backup taken before any recovery action is executed.</w:t>
      </w:r>
    </w:p>
    <w:p>
      <w:pPr>
        <w:pStyle w:val="ListBullet"/>
      </w:pPr>
      <w:r>
        <w:t>Identification of the deleted West Bengal Stock Statements in the audit trail / activity logs for the affected period.</w:t>
      </w:r>
    </w:p>
    <w:p>
      <w:pPr>
        <w:pStyle w:val="ListBullet"/>
      </w:pPr>
      <w:r>
        <w:t>Recovery and restoration of those statements, preserving the original record identifiers and manual adjustments.</w:t>
      </w:r>
    </w:p>
    <w:p>
      <w:pPr>
        <w:pStyle w:val="ListBullet"/>
      </w:pPr>
      <w:r>
        <w:t>Restoration and re-linking of the associated uploaded statement files.</w:t>
      </w:r>
    </w:p>
    <w:p>
      <w:pPr>
        <w:pStyle w:val="ListBullet"/>
      </w:pPr>
      <w:r>
        <w:t>Re-validation of restored statement totals and a reconciliation report.</w:t>
      </w:r>
    </w:p>
    <w:p>
      <w:pPr>
        <w:pStyle w:val="ListBullet"/>
      </w:pPr>
      <w:r>
        <w:t>UAT support and handover.</w:t>
      </w:r>
    </w:p>
    <w:p>
      <w:r>
        <w:rPr>
          <w:b/>
        </w:rPr>
        <w:t>5.2 Out of Scope</w:t>
      </w:r>
    </w:p>
    <w:p>
      <w:pPr>
        <w:pStyle w:val="ListBullet"/>
      </w:pPr>
      <w:r>
        <w:t>Recovery of any records not retained in the audit trail / activity logs.</w:t>
      </w:r>
    </w:p>
    <w:p>
      <w:pPr>
        <w:pStyle w:val="ListBullet"/>
      </w:pPr>
      <w:r>
        <w:t>Re-entry or re-extraction of data that was never captured in the system.</w:t>
      </w:r>
    </w:p>
    <w:p>
      <w:pPr>
        <w:pStyle w:val="ListBullet"/>
      </w:pPr>
      <w:r>
        <w:t>Records already re-created or re-uploaded by the client for the same period (to avoid duplicates).</w:t>
      </w:r>
    </w:p>
    <w:p>
      <w:pPr>
        <w:pStyle w:val="ListBullet"/>
      </w:pPr>
      <w:r>
        <w:t>Changes to the Delete Statement screen or other application logic (may be raised as a separate CR).</w:t>
      </w:r>
    </w:p>
    <w:p>
      <w:pPr>
        <w:pStyle w:val="ListBullet"/>
      </w:pPr>
      <w:r>
        <w:t>Ongoing production support / AMC, which can be covered under a separate support agreement.</w:t>
      </w:r>
    </w:p>
    <w:p>
      <w:pPr>
        <w:spacing w:before="200" w:after="60"/>
      </w:pPr>
      <w:r>
        <w:rPr>
          <w:b/>
          <w:color w:val="1F4E79"/>
          <w:sz w:val="24"/>
        </w:rPr>
        <w:t>6. Delivery Approach &amp; Methodology</w:t>
      </w:r>
    </w:p>
    <w:p>
      <w:pPr>
        <w:spacing w:after="80"/>
      </w:pPr>
      <w:r>
        <w:t>The recovery will be carried out in a controlled, phased manner:</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
              <w:rPr>
                <w:b/>
                <w:color w:val="FFFFFF"/>
                <w:sz w:val="20"/>
              </w:rPr>
              <w:t>Phase</w:t>
            </w:r>
          </w:p>
        </w:tc>
        <w:tc>
          <w:tcPr>
            <w:tcW w:type="dxa" w:w="4320"/>
            <w:shd w:val="clear" w:color="auto" w:fill="1F4E79"/>
          </w:tcPr>
          <w:p>
            <w:r/>
            <w:r>
              <w:rPr>
                <w:b/>
                <w:color w:val="FFFFFF"/>
                <w:sz w:val="20"/>
              </w:rPr>
              <w:t>Key Activities</w:t>
            </w:r>
          </w:p>
        </w:tc>
      </w:tr>
      <w:tr>
        <w:tc>
          <w:tcPr>
            <w:tcW w:type="dxa" w:w="4320"/>
          </w:tcPr>
          <w:p>
            <w:r/>
            <w:r>
              <w:rPr>
                <w:b w:val="0"/>
                <w:sz w:val="20"/>
              </w:rPr>
              <w:t>Phase 1 – Assess &amp; safeguard</w:t>
            </w:r>
          </w:p>
        </w:tc>
        <w:tc>
          <w:tcPr>
            <w:tcW w:type="dxa" w:w="4320"/>
          </w:tcPr>
          <w:p>
            <w:r/>
            <w:r>
              <w:rPr>
                <w:b w:val="0"/>
                <w:sz w:val="20"/>
              </w:rPr>
              <w:t>Take a full backup; identify the affected records in the audit trail / logs; prepare a reconciliation list for client confirmation.</w:t>
            </w:r>
          </w:p>
        </w:tc>
      </w:tr>
      <w:tr>
        <w:tc>
          <w:tcPr>
            <w:tcW w:type="dxa" w:w="4320"/>
          </w:tcPr>
          <w:p>
            <w:r/>
            <w:r>
              <w:rPr>
                <w:b w:val="0"/>
                <w:sz w:val="20"/>
              </w:rPr>
              <w:t>Phase 2 – Recover &amp; restore</w:t>
            </w:r>
          </w:p>
        </w:tc>
        <w:tc>
          <w:tcPr>
            <w:tcW w:type="dxa" w:w="4320"/>
          </w:tcPr>
          <w:p>
            <w:r/>
            <w:r>
              <w:rPr>
                <w:b w:val="0"/>
                <w:sz w:val="20"/>
              </w:rPr>
              <w:t>Restore the statements and re-link the uploaded files, preserving original identifiers and manual adjustments.</w:t>
            </w:r>
          </w:p>
        </w:tc>
      </w:tr>
      <w:tr>
        <w:tc>
          <w:tcPr>
            <w:tcW w:type="dxa" w:w="4320"/>
          </w:tcPr>
          <w:p>
            <w:r/>
            <w:r>
              <w:rPr>
                <w:b w:val="0"/>
                <w:sz w:val="20"/>
              </w:rPr>
              <w:t>Phase 3 – Validate &amp; handover</w:t>
            </w:r>
          </w:p>
        </w:tc>
        <w:tc>
          <w:tcPr>
            <w:tcW w:type="dxa" w:w="4320"/>
          </w:tcPr>
          <w:p>
            <w:r/>
            <w:r>
              <w:rPr>
                <w:b w:val="0"/>
                <w:sz w:val="20"/>
              </w:rPr>
              <w:t>Re-validate totals, produce the reconciliation report, provide UAT support and obtain sign-off.</w:t>
            </w:r>
          </w:p>
        </w:tc>
      </w:tr>
    </w:tbl>
    <w:p>
      <w:pPr>
        <w:spacing w:before="200" w:after="60"/>
      </w:pPr>
      <w:r>
        <w:rPr>
          <w:b/>
          <w:color w:val="1F4E79"/>
          <w:sz w:val="24"/>
        </w:rPr>
        <w:t>7. Detailed Effort Estimation</w:t>
      </w:r>
    </w:p>
    <w:p>
      <w:pPr>
        <w:spacing w:after="80"/>
      </w:pPr>
      <w:r>
        <w:t>The total estimated effort for this change is 3 (three) person-days. The breakdown is as follows: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Stage</w:t>
            </w:r>
          </w:p>
        </w:tc>
        <w:tc>
          <w:tcPr>
            <w:tcW w:type="dxa" w:w="2880"/>
            <w:shd w:val="clear" w:color="auto" w:fill="1F4E79"/>
          </w:tcPr>
          <w:p>
            <w:r/>
            <w:r>
              <w:rPr>
                <w:b/>
                <w:color w:val="FFFFFF"/>
                <w:sz w:val="20"/>
              </w:rPr>
              <w:t>Focus</w:t>
            </w:r>
          </w:p>
        </w:tc>
        <w:tc>
          <w:tcPr>
            <w:tcW w:type="dxa" w:w="2880"/>
            <w:shd w:val="clear" w:color="auto" w:fill="1F4E79"/>
          </w:tcPr>
          <w:p>
            <w:r/>
            <w:r>
              <w:rPr>
                <w:b/>
                <w:color w:val="FFFFFF"/>
                <w:sz w:val="20"/>
              </w:rPr>
              <w:t>Activities</w:t>
            </w:r>
          </w:p>
        </w:tc>
      </w:tr>
      <w:tr>
        <w:tc>
          <w:tcPr>
            <w:tcW w:type="dxa" w:w="2880"/>
          </w:tcPr>
          <w:p>
            <w:r/>
            <w:r>
              <w:rPr>
                <w:b w:val="0"/>
                <w:sz w:val="20"/>
              </w:rPr>
              <w:t>Day 1</w:t>
            </w:r>
          </w:p>
        </w:tc>
        <w:tc>
          <w:tcPr>
            <w:tcW w:type="dxa" w:w="2880"/>
          </w:tcPr>
          <w:p>
            <w:r/>
            <w:r>
              <w:rPr>
                <w:b w:val="0"/>
                <w:sz w:val="20"/>
              </w:rPr>
              <w:t>Assess &amp; safeguard</w:t>
            </w:r>
          </w:p>
        </w:tc>
        <w:tc>
          <w:tcPr>
            <w:tcW w:type="dxa" w:w="2880"/>
          </w:tcPr>
          <w:p>
            <w:r/>
            <w:r>
              <w:rPr>
                <w:b w:val="0"/>
                <w:sz w:val="20"/>
              </w:rPr>
              <w:t>Full backup; identify affected West Bengal records in the audit trail / logs; prepare reconciliation list.</w:t>
            </w:r>
          </w:p>
        </w:tc>
      </w:tr>
      <w:tr>
        <w:tc>
          <w:tcPr>
            <w:tcW w:type="dxa" w:w="2880"/>
          </w:tcPr>
          <w:p>
            <w:r/>
            <w:r>
              <w:rPr>
                <w:b w:val="0"/>
                <w:sz w:val="20"/>
              </w:rPr>
              <w:t>Day 2</w:t>
            </w:r>
          </w:p>
        </w:tc>
        <w:tc>
          <w:tcPr>
            <w:tcW w:type="dxa" w:w="2880"/>
          </w:tcPr>
          <w:p>
            <w:r/>
            <w:r>
              <w:rPr>
                <w:b w:val="0"/>
                <w:sz w:val="20"/>
              </w:rPr>
              <w:t>Recover &amp; restore</w:t>
            </w:r>
          </w:p>
        </w:tc>
        <w:tc>
          <w:tcPr>
            <w:tcW w:type="dxa" w:w="2880"/>
          </w:tcPr>
          <w:p>
            <w:r/>
            <w:r>
              <w:rPr>
                <w:b w:val="0"/>
                <w:sz w:val="20"/>
              </w:rPr>
              <w:t>Restore statements and re-link uploaded files, preserving original identifiers and manual adjustments.</w:t>
            </w:r>
          </w:p>
        </w:tc>
      </w:tr>
      <w:tr>
        <w:tc>
          <w:tcPr>
            <w:tcW w:type="dxa" w:w="2880"/>
          </w:tcPr>
          <w:p>
            <w:r/>
            <w:r>
              <w:rPr>
                <w:b w:val="0"/>
                <w:sz w:val="20"/>
              </w:rPr>
              <w:t>Day 3</w:t>
            </w:r>
          </w:p>
        </w:tc>
        <w:tc>
          <w:tcPr>
            <w:tcW w:type="dxa" w:w="2880"/>
          </w:tcPr>
          <w:p>
            <w:r/>
            <w:r>
              <w:rPr>
                <w:b w:val="0"/>
                <w:sz w:val="20"/>
              </w:rPr>
              <w:t>Validate &amp; handover</w:t>
            </w:r>
          </w:p>
        </w:tc>
        <w:tc>
          <w:tcPr>
            <w:tcW w:type="dxa" w:w="2880"/>
          </w:tcPr>
          <w:p>
            <w:r/>
            <w:r>
              <w:rPr>
                <w:b w:val="0"/>
                <w:sz w:val="20"/>
              </w:rPr>
              <w:t>Re-validate totals; reconciliation report; UAT support and handover.</w:t>
            </w:r>
          </w:p>
        </w:tc>
      </w:tr>
    </w:tbl>
    <w:p>
      <w:pPr>
        <w:spacing w:after="80"/>
      </w:pPr>
      <w:r>
        <w:t>Total Effort: 3 person-days.</w:t>
      </w:r>
    </w:p>
    <w:p>
      <w:pPr>
        <w:spacing w:after="80"/>
      </w:pPr>
      <w:r>
        <w:t>Effort is expressed in person-days of dedicated engineering work for the corrective recovery described above, presented here for formal approval and commercial settlement.</w:t>
      </w:r>
    </w:p>
    <w:p>
      <w:pPr>
        <w:spacing w:before="200" w:after="60"/>
      </w:pPr>
      <w:r>
        <w:rPr>
          <w:b/>
          <w:color w:val="1F4E79"/>
          <w:sz w:val="24"/>
        </w:rPr>
        <w:t>8. Indicative Timeline</w:t>
      </w:r>
    </w:p>
    <w:p>
      <w:pPr>
        <w:spacing w:after="80"/>
      </w:pPr>
      <w:r>
        <w:t>Subject to written approval of this CR, the effort is represented as a continuous 3 working-day engagement.</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
              <w:rPr>
                <w:b/>
                <w:color w:val="FFFFFF"/>
                <w:sz w:val="20"/>
              </w:rPr>
              <w:t>Milestone</w:t>
            </w:r>
          </w:p>
        </w:tc>
        <w:tc>
          <w:tcPr>
            <w:tcW w:type="dxa" w:w="4320"/>
            <w:shd w:val="clear" w:color="auto" w:fill="1F4E79"/>
          </w:tcPr>
          <w:p>
            <w:r/>
            <w:r>
              <w:rPr>
                <w:b/>
                <w:color w:val="FFFFFF"/>
                <w:sz w:val="20"/>
              </w:rPr>
              <w:t>Target</w:t>
            </w:r>
          </w:p>
        </w:tc>
      </w:tr>
      <w:tr>
        <w:tc>
          <w:tcPr>
            <w:tcW w:type="dxa" w:w="4320"/>
          </w:tcPr>
          <w:p>
            <w:r/>
            <w:r>
              <w:rPr>
                <w:b w:val="0"/>
                <w:sz w:val="20"/>
              </w:rPr>
              <w:t>CR approval &amp; backup</w:t>
            </w:r>
          </w:p>
        </w:tc>
        <w:tc>
          <w:tcPr>
            <w:tcW w:type="dxa" w:w="4320"/>
          </w:tcPr>
          <w:p>
            <w:r/>
            <w:r>
              <w:rPr>
                <w:b w:val="0"/>
                <w:sz w:val="20"/>
              </w:rPr>
              <w:t>Day 0</w:t>
            </w:r>
          </w:p>
        </w:tc>
      </w:tr>
      <w:tr>
        <w:tc>
          <w:tcPr>
            <w:tcW w:type="dxa" w:w="4320"/>
          </w:tcPr>
          <w:p>
            <w:r/>
            <w:r>
              <w:rPr>
                <w:b w:val="0"/>
                <w:sz w:val="20"/>
              </w:rPr>
              <w:t>Affected records identified &amp; confirmed</w:t>
            </w:r>
          </w:p>
        </w:tc>
        <w:tc>
          <w:tcPr>
            <w:tcW w:type="dxa" w:w="4320"/>
          </w:tcPr>
          <w:p>
            <w:r/>
            <w:r>
              <w:rPr>
                <w:b w:val="0"/>
                <w:sz w:val="20"/>
              </w:rPr>
              <w:t>End of Day 1</w:t>
            </w:r>
          </w:p>
        </w:tc>
      </w:tr>
      <w:tr>
        <w:tc>
          <w:tcPr>
            <w:tcW w:type="dxa" w:w="4320"/>
          </w:tcPr>
          <w:p>
            <w:r/>
            <w:r>
              <w:rPr>
                <w:b w:val="0"/>
                <w:sz w:val="20"/>
              </w:rPr>
              <w:t>Statements &amp; files restored</w:t>
            </w:r>
          </w:p>
        </w:tc>
        <w:tc>
          <w:tcPr>
            <w:tcW w:type="dxa" w:w="4320"/>
          </w:tcPr>
          <w:p>
            <w:r/>
            <w:r>
              <w:rPr>
                <w:b w:val="0"/>
                <w:sz w:val="20"/>
              </w:rPr>
              <w:t>End of Day 2</w:t>
            </w:r>
          </w:p>
        </w:tc>
      </w:tr>
      <w:tr>
        <w:tc>
          <w:tcPr>
            <w:tcW w:type="dxa" w:w="4320"/>
          </w:tcPr>
          <w:p>
            <w:r/>
            <w:r>
              <w:rPr>
                <w:b w:val="0"/>
                <w:sz w:val="20"/>
              </w:rPr>
              <w:t>Validation, report &amp; sign-off</w:t>
            </w:r>
          </w:p>
        </w:tc>
        <w:tc>
          <w:tcPr>
            <w:tcW w:type="dxa" w:w="4320"/>
          </w:tcPr>
          <w:p>
            <w:r/>
            <w:r>
              <w:rPr>
                <w:b w:val="0"/>
                <w:sz w:val="20"/>
              </w:rPr>
              <w:t>End of Day 3</w:t>
            </w:r>
          </w:p>
        </w:tc>
      </w:tr>
    </w:tbl>
    <w:p>
      <w:pPr>
        <w:spacing w:before="200" w:after="60"/>
      </w:pPr>
      <w:r>
        <w:rPr>
          <w:b/>
          <w:color w:val="1F4E79"/>
          <w:sz w:val="24"/>
        </w:rPr>
        <w:t>9. Commercials – Implementation Fee</w:t>
      </w:r>
    </w:p>
    <w:p>
      <w:pPr>
        <w:spacing w:after="80"/>
      </w:pPr>
      <w:r>
        <w:t>This is a one-time change request with an associated implementation fee for the 3 person-days of recovery effort described above.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w:t>
            </w:r>
          </w:p>
        </w:tc>
        <w:tc>
          <w:tcPr>
            <w:tcW w:type="dxa" w:w="2160"/>
            <w:shd w:val="clear" w:color="auto" w:fill="1F4E79"/>
          </w:tcPr>
          <w:p>
            <w:r/>
            <w:r>
              <w:rPr>
                <w:b/>
                <w:color w:val="FFFFFF"/>
                <w:sz w:val="20"/>
              </w:rPr>
              <w:t>Description</w:t>
            </w:r>
          </w:p>
        </w:tc>
        <w:tc>
          <w:tcPr>
            <w:tcW w:type="dxa" w:w="2160"/>
            <w:shd w:val="clear" w:color="auto" w:fill="1F4E79"/>
          </w:tcPr>
          <w:p>
            <w:r/>
            <w:r>
              <w:rPr>
                <w:b/>
                <w:color w:val="FFFFFF"/>
                <w:sz w:val="20"/>
              </w:rPr>
              <w:t>Effort</w:t>
            </w:r>
          </w:p>
        </w:tc>
        <w:tc>
          <w:tcPr>
            <w:tcW w:type="dxa" w:w="2160"/>
            <w:shd w:val="clear" w:color="auto" w:fill="1F4E79"/>
          </w:tcPr>
          <w:p>
            <w:r/>
            <w:r>
              <w:rPr>
                <w:b/>
                <w:color w:val="FFFFFF"/>
                <w:sz w:val="20"/>
              </w:rPr>
              <w:t>Amount</w:t>
            </w:r>
          </w:p>
        </w:tc>
      </w:tr>
      <w:tr>
        <w:tc>
          <w:tcPr>
            <w:tcW w:type="dxa" w:w="2160"/>
          </w:tcPr>
          <w:p>
            <w:r/>
            <w:r>
              <w:rPr>
                <w:b w:val="0"/>
                <w:sz w:val="20"/>
              </w:rPr>
              <w:t>1</w:t>
            </w:r>
          </w:p>
        </w:tc>
        <w:tc>
          <w:tcPr>
            <w:tcW w:type="dxa" w:w="2160"/>
          </w:tcPr>
          <w:p>
            <w:r/>
            <w:r>
              <w:rPr>
                <w:b w:val="0"/>
                <w:sz w:val="20"/>
              </w:rPr>
              <w:t>Recovery and restoration of the deleted West Bengal Stock Statements and their uploaded files from the audit trail / logs, with re-validation and reconciliation.</w:t>
            </w:r>
          </w:p>
        </w:tc>
        <w:tc>
          <w:tcPr>
            <w:tcW w:type="dxa" w:w="2160"/>
          </w:tcPr>
          <w:p>
            <w:r/>
            <w:r>
              <w:rPr>
                <w:b w:val="0"/>
                <w:sz w:val="20"/>
              </w:rPr>
              <w:t>3 person-days</w:t>
            </w:r>
          </w:p>
        </w:tc>
        <w:tc>
          <w:tcPr>
            <w:tcW w:type="dxa" w:w="2160"/>
          </w:tcPr>
          <w:p>
            <w:r/>
            <w:r>
              <w:rPr>
                <w:b w:val="0"/>
                <w:sz w:val="20"/>
              </w:rPr>
              <w:t>₹ ____________</w:t>
            </w:r>
          </w:p>
        </w:tc>
      </w:tr>
      <w:tr>
        <w:tc>
          <w:tcPr>
            <w:tcW w:type="dxa" w:w="2160"/>
          </w:tcPr>
          <w:p>
            <w:r/>
            <w:r>
              <w:rPr>
                <w:b w:val="0"/>
                <w:sz w:val="20"/>
              </w:rPr>
            </w:r>
          </w:p>
        </w:tc>
        <w:tc>
          <w:tcPr>
            <w:tcW w:type="dxa" w:w="2160"/>
          </w:tcPr>
          <w:p>
            <w:r/>
            <w:r>
              <w:rPr>
                <w:b w:val="0"/>
                <w:sz w:val="20"/>
              </w:rPr>
              <w:t>One-time Implementation Fee (Total)</w:t>
            </w:r>
          </w:p>
        </w:tc>
        <w:tc>
          <w:tcPr>
            <w:tcW w:type="dxa" w:w="2160"/>
          </w:tcPr>
          <w:p>
            <w:r/>
            <w:r>
              <w:rPr>
                <w:b w:val="0"/>
                <w:sz w:val="20"/>
              </w:rPr>
              <w:t>3 person-days</w:t>
            </w:r>
          </w:p>
        </w:tc>
        <w:tc>
          <w:tcPr>
            <w:tcW w:type="dxa" w:w="2160"/>
          </w:tcPr>
          <w:p>
            <w:r/>
            <w:r>
              <w:rPr>
                <w:b w:val="0"/>
                <w:sz w:val="20"/>
              </w:rPr>
              <w:t>₹ ____________</w:t>
            </w:r>
          </w:p>
        </w:tc>
      </w:tr>
    </w:tbl>
    <w:p>
      <w:pPr>
        <w:spacing w:after="80"/>
      </w:pPr>
      <w:r>
        <w:t>Amounts are to be finalised and are shown as placeholders pending commercial confirmation.</w:t>
      </w:r>
    </w:p>
    <w:p>
      <w:pPr>
        <w:spacing w:after="80"/>
      </w:pPr>
      <w:r>
        <w:t>Taxes (GST) as applicable will be charged additionally.</w:t>
      </w:r>
    </w:p>
    <w:p>
      <w:pPr>
        <w:spacing w:before="200" w:after="60"/>
      </w:pPr>
      <w:r>
        <w:rPr>
          <w:b/>
          <w:color w:val="1F4E79"/>
          <w:sz w:val="24"/>
        </w:rPr>
        <w:t>10. Assumptions &amp; Client Dependencies</w:t>
      </w:r>
    </w:p>
    <w:p>
      <w:pPr>
        <w:pStyle w:val="ListBullet"/>
      </w:pPr>
      <w:r>
        <w:t>The affected records are retained in the system's audit trail / activity logs.</w:t>
      </w:r>
    </w:p>
    <w:p>
      <w:pPr>
        <w:pStyle w:val="ListBullet"/>
      </w:pPr>
      <w:r>
        <w:t>The client has not re-created or re-uploaded the affected statements for the same period, to avoid duplicates.</w:t>
      </w:r>
    </w:p>
    <w:p>
      <w:pPr>
        <w:pStyle w:val="ListBullet"/>
      </w:pPr>
      <w:r>
        <w:t>Client-side stakeholders are available to confirm the affected scope and provide sign-off.</w:t>
      </w:r>
    </w:p>
    <w:p>
      <w:pPr>
        <w:pStyle w:val="ListBullet"/>
      </w:pPr>
      <w:r>
        <w:t>A maintenance window is available to take a backup and perform the recovery.</w:t>
      </w:r>
    </w:p>
    <w:p>
      <w:pPr>
        <w:pStyle w:val="ListBullet"/>
      </w:pPr>
      <w:r>
        <w:t>The deletion was a client-side operational action; this CR covers corrective recovery only.</w:t>
      </w:r>
    </w:p>
    <w:p>
      <w:pPr>
        <w:spacing w:before="200" w:after="60"/>
      </w:pPr>
      <w:r>
        <w:rPr>
          <w:b/>
          <w:color w:val="1F4E79"/>
          <w:sz w:val="24"/>
        </w:rPr>
        <w:t>11. Risks &amp; Mitigation</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
              <w:rPr>
                <w:b/>
                <w:color w:val="FFFFFF"/>
                <w:sz w:val="20"/>
              </w:rPr>
              <w:t>Risk</w:t>
            </w:r>
          </w:p>
        </w:tc>
        <w:tc>
          <w:tcPr>
            <w:tcW w:type="dxa" w:w="4320"/>
            <w:shd w:val="clear" w:color="auto" w:fill="1F4E79"/>
          </w:tcPr>
          <w:p>
            <w:r/>
            <w:r>
              <w:rPr>
                <w:b/>
                <w:color w:val="FFFFFF"/>
                <w:sz w:val="20"/>
              </w:rPr>
              <w:t>Mitigation</w:t>
            </w:r>
          </w:p>
        </w:tc>
      </w:tr>
      <w:tr>
        <w:tc>
          <w:tcPr>
            <w:tcW w:type="dxa" w:w="4320"/>
          </w:tcPr>
          <w:p>
            <w:r/>
            <w:r>
              <w:rPr>
                <w:b w:val="0"/>
                <w:sz w:val="20"/>
              </w:rPr>
              <w:t>Some records not retained in the logs</w:t>
            </w:r>
          </w:p>
        </w:tc>
        <w:tc>
          <w:tcPr>
            <w:tcW w:type="dxa" w:w="4320"/>
          </w:tcPr>
          <w:p>
            <w:r/>
            <w:r>
              <w:rPr>
                <w:b w:val="0"/>
                <w:sz w:val="20"/>
              </w:rPr>
              <w:t>Confirm the recoverable set against the audit trail before execution; report any gaps to the client.</w:t>
            </w:r>
          </w:p>
        </w:tc>
      </w:tr>
      <w:tr>
        <w:tc>
          <w:tcPr>
            <w:tcW w:type="dxa" w:w="4320"/>
          </w:tcPr>
          <w:p>
            <w:r/>
            <w:r>
              <w:rPr>
                <w:b w:val="0"/>
                <w:sz w:val="20"/>
              </w:rPr>
              <w:t>Duplicates if the client already re-entered data</w:t>
            </w:r>
          </w:p>
        </w:tc>
        <w:tc>
          <w:tcPr>
            <w:tcW w:type="dxa" w:w="4320"/>
          </w:tcPr>
          <w:p>
            <w:r/>
            <w:r>
              <w:rPr>
                <w:b w:val="0"/>
                <w:sz w:val="20"/>
              </w:rPr>
              <w:t>Reconcile against existing records and skip anything already present.</w:t>
            </w:r>
          </w:p>
        </w:tc>
      </w:tr>
      <w:tr>
        <w:tc>
          <w:tcPr>
            <w:tcW w:type="dxa" w:w="4320"/>
          </w:tcPr>
          <w:p>
            <w:r/>
            <w:r>
              <w:rPr>
                <w:b w:val="0"/>
                <w:sz w:val="20"/>
              </w:rPr>
              <w:t>Data change during recovery</w:t>
            </w:r>
          </w:p>
        </w:tc>
        <w:tc>
          <w:tcPr>
            <w:tcW w:type="dxa" w:w="4320"/>
          </w:tcPr>
          <w:p>
            <w:r/>
            <w:r>
              <w:rPr>
                <w:b w:val="0"/>
                <w:sz w:val="20"/>
              </w:rPr>
              <w:t>Take a full backup first and perform the recovery in a controlled maintenance window.</w:t>
            </w:r>
          </w:p>
        </w:tc>
      </w:tr>
      <w:tr>
        <w:tc>
          <w:tcPr>
            <w:tcW w:type="dxa" w:w="4320"/>
          </w:tcPr>
          <w:p>
            <w:r/>
            <w:r>
              <w:rPr>
                <w:b w:val="0"/>
                <w:sz w:val="20"/>
              </w:rPr>
              <w:t>Mismatched totals after restore</w:t>
            </w:r>
          </w:p>
        </w:tc>
        <w:tc>
          <w:tcPr>
            <w:tcW w:type="dxa" w:w="4320"/>
          </w:tcPr>
          <w:p>
            <w:r/>
            <w:r>
              <w:rPr>
                <w:b w:val="0"/>
                <w:sz w:val="20"/>
              </w:rPr>
              <w:t>Re-validate and recompute totals; reconcile against the deletion record.</w:t>
            </w:r>
          </w:p>
        </w:tc>
      </w:tr>
    </w:tbl>
    <w:p>
      <w:pPr>
        <w:spacing w:before="200" w:after="60"/>
      </w:pPr>
      <w:r>
        <w:rPr>
          <w:b/>
          <w:color w:val="1F4E79"/>
          <w:sz w:val="24"/>
        </w:rPr>
        <w:t>12. Deliverables</w:t>
      </w:r>
    </w:p>
    <w:p>
      <w:pPr>
        <w:pStyle w:val="ListBullet"/>
      </w:pPr>
      <w:r>
        <w:t>Recovered and restored West Bengal Stock Statements with their manual adjustments intact.</w:t>
      </w:r>
    </w:p>
    <w:p>
      <w:pPr>
        <w:pStyle w:val="ListBullet"/>
      </w:pPr>
      <w:r>
        <w:t>Restored and re-linked uploaded statement files.</w:t>
      </w:r>
    </w:p>
    <w:p>
      <w:pPr>
        <w:pStyle w:val="ListBullet"/>
      </w:pPr>
      <w:r>
        <w:t>A reconciliation report of records recovered versus records deleted.</w:t>
      </w:r>
    </w:p>
    <w:p>
      <w:pPr>
        <w:pStyle w:val="ListBullet"/>
      </w:pPr>
      <w:r>
        <w:t>UAT sign-off of the recovery.</w:t>
      </w:r>
    </w:p>
    <w:p>
      <w:pPr>
        <w:spacing w:before="200" w:after="60"/>
      </w:pPr>
      <w:r>
        <w:rPr>
          <w:b/>
          <w:color w:val="1F4E79"/>
          <w:sz w:val="24"/>
        </w:rPr>
        <w:t>13. Acceptance Criteria</w:t>
      </w:r>
    </w:p>
    <w:p>
      <w:pPr>
        <w:pStyle w:val="ListBullet"/>
      </w:pPr>
      <w:r>
        <w:t>The deleted West Bengal statements for the affected period are restored under their original identifiers.</w:t>
      </w:r>
    </w:p>
    <w:p>
      <w:pPr>
        <w:pStyle w:val="ListBullet"/>
      </w:pPr>
      <w:r>
        <w:t>The manual adjustments on the restored statements are intact and totals re-validate correctly.</w:t>
      </w:r>
    </w:p>
    <w:p>
      <w:pPr>
        <w:pStyle w:val="ListBullet"/>
      </w:pPr>
      <w:r>
        <w:t>The uploaded statement files are restored and correctly linked to their statements.</w:t>
      </w:r>
    </w:p>
    <w:p>
      <w:pPr>
        <w:pStyle w:val="ListBullet"/>
      </w:pPr>
      <w:r>
        <w:t>The reconciliation report matches the set of records identified as deleted.</w:t>
      </w:r>
    </w:p>
    <w:p>
      <w:pPr>
        <w:spacing w:before="200" w:after="60"/>
      </w:pPr>
      <w:r>
        <w:rPr>
          <w:b/>
          <w:color w:val="1F4E79"/>
          <w:sz w:val="24"/>
        </w:rPr>
        <w:t>14. Approval &amp; Sign-off</w:t>
      </w:r>
    </w:p>
    <w:p>
      <w:pPr>
        <w:spacing w:after="80"/>
      </w:pPr>
      <w:r>
        <w:t>By signing below, both parties agree to the scope, effort and commercial terms set out in this Change Request.</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r/>
            <w:r>
              <w:rPr>
                <w:b/>
                <w:color w:val="FFFFFF"/>
                <w:sz w:val="20"/>
              </w:rPr>
              <w:t>For Kodivian Technologies LLP</w:t>
            </w:r>
          </w:p>
        </w:tc>
        <w:tc>
          <w:tcPr>
            <w:tcW w:type="dxa" w:w="4320"/>
            <w:shd w:val="clear" w:color="auto" w:fill="1F4E79"/>
          </w:tcPr>
          <w:p>
            <w:r/>
            <w:r>
              <w:rPr>
                <w:b/>
                <w:color w:val="FFFFFF"/>
                <w:sz w:val="20"/>
              </w:rPr>
              <w:t>For Stedman Pharmaceuticals</w:t>
            </w:r>
          </w:p>
        </w:tc>
      </w:tr>
      <w:tr>
        <w:tc>
          <w:tcPr>
            <w:tcW w:type="dxa" w:w="4320"/>
          </w:tcPr>
          <w:p>
            <w:r/>
            <w:r>
              <w:rPr>
                <w:b w:val="0"/>
                <w:sz w:val="20"/>
              </w:rPr>
              <w:t>Name: ____________________________</w:t>
            </w:r>
          </w:p>
        </w:tc>
        <w:tc>
          <w:tcPr>
            <w:tcW w:type="dxa" w:w="4320"/>
          </w:tcPr>
          <w:p>
            <w:r/>
            <w:r>
              <w:rPr>
                <w:b w:val="0"/>
                <w:sz w:val="20"/>
              </w:rPr>
              <w:t>Name: ____________________________</w:t>
            </w:r>
          </w:p>
        </w:tc>
      </w:tr>
      <w:tr>
        <w:tc>
          <w:tcPr>
            <w:tcW w:type="dxa" w:w="4320"/>
          </w:tcPr>
          <w:p>
            <w:r/>
            <w:r>
              <w:rPr>
                <w:b w:val="0"/>
                <w:sz w:val="20"/>
              </w:rPr>
              <w:t>Designation: ______________________</w:t>
            </w:r>
          </w:p>
        </w:tc>
        <w:tc>
          <w:tcPr>
            <w:tcW w:type="dxa" w:w="4320"/>
          </w:tcPr>
          <w:p>
            <w:r/>
            <w:r>
              <w:rPr>
                <w:b w:val="0"/>
                <w:sz w:val="20"/>
              </w:rPr>
              <w:t>Designation: ______________________</w:t>
            </w:r>
          </w:p>
        </w:tc>
      </w:tr>
      <w:tr>
        <w:tc>
          <w:tcPr>
            <w:tcW w:type="dxa" w:w="4320"/>
          </w:tcPr>
          <w:p>
            <w:r/>
            <w:r>
              <w:rPr>
                <w:b w:val="0"/>
                <w:sz w:val="20"/>
              </w:rPr>
              <w:t>Signature &amp; Date: __________________</w:t>
            </w:r>
          </w:p>
        </w:tc>
        <w:tc>
          <w:tcPr>
            <w:tcW w:type="dxa" w:w="4320"/>
          </w:tcPr>
          <w:p>
            <w:r/>
            <w:r>
              <w:rPr>
                <w:b w:val="0"/>
                <w:sz w:val="20"/>
              </w:rPr>
              <w:t>Signature &amp; Date: __________________</w:t>
            </w:r>
          </w:p>
        </w:tc>
      </w:tr>
    </w:tbl>
    <w:p>
      <w:pPr>
        <w:jc w:val="center"/>
      </w:pPr>
      <w:r>
        <w:rPr>
          <w:i/>
        </w:rPr>
        <w:t>— End of Change Request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Kodivian Technologies LLP  |  Confidential  –  Prepared for Stedman Pharmaceuticals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