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Scheme Deduction Engine – Manual, Bulk &amp; Automated Reconciliation</w:t>
      </w:r>
    </w:p>
    <w:p>
      <w:pPr>
        <w:spacing w:after="40"/>
        <w:jc w:val="center"/>
      </w:pPr>
      <w:r>
        <w:rPr>
          <w:b w:val="0"/>
          <w:color w:val="595959"/>
          <w:sz w:val="23"/>
        </w:rPr>
        <w:t>Delivered Functional Scope beyond the approved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Scheme Deduction Engine</w:t>
            </w:r>
          </w:p>
        </w:tc>
      </w:tr>
      <w:tr>
        <w:tc>
          <w:tcPr>
            <w:tcW w:type="dxa" w:w="4873"/>
            <w:shd w:val="clear" w:color="auto" w:fill="DCE6F1"/>
          </w:tcPr>
          <w:p>
            <w:r/>
            <w:r>
              <w:rPr>
                <w:b/>
              </w:rPr>
              <w:t>CR Reference No.</w:t>
            </w:r>
          </w:p>
        </w:tc>
        <w:tc>
          <w:tcPr>
            <w:tcW w:type="dxa" w:w="4873"/>
          </w:tcPr>
          <w:p>
            <w:r/>
            <w:r>
              <w:rPr>
                <w:b w:val="0"/>
              </w:rPr>
              <w:t>KT/STED/CR-01</w:t>
            </w:r>
          </w:p>
        </w:tc>
      </w:tr>
      <w:tr>
        <w:tc>
          <w:tcPr>
            <w:tcW w:type="dxa" w:w="4873"/>
            <w:shd w:val="clear" w:color="auto" w:fill="DCE6F1"/>
          </w:tcPr>
          <w:p>
            <w:r/>
            <w:r>
              <w:rPr>
                <w:b/>
              </w:rPr>
              <w:t>CR Report Item</w:t>
            </w:r>
          </w:p>
        </w:tc>
        <w:tc>
          <w:tcPr>
            <w:tcW w:type="dxa" w:w="4873"/>
          </w:tcPr>
          <w:p>
            <w:r/>
            <w:r>
              <w:rPr>
                <w:b w:val="0"/>
              </w:rPr>
              <w:t>CR-01 (CR Report)</w:t>
            </w:r>
          </w:p>
        </w:tc>
      </w:tr>
      <w:tr>
        <w:tc>
          <w:tcPr>
            <w:tcW w:type="dxa" w:w="4873"/>
            <w:shd w:val="clear" w:color="auto" w:fill="DCE6F1"/>
          </w:tcPr>
          <w:p>
            <w:r/>
            <w:r>
              <w:rPr>
                <w:b/>
              </w:rPr>
              <w:t>Classification</w:t>
            </w:r>
          </w:p>
        </w:tc>
        <w:tc>
          <w:tcPr>
            <w:tcW w:type="dxa" w:w="4873"/>
          </w:tcPr>
          <w:p>
            <w:r/>
            <w:r>
              <w:rPr>
                <w:b w:val="0"/>
              </w:rPr>
              <w:t>New Module</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(CR) is raised by Kodivian Technologies LLP for Stedman Pharmaceuticals to formally document, scope, estimate and obtain approval for the Scheme Deduction Engine delivered in the Scanify portal. This item corresponds to Change Item CR-01 in the CR Report (Delivered Scope vs. SRS).</w:t>
      </w:r>
    </w:p>
    <w:p>
      <w:r>
        <w:t>The SRS (Rel. 1.1) provided only a monitoring report for scheme-approved products not reflected in secondary sales. The delivered portal instead provides a complete transactional engine that actively reconciles approved scheme free-quantities against actual secondary sales. This CR captures that additional module for formal re-baselining and commercial settlement.</w:t>
      </w:r>
    </w:p>
    <w:p/>
    <w:p>
      <w:pPr>
        <w:pStyle w:val="Heading1"/>
      </w:pPr>
      <w:r>
        <w:t>2. Background &amp; Context</w:t>
      </w:r>
    </w:p>
    <w:p>
      <w:r>
        <w:t>Scanify is a division-controlled, web-based platform built by Kodivian for Stedman Pharmaceuticals, covering Scheme Management and Stock Statement Entry Automation. Scheme free-quantities approved for stockists must ultimately be settled against what actually moves in secondary sales.</w:t>
      </w:r>
    </w:p>
    <w:p>
      <w:r>
        <w:t>The SRS treated this only as a report to flag un-reflected scheme products sitting in closing stock. In practice the business needs to record the actual deduction as a transaction so that closing-stock and secondary values can be reported net of scheme give-aways. The delivered engine provides exactly this.</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A ‘Scheme Approved Products Not Reflected’ report only – a monitoring output identifying scheme-approved products not reflected in secondary sales.</w:t>
            </w:r>
          </w:p>
        </w:tc>
        <w:tc>
          <w:tcPr>
            <w:tcW w:type="dxa" w:w="4873"/>
          </w:tcPr>
          <w:p>
            <w:r/>
            <w:r>
              <w:rPr>
                <w:b w:val="0"/>
              </w:rPr>
              <w:t>A transactional deduction engine with three entry modes – Manual, Bulk/Automated, and a Deduction List – that records each deduction as a submitted transaction.</w:t>
            </w:r>
          </w:p>
        </w:tc>
      </w:tr>
      <w:tr>
        <w:tc>
          <w:tcPr>
            <w:tcW w:type="dxa" w:w="4873"/>
          </w:tcPr>
          <w:p>
            <w:r/>
            <w:r>
              <w:rPr>
                <w:b w:val="0"/>
              </w:rPr>
              <w:t>No mechanism to compute or record deducted quantity or value.</w:t>
            </w:r>
          </w:p>
        </w:tc>
        <w:tc>
          <w:tcPr>
            <w:tcW w:type="dxa" w:w="4873"/>
          </w:tcPr>
          <w:p>
            <w:r/>
            <w:r>
              <w:rPr>
                <w:b w:val="0"/>
              </w:rPr>
              <w:t>Deducted quantity and value computed automatically (quantity × PTS); candidate items pulled from the linked scheme request and stockist statement.</w:t>
            </w:r>
          </w:p>
        </w:tc>
      </w:tr>
      <w:tr>
        <w:tc>
          <w:tcPr>
            <w:tcW w:type="dxa" w:w="4873"/>
          </w:tcPr>
          <w:p>
            <w:r/>
            <w:r>
              <w:rPr>
                <w:b w:val="0"/>
              </w:rPr>
              <w:t>No effect on downstream sales/stock figures.</w:t>
            </w:r>
          </w:p>
        </w:tc>
        <w:tc>
          <w:tcPr>
            <w:tcW w:type="dxa" w:w="4873"/>
          </w:tcPr>
          <w:p>
            <w:r/>
            <w:r>
              <w:rPr>
                <w:b w:val="0"/>
              </w:rPr>
              <w:t>A ‘before-deduction’ vs ‘after-deduction’ sales mode so closing stock and secondary values can be viewed net of deductions.</w:t>
            </w:r>
          </w:p>
        </w:tc>
      </w:tr>
      <w:tr>
        <w:tc>
          <w:tcPr>
            <w:tcW w:type="dxa" w:w="4873"/>
          </w:tcPr>
          <w:p>
            <w:r/>
            <w:r>
              <w:rPr>
                <w:b w:val="0"/>
              </w:rPr>
              <w:t>No duplicate-control described.</w:t>
            </w:r>
          </w:p>
        </w:tc>
        <w:tc>
          <w:tcPr>
            <w:tcW w:type="dxa" w:w="4873"/>
          </w:tcPr>
          <w:p>
            <w:r/>
            <w:r>
              <w:rPr>
                <w:b w:val="0"/>
              </w:rPr>
              <w:t>Duplicate deductions for the same scheme/statement are prevented.</w:t>
            </w:r>
          </w:p>
        </w:tc>
      </w:tr>
    </w:tbl>
    <w:p/>
    <w:p>
      <w:pPr>
        <w:pStyle w:val="Heading1"/>
      </w:pPr>
      <w:r>
        <w:t>3. Business Justification (Reason for Change)</w:t>
      </w:r>
    </w:p>
    <w:p>
      <w:r>
        <w:t>Recording scheme deductions as first-class transactions materially changes what the business can see and trust:</w:t>
      </w:r>
    </w:p>
    <w:p>
      <w:pPr>
        <w:pStyle w:val="ListBullet"/>
      </w:pPr>
      <w:r>
        <w:t>Scheme free-quantities are actively reconciled against real secondary sales rather than merely flagged.</w:t>
      </w:r>
    </w:p>
    <w:p>
      <w:pPr>
        <w:pStyle w:val="ListBullet"/>
      </w:pPr>
      <w:r>
        <w:t>Closing-stock and secondary values can be reported net of scheme give-aways, giving a truer picture of stockist movement.</w:t>
      </w:r>
    </w:p>
    <w:p>
      <w:pPr>
        <w:pStyle w:val="ListBullet"/>
      </w:pPr>
      <w:r>
        <w:t>Duplicate-prevention and submit-and-lock behaviour make the deduction figures auditable and defensible.</w:t>
      </w:r>
    </w:p>
    <w:p>
      <w:pPr>
        <w:pStyle w:val="ListBullet"/>
      </w:pPr>
      <w:r>
        <w:t>The before/after-deduction reporting mode lets the business compare gross and net positions on demand.</w:t>
      </w:r>
    </w:p>
    <w:p>
      <w:r>
        <w:t>This is a net-new transactional capability, not the reporting-only item named in the SRS, and is therefore raised as a formal change request.</w:t>
      </w:r>
    </w:p>
    <w:p/>
    <w:p>
      <w:pPr>
        <w:pStyle w:val="Heading1"/>
      </w:pPr>
      <w:r>
        <w:t>4. Proposed Change – Delivered Capability</w:t>
      </w:r>
    </w:p>
    <w:p>
      <w:r>
        <w:t>The delivered Scheme Deduction Engine provides the following capabilities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Manual Deduction</w:t>
            </w:r>
          </w:p>
        </w:tc>
        <w:tc>
          <w:tcPr>
            <w:tcW w:type="dxa" w:w="4873"/>
          </w:tcPr>
          <w:p>
            <w:r/>
            <w:r>
              <w:rPr>
                <w:b w:val="0"/>
              </w:rPr>
              <w:t>Line-by-line deduction against a chosen scheme and stockist statement, with validation before submission.</w:t>
            </w:r>
          </w:p>
        </w:tc>
      </w:tr>
      <w:tr>
        <w:tc>
          <w:tcPr>
            <w:tcW w:type="dxa" w:w="4873"/>
          </w:tcPr>
          <w:p>
            <w:r/>
            <w:r>
              <w:rPr>
                <w:b w:val="0"/>
              </w:rPr>
              <w:t>Bulk / Automated Deduction</w:t>
            </w:r>
          </w:p>
        </w:tc>
        <w:tc>
          <w:tcPr>
            <w:tcW w:type="dxa" w:w="4873"/>
          </w:tcPr>
          <w:p>
            <w:r/>
            <w:r>
              <w:rPr>
                <w:b w:val="0"/>
              </w:rPr>
              <w:t>Creation of many deductions in a single pass across candidate items.</w:t>
            </w:r>
          </w:p>
        </w:tc>
      </w:tr>
      <w:tr>
        <w:tc>
          <w:tcPr>
            <w:tcW w:type="dxa" w:w="4873"/>
          </w:tcPr>
          <w:p>
            <w:r/>
            <w:r>
              <w:rPr>
                <w:b w:val="0"/>
              </w:rPr>
              <w:t>Deduction List</w:t>
            </w:r>
          </w:p>
        </w:tc>
        <w:tc>
          <w:tcPr>
            <w:tcW w:type="dxa" w:w="4873"/>
          </w:tcPr>
          <w:p>
            <w:r/>
            <w:r>
              <w:rPr>
                <w:b w:val="0"/>
              </w:rPr>
              <w:t>A review/list screen for all recorded deductions.</w:t>
            </w:r>
          </w:p>
        </w:tc>
      </w:tr>
      <w:tr>
        <w:tc>
          <w:tcPr>
            <w:tcW w:type="dxa" w:w="4873"/>
          </w:tcPr>
          <w:p>
            <w:r/>
            <w:r>
              <w:rPr>
                <w:b w:val="0"/>
              </w:rPr>
              <w:t>Computation</w:t>
            </w:r>
          </w:p>
        </w:tc>
        <w:tc>
          <w:tcPr>
            <w:tcW w:type="dxa" w:w="4873"/>
          </w:tcPr>
          <w:p>
            <w:r/>
            <w:r>
              <w:rPr>
                <w:b w:val="0"/>
              </w:rPr>
              <w:t>Deducted quantity and value (quantity × PTS) computed automatically from the linked scheme request and statement.</w:t>
            </w:r>
          </w:p>
        </w:tc>
      </w:tr>
      <w:tr>
        <w:tc>
          <w:tcPr>
            <w:tcW w:type="dxa" w:w="4873"/>
          </w:tcPr>
          <w:p>
            <w:r/>
            <w:r>
              <w:rPr>
                <w:b w:val="0"/>
              </w:rPr>
              <w:t>Duplicate control</w:t>
            </w:r>
          </w:p>
        </w:tc>
        <w:tc>
          <w:tcPr>
            <w:tcW w:type="dxa" w:w="4873"/>
          </w:tcPr>
          <w:p>
            <w:r/>
            <w:r>
              <w:rPr>
                <w:b w:val="0"/>
              </w:rPr>
              <w:t>Prevention of duplicate deductions for the same scheme/statement.</w:t>
            </w:r>
          </w:p>
        </w:tc>
      </w:tr>
      <w:tr>
        <w:tc>
          <w:tcPr>
            <w:tcW w:type="dxa" w:w="4873"/>
          </w:tcPr>
          <w:p>
            <w:r/>
            <w:r>
              <w:rPr>
                <w:b w:val="0"/>
              </w:rPr>
              <w:t>Reporting integration</w:t>
            </w:r>
          </w:p>
        </w:tc>
        <w:tc>
          <w:tcPr>
            <w:tcW w:type="dxa" w:w="4873"/>
          </w:tcPr>
          <w:p>
            <w:r/>
            <w:r>
              <w:rPr>
                <w:b w:val="0"/>
              </w:rPr>
              <w:t>Before-deduction vs after-deduction sales mode across closing-stock and secondary-value reports.</w:t>
            </w:r>
          </w:p>
        </w:tc>
      </w:tr>
    </w:tbl>
    <w:p/>
    <w:p>
      <w:pPr>
        <w:pStyle w:val="Heading1"/>
      </w:pPr>
      <w:r>
        <w:t>5. Scope of Work</w:t>
      </w:r>
    </w:p>
    <w:p>
      <w:r>
        <w:t>5.1 In Scope</w:t>
      </w:r>
    </w:p>
    <w:p>
      <w:pPr>
        <w:pStyle w:val="ListBullet"/>
      </w:pPr>
      <w:r>
        <w:t>Design of the deduction transaction data model and its links to the scheme request and stockist statement.</w:t>
      </w:r>
    </w:p>
    <w:p>
      <w:pPr>
        <w:pStyle w:val="ListBullet"/>
      </w:pPr>
      <w:r>
        <w:t>Candidate-item retrieval from the linked scheme request and statement.</w:t>
      </w:r>
    </w:p>
    <w:p>
      <w:pPr>
        <w:pStyle w:val="ListBullet"/>
      </w:pPr>
      <w:r>
        <w:t>Manual Deduction entry screen with validation and submit-as-transaction behaviour.</w:t>
      </w:r>
    </w:p>
    <w:p>
      <w:pPr>
        <w:pStyle w:val="ListBullet"/>
      </w:pPr>
      <w:r>
        <w:t>Bulk/Automated Deduction to create many deductions in one pass.</w:t>
      </w:r>
    </w:p>
    <w:p>
      <w:pPr>
        <w:pStyle w:val="ListBullet"/>
      </w:pPr>
      <w:r>
        <w:t>Deduction List review screen.</w:t>
      </w:r>
    </w:p>
    <w:p>
      <w:pPr>
        <w:pStyle w:val="ListBullet"/>
      </w:pPr>
      <w:r>
        <w:t>Automatic computation of deducted quantity and value (quantity × PTS) and duplicate prevention.</w:t>
      </w:r>
    </w:p>
    <w:p>
      <w:pPr>
        <w:pStyle w:val="ListBullet"/>
      </w:pPr>
      <w:r>
        <w:t>Integration of the before/after-deduction sales mode into closing-stock and secondary-value reports.</w:t>
      </w:r>
    </w:p>
    <w:p>
      <w:pPr>
        <w:pStyle w:val="ListBullet"/>
      </w:pPr>
      <w:r>
        <w:t>Functional testing and UAT support of the deduction flows.</w:t>
      </w:r>
    </w:p>
    <w:p>
      <w:r>
        <w:t>5.2 Out of Scope</w:t>
      </w:r>
    </w:p>
    <w:p>
      <w:pPr>
        <w:pStyle w:val="ListBullet"/>
      </w:pPr>
      <w:r>
        <w:t>Changes to the underlying scheme-approval or statement-extraction logic beyond what is required to feed deductions.</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capability was delivered in a controlled, phased manner:</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Model &amp; Logic</w:t>
            </w:r>
          </w:p>
        </w:tc>
        <w:tc>
          <w:tcPr>
            <w:tcW w:type="dxa" w:w="4873"/>
          </w:tcPr>
          <w:p>
            <w:r/>
            <w:r>
              <w:rPr>
                <w:b w:val="0"/>
              </w:rPr>
              <w:t>Design the deduction transaction, candidate-item retrieval, quantity/value computation and duplicate rules.</w:t>
            </w:r>
          </w:p>
        </w:tc>
      </w:tr>
      <w:tr>
        <w:tc>
          <w:tcPr>
            <w:tcW w:type="dxa" w:w="4873"/>
          </w:tcPr>
          <w:p>
            <w:r/>
            <w:r>
              <w:rPr>
                <w:b w:val="0"/>
              </w:rPr>
              <w:t>Phase 2 – Manual Entry</w:t>
            </w:r>
          </w:p>
        </w:tc>
        <w:tc>
          <w:tcPr>
            <w:tcW w:type="dxa" w:w="4873"/>
          </w:tcPr>
          <w:p>
            <w:r/>
            <w:r>
              <w:rPr>
                <w:b w:val="0"/>
              </w:rPr>
              <w:t>Build the line-by-line Manual Deduction screen with validation and submit-as-transaction.</w:t>
            </w:r>
          </w:p>
        </w:tc>
      </w:tr>
      <w:tr>
        <w:tc>
          <w:tcPr>
            <w:tcW w:type="dxa" w:w="4873"/>
          </w:tcPr>
          <w:p>
            <w:r/>
            <w:r>
              <w:rPr>
                <w:b w:val="0"/>
              </w:rPr>
              <w:t>Phase 3 – Bulk &amp; List</w:t>
            </w:r>
          </w:p>
        </w:tc>
        <w:tc>
          <w:tcPr>
            <w:tcW w:type="dxa" w:w="4873"/>
          </w:tcPr>
          <w:p>
            <w:r/>
            <w:r>
              <w:rPr>
                <w:b w:val="0"/>
              </w:rPr>
              <w:t>Build Bulk/Automated Deduction and the Deduction List.</w:t>
            </w:r>
          </w:p>
        </w:tc>
      </w:tr>
      <w:tr>
        <w:tc>
          <w:tcPr>
            <w:tcW w:type="dxa" w:w="4873"/>
          </w:tcPr>
          <w:p>
            <w:r/>
            <w:r>
              <w:rPr>
                <w:b w:val="0"/>
              </w:rPr>
              <w:t>Phase 4 – Reporting</w:t>
            </w:r>
          </w:p>
        </w:tc>
        <w:tc>
          <w:tcPr>
            <w:tcW w:type="dxa" w:w="4873"/>
          </w:tcPr>
          <w:p>
            <w:r/>
            <w:r>
              <w:rPr>
                <w:b w:val="0"/>
              </w:rPr>
              <w:t>Wire the before/after-deduction mode into closing-stock and secondary reports.</w:t>
            </w:r>
          </w:p>
        </w:tc>
      </w:tr>
      <w:tr>
        <w:tc>
          <w:tcPr>
            <w:tcW w:type="dxa" w:w="4873"/>
          </w:tcPr>
          <w:p>
            <w:r/>
            <w:r>
              <w:rPr>
                <w:b w:val="0"/>
              </w:rPr>
              <w:t>Phase 5 – Validate</w:t>
            </w:r>
          </w:p>
        </w:tc>
        <w:tc>
          <w:tcPr>
            <w:tcW w:type="dxa" w:w="4873"/>
          </w:tcPr>
          <w:p>
            <w:r/>
            <w:r>
              <w:rPr>
                <w:b w:val="0"/>
              </w:rPr>
              <w:t>Functional testing, reconciliation checks and UAT support.</w:t>
            </w:r>
          </w:p>
        </w:tc>
      </w:tr>
    </w:tbl>
    <w:p/>
    <w:p>
      <w:pPr>
        <w:pStyle w:val="Heading1"/>
      </w:pPr>
      <w:r>
        <w:t>7. Detailed Effort Estimation</w:t>
      </w:r>
    </w:p>
    <w:p>
      <w:r>
        <w:t>The total estimated effort for this change is 5 (five)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 1</w:t>
            </w:r>
          </w:p>
        </w:tc>
        <w:tc>
          <w:tcPr>
            <w:tcW w:type="dxa" w:w="3249"/>
          </w:tcPr>
          <w:p>
            <w:r/>
            <w:r>
              <w:rPr>
                <w:b w:val="0"/>
              </w:rPr>
              <w:t>Model &amp; logic</w:t>
            </w:r>
          </w:p>
        </w:tc>
        <w:tc>
          <w:tcPr>
            <w:tcW w:type="dxa" w:w="3249"/>
          </w:tcPr>
          <w:p>
            <w:r/>
            <w:r>
              <w:rPr>
                <w:b w:val="0"/>
              </w:rPr>
              <w:t>Deduction transaction model; candidate-item retrieval from scheme request + statement; quantity/value (× PTS) computation; duplicate rules.</w:t>
            </w:r>
          </w:p>
        </w:tc>
      </w:tr>
      <w:tr>
        <w:tc>
          <w:tcPr>
            <w:tcW w:type="dxa" w:w="3249"/>
          </w:tcPr>
          <w:p>
            <w:r/>
            <w:r>
              <w:rPr>
                <w:b w:val="0"/>
              </w:rPr>
              <w:t>Day 2</w:t>
            </w:r>
          </w:p>
        </w:tc>
        <w:tc>
          <w:tcPr>
            <w:tcW w:type="dxa" w:w="3249"/>
          </w:tcPr>
          <w:p>
            <w:r/>
            <w:r>
              <w:rPr>
                <w:b w:val="0"/>
              </w:rPr>
              <w:t>Manual deduction</w:t>
            </w:r>
          </w:p>
        </w:tc>
        <w:tc>
          <w:tcPr>
            <w:tcW w:type="dxa" w:w="3249"/>
          </w:tcPr>
          <w:p>
            <w:r/>
            <w:r>
              <w:rPr>
                <w:b w:val="0"/>
              </w:rPr>
              <w:t>Line-by-line Manual Deduction screen against a chosen scheme/statement; validation; submit-as-transaction.</w:t>
            </w:r>
          </w:p>
        </w:tc>
      </w:tr>
      <w:tr>
        <w:tc>
          <w:tcPr>
            <w:tcW w:type="dxa" w:w="3249"/>
          </w:tcPr>
          <w:p>
            <w:r/>
            <w:r>
              <w:rPr>
                <w:b w:val="0"/>
              </w:rPr>
              <w:t>Day 3</w:t>
            </w:r>
          </w:p>
        </w:tc>
        <w:tc>
          <w:tcPr>
            <w:tcW w:type="dxa" w:w="3249"/>
          </w:tcPr>
          <w:p>
            <w:r/>
            <w:r>
              <w:rPr>
                <w:b w:val="0"/>
              </w:rPr>
              <w:t>Bulk &amp; list</w:t>
            </w:r>
          </w:p>
        </w:tc>
        <w:tc>
          <w:tcPr>
            <w:tcW w:type="dxa" w:w="3249"/>
          </w:tcPr>
          <w:p>
            <w:r/>
            <w:r>
              <w:rPr>
                <w:b w:val="0"/>
              </w:rPr>
              <w:t>Bulk/Automated Deduction (many in one pass); Deduction List review screen.</w:t>
            </w:r>
          </w:p>
        </w:tc>
      </w:tr>
      <w:tr>
        <w:tc>
          <w:tcPr>
            <w:tcW w:type="dxa" w:w="3249"/>
          </w:tcPr>
          <w:p>
            <w:r/>
            <w:r>
              <w:rPr>
                <w:b w:val="0"/>
              </w:rPr>
              <w:t>Day 4</w:t>
            </w:r>
          </w:p>
        </w:tc>
        <w:tc>
          <w:tcPr>
            <w:tcW w:type="dxa" w:w="3249"/>
          </w:tcPr>
          <w:p>
            <w:r/>
            <w:r>
              <w:rPr>
                <w:b w:val="0"/>
              </w:rPr>
              <w:t>Reporting integration</w:t>
            </w:r>
          </w:p>
        </w:tc>
        <w:tc>
          <w:tcPr>
            <w:tcW w:type="dxa" w:w="3249"/>
          </w:tcPr>
          <w:p>
            <w:r/>
            <w:r>
              <w:rPr>
                <w:b w:val="0"/>
              </w:rPr>
              <w:t>Before-deduction vs after-deduction sales mode across closing-stock and secondary-value reports.</w:t>
            </w:r>
          </w:p>
        </w:tc>
      </w:tr>
      <w:tr>
        <w:tc>
          <w:tcPr>
            <w:tcW w:type="dxa" w:w="3249"/>
          </w:tcPr>
          <w:p>
            <w:r/>
            <w:r>
              <w:rPr>
                <w:b w:val="0"/>
              </w:rPr>
              <w:t>Day 5</w:t>
            </w:r>
          </w:p>
        </w:tc>
        <w:tc>
          <w:tcPr>
            <w:tcW w:type="dxa" w:w="3249"/>
          </w:tcPr>
          <w:p>
            <w:r/>
            <w:r>
              <w:rPr>
                <w:b w:val="0"/>
              </w:rPr>
              <w:t>Testing &amp; handover</w:t>
            </w:r>
          </w:p>
        </w:tc>
        <w:tc>
          <w:tcPr>
            <w:tcW w:type="dxa" w:w="3249"/>
          </w:tcPr>
          <w:p>
            <w:r/>
            <w:r>
              <w:rPr>
                <w:b w:val="0"/>
              </w:rPr>
              <w:t>Functional testing, reconciliation spot-checks, UAT support and handover.</w:t>
            </w:r>
          </w:p>
        </w:tc>
      </w:tr>
    </w:tbl>
    <w:p>
      <w:r>
        <w:t>Total Effort: 5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5 working-day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Model &amp; deduction logic ready</w:t>
            </w:r>
          </w:p>
        </w:tc>
        <w:tc>
          <w:tcPr>
            <w:tcW w:type="dxa" w:w="4873"/>
          </w:tcPr>
          <w:p>
            <w:r/>
            <w:r>
              <w:rPr>
                <w:b w:val="0"/>
              </w:rPr>
              <w:t>End of Day 1</w:t>
            </w:r>
          </w:p>
        </w:tc>
      </w:tr>
      <w:tr>
        <w:tc>
          <w:tcPr>
            <w:tcW w:type="dxa" w:w="4873"/>
          </w:tcPr>
          <w:p>
            <w:r/>
            <w:r>
              <w:rPr>
                <w:b w:val="0"/>
              </w:rPr>
              <w:t>Manual deduction available</w:t>
            </w:r>
          </w:p>
        </w:tc>
        <w:tc>
          <w:tcPr>
            <w:tcW w:type="dxa" w:w="4873"/>
          </w:tcPr>
          <w:p>
            <w:r/>
            <w:r>
              <w:rPr>
                <w:b w:val="0"/>
              </w:rPr>
              <w:t>End of Day 2</w:t>
            </w:r>
          </w:p>
        </w:tc>
      </w:tr>
      <w:tr>
        <w:tc>
          <w:tcPr>
            <w:tcW w:type="dxa" w:w="4873"/>
          </w:tcPr>
          <w:p>
            <w:r/>
            <w:r>
              <w:rPr>
                <w:b w:val="0"/>
              </w:rPr>
              <w:t>Bulk deduction &amp; list available</w:t>
            </w:r>
          </w:p>
        </w:tc>
        <w:tc>
          <w:tcPr>
            <w:tcW w:type="dxa" w:w="4873"/>
          </w:tcPr>
          <w:p>
            <w:r/>
            <w:r>
              <w:rPr>
                <w:b w:val="0"/>
              </w:rPr>
              <w:t>End of Day 3</w:t>
            </w:r>
          </w:p>
        </w:tc>
      </w:tr>
      <w:tr>
        <w:tc>
          <w:tcPr>
            <w:tcW w:type="dxa" w:w="4873"/>
          </w:tcPr>
          <w:p>
            <w:r/>
            <w:r>
              <w:rPr>
                <w:b w:val="0"/>
              </w:rPr>
              <w:t>Reporting integration complete</w:t>
            </w:r>
          </w:p>
        </w:tc>
        <w:tc>
          <w:tcPr>
            <w:tcW w:type="dxa" w:w="4873"/>
          </w:tcPr>
          <w:p>
            <w:r/>
            <w:r>
              <w:rPr>
                <w:b w:val="0"/>
              </w:rPr>
              <w:t>End of Day 4</w:t>
            </w:r>
          </w:p>
        </w:tc>
      </w:tr>
      <w:tr>
        <w:tc>
          <w:tcPr>
            <w:tcW w:type="dxa" w:w="4873"/>
          </w:tcPr>
          <w:p>
            <w:r/>
            <w:r>
              <w:rPr>
                <w:b w:val="0"/>
              </w:rPr>
              <w:t>Testing, UAT &amp; sign-off</w:t>
            </w:r>
          </w:p>
        </w:tc>
        <w:tc>
          <w:tcPr>
            <w:tcW w:type="dxa" w:w="4873"/>
          </w:tcPr>
          <w:p>
            <w:r/>
            <w:r>
              <w:rPr>
                <w:b w:val="0"/>
              </w:rPr>
              <w:t>End of Day 5</w:t>
            </w:r>
          </w:p>
        </w:tc>
      </w:tr>
    </w:tbl>
    <w:p/>
    <w:p>
      <w:pPr>
        <w:pStyle w:val="Heading1"/>
      </w:pPr>
      <w:r>
        <w:t>9. Commercials – Implementation Fee</w:t>
      </w:r>
    </w:p>
    <w:p>
      <w:r>
        <w:t>This is a one-time change request with an associated implementation fee for the 5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Scheme Deduction Engine (manual, bulk and automated) with reconciliation against secondary sales and before/after-deduction reporting.</w:t>
            </w:r>
          </w:p>
        </w:tc>
        <w:tc>
          <w:tcPr>
            <w:tcW w:type="dxa" w:w="2436"/>
          </w:tcPr>
          <w:p>
            <w:r/>
            <w:r>
              <w:rPr>
                <w:b w:val="0"/>
              </w:rPr>
              <w:t>5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5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Scheme requests, stockist statements and PTS pricing required for deduction are available and current.</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Incorrect deduction figures</w:t>
            </w:r>
          </w:p>
        </w:tc>
        <w:tc>
          <w:tcPr>
            <w:tcW w:type="dxa" w:w="4873"/>
          </w:tcPr>
          <w:p>
            <w:r/>
            <w:r>
              <w:rPr>
                <w:b w:val="0"/>
              </w:rPr>
              <w:t>Automatic quantity × PTS computation sourced from approved scheme and statement; reconciliation spot-checks at UAT.</w:t>
            </w:r>
          </w:p>
        </w:tc>
      </w:tr>
      <w:tr>
        <w:tc>
          <w:tcPr>
            <w:tcW w:type="dxa" w:w="4873"/>
          </w:tcPr>
          <w:p>
            <w:r/>
            <w:r>
              <w:rPr>
                <w:b w:val="0"/>
              </w:rPr>
              <w:t>Duplicate deductions</w:t>
            </w:r>
          </w:p>
        </w:tc>
        <w:tc>
          <w:tcPr>
            <w:tcW w:type="dxa" w:w="4873"/>
          </w:tcPr>
          <w:p>
            <w:r/>
            <w:r>
              <w:rPr>
                <w:b w:val="0"/>
              </w:rPr>
              <w:t>Built-in duplicate prevention per scheme/statement.</w:t>
            </w:r>
          </w:p>
        </w:tc>
      </w:tr>
      <w:tr>
        <w:tc>
          <w:tcPr>
            <w:tcW w:type="dxa" w:w="4873"/>
          </w:tcPr>
          <w:p>
            <w:r/>
            <w:r>
              <w:rPr>
                <w:b w:val="0"/>
              </w:rPr>
              <w:t>Confusion over gross vs net figures</w:t>
            </w:r>
          </w:p>
        </w:tc>
        <w:tc>
          <w:tcPr>
            <w:tcW w:type="dxa" w:w="4873"/>
          </w:tcPr>
          <w:p>
            <w:r/>
            <w:r>
              <w:rPr>
                <w:b w:val="0"/>
              </w:rPr>
              <w:t>Explicit before/after-deduction sales mode; business sign-off on the reporting behaviour.</w:t>
            </w:r>
          </w:p>
        </w:tc>
      </w:tr>
    </w:tbl>
    <w:p/>
    <w:p>
      <w:pPr>
        <w:pStyle w:val="Heading1"/>
      </w:pPr>
      <w:r>
        <w:t>12. Deliverables</w:t>
      </w:r>
    </w:p>
    <w:p>
      <w:pPr>
        <w:pStyle w:val="ListBullet"/>
      </w:pPr>
      <w:r>
        <w:t>A working Scheme Deduction Engine (Manual, Bulk/Automated, Deduction List) in the portal.</w:t>
      </w:r>
    </w:p>
    <w:p>
      <w:pPr>
        <w:pStyle w:val="ListBullet"/>
      </w:pPr>
      <w:r>
        <w:t>Automatic deducted-quantity and value computation with duplicate prevention.</w:t>
      </w:r>
    </w:p>
    <w:p>
      <w:pPr>
        <w:pStyle w:val="ListBullet"/>
      </w:pPr>
      <w:r>
        <w:t>Before/after-deduction reporting mode across closing-stock and secondary reports.</w:t>
      </w:r>
    </w:p>
    <w:p>
      <w:pPr>
        <w:pStyle w:val="ListBullet"/>
      </w:pPr>
      <w:r>
        <w:t>UAT sign-off of the deduction flows.</w:t>
      </w:r>
    </w:p>
    <w:p/>
    <w:p>
      <w:pPr>
        <w:pStyle w:val="Heading1"/>
      </w:pPr>
      <w:r>
        <w:t>13. Acceptance Criteria</w:t>
      </w:r>
    </w:p>
    <w:p>
      <w:pPr>
        <w:pStyle w:val="ListBullet"/>
      </w:pPr>
      <w:r>
        <w:t>Deductions can be created manually and in bulk against the correct scheme and statement.</w:t>
      </w:r>
    </w:p>
    <w:p>
      <w:pPr>
        <w:pStyle w:val="ListBullet"/>
      </w:pPr>
      <w:r>
        <w:t>Deducted quantity and value compute correctly (quantity × PTS) and duplicates are prevented.</w:t>
      </w:r>
    </w:p>
    <w:p>
      <w:pPr>
        <w:pStyle w:val="ListBullet"/>
      </w:pPr>
      <w:r>
        <w:t>Closing-stock and secondary reports correctly reflect before- and after-deduction figures.</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