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2E74B5"/>
          <w:sz w:val="26"/>
        </w:rPr>
        <w:t>KODIVIAN TECHNOLOGIES LLP</w:t>
      </w:r>
    </w:p>
    <w:p>
      <w:pPr>
        <w:spacing w:after="40"/>
        <w:jc w:val="center"/>
      </w:pPr>
      <w:r>
        <w:rPr>
          <w:b w:val="0"/>
          <w:color w:val="595959"/>
          <w:sz w:val="18"/>
        </w:rPr>
        <w:t>ISO 27001 Certified  |  A SS Group Company</w:t>
      </w:r>
    </w:p>
    <w:p/>
    <w:p>
      <w:pPr>
        <w:spacing w:after="40"/>
        <w:jc w:val="center"/>
      </w:pPr>
      <w:r>
        <w:rPr>
          <w:b/>
          <w:color w:val="1F4E79"/>
          <w:sz w:val="60"/>
        </w:rPr>
        <w:t>CHANGE REQUEST</w:t>
      </w:r>
    </w:p>
    <w:p>
      <w:pPr>
        <w:spacing w:after="40"/>
        <w:jc w:val="center"/>
      </w:pPr>
      <w:r>
        <w:rPr>
          <w:b/>
          <w:color w:val="2E74B5"/>
          <w:sz w:val="34"/>
        </w:rPr>
        <w:t>&amp; Implementation Proposal</w:t>
      </w:r>
    </w:p>
    <w:p>
      <w:pPr>
        <w:spacing w:after="40"/>
        <w:jc w:val="center"/>
      </w:pPr>
      <w:r>
        <w:rPr>
          <w:b/>
          <w:color w:val="222222"/>
          <w:sz w:val="26"/>
        </w:rPr>
        <w:t>Sales Target Module – Annual HQ Targets &amp; Target-vs-Sales</w:t>
      </w:r>
    </w:p>
    <w:p>
      <w:pPr>
        <w:spacing w:after="40"/>
        <w:jc w:val="center"/>
      </w:pPr>
      <w:r>
        <w:rPr>
          <w:b w:val="0"/>
          <w:color w:val="595959"/>
          <w:sz w:val="23"/>
        </w:rPr>
        <w:t>Delivered Functional Scope beyond the approved SRS (Release 1.1)</w:t>
      </w:r>
    </w:p>
    <w:p>
      <w:pPr>
        <w:spacing w:after="40"/>
        <w:jc w:val="center"/>
      </w:pPr>
      <w:r>
        <w:rPr>
          <w:b w:val="0"/>
          <w:color w:val="595959"/>
          <w:sz w:val="21"/>
        </w:rPr>
        <w:t>Scheme Management System &amp; Stock Statement Entry Automation</w:t>
      </w:r>
    </w:p>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1F4E79"/>
          </w:tcPr>
          <w:p>
            <w:r/>
            <w:r>
              <w:rPr>
                <w:b/>
                <w:color w:val="FFFFFF"/>
                <w:sz w:val="20"/>
              </w:rPr>
              <w:t>Document Control</w:t>
            </w:r>
          </w:p>
        </w:tc>
      </w:tr>
      <w:tr>
        <w:tc>
          <w:tcPr>
            <w:tcW w:type="dxa" w:w="4873"/>
            <w:shd w:val="clear" w:color="auto" w:fill="DCE6F1"/>
          </w:tcPr>
          <w:p>
            <w:r/>
            <w:r>
              <w:rPr>
                <w:b/>
              </w:rPr>
              <w:t>Document Name</w:t>
            </w:r>
          </w:p>
        </w:tc>
        <w:tc>
          <w:tcPr>
            <w:tcW w:type="dxa" w:w="4873"/>
          </w:tcPr>
          <w:p>
            <w:r/>
            <w:r>
              <w:rPr>
                <w:b w:val="0"/>
              </w:rPr>
              <w:t>Change Request – Sales Target Module</w:t>
            </w:r>
          </w:p>
        </w:tc>
      </w:tr>
      <w:tr>
        <w:tc>
          <w:tcPr>
            <w:tcW w:type="dxa" w:w="4873"/>
            <w:shd w:val="clear" w:color="auto" w:fill="DCE6F1"/>
          </w:tcPr>
          <w:p>
            <w:r/>
            <w:r>
              <w:rPr>
                <w:b/>
              </w:rPr>
              <w:t>CR Reference No.</w:t>
            </w:r>
          </w:p>
        </w:tc>
        <w:tc>
          <w:tcPr>
            <w:tcW w:type="dxa" w:w="4873"/>
          </w:tcPr>
          <w:p>
            <w:r/>
            <w:r>
              <w:rPr>
                <w:b w:val="0"/>
              </w:rPr>
              <w:t>KT/STED/CR-02</w:t>
            </w:r>
          </w:p>
        </w:tc>
      </w:tr>
      <w:tr>
        <w:tc>
          <w:tcPr>
            <w:tcW w:type="dxa" w:w="4873"/>
            <w:shd w:val="clear" w:color="auto" w:fill="DCE6F1"/>
          </w:tcPr>
          <w:p>
            <w:r/>
            <w:r>
              <w:rPr>
                <w:b/>
              </w:rPr>
              <w:t>CR Report Item</w:t>
            </w:r>
          </w:p>
        </w:tc>
        <w:tc>
          <w:tcPr>
            <w:tcW w:type="dxa" w:w="4873"/>
          </w:tcPr>
          <w:p>
            <w:r/>
            <w:r>
              <w:rPr>
                <w:b w:val="0"/>
              </w:rPr>
              <w:t>CR-02 (CR Report)</w:t>
            </w:r>
          </w:p>
        </w:tc>
      </w:tr>
      <w:tr>
        <w:tc>
          <w:tcPr>
            <w:tcW w:type="dxa" w:w="4873"/>
            <w:shd w:val="clear" w:color="auto" w:fill="DCE6F1"/>
          </w:tcPr>
          <w:p>
            <w:r/>
            <w:r>
              <w:rPr>
                <w:b/>
              </w:rPr>
              <w:t>Classification</w:t>
            </w:r>
          </w:p>
        </w:tc>
        <w:tc>
          <w:tcPr>
            <w:tcW w:type="dxa" w:w="4873"/>
          </w:tcPr>
          <w:p>
            <w:r/>
            <w:r>
              <w:rPr>
                <w:b w:val="0"/>
              </w:rPr>
              <w:t>New Module</w:t>
            </w:r>
          </w:p>
        </w:tc>
      </w:tr>
      <w:tr>
        <w:tc>
          <w:tcPr>
            <w:tcW w:type="dxa" w:w="4873"/>
            <w:shd w:val="clear" w:color="auto" w:fill="DCE6F1"/>
          </w:tcPr>
          <w:p>
            <w:r/>
            <w:r>
              <w:rPr>
                <w:b/>
              </w:rPr>
              <w:t>Release No.</w:t>
            </w:r>
          </w:p>
        </w:tc>
        <w:tc>
          <w:tcPr>
            <w:tcW w:type="dxa" w:w="4873"/>
          </w:tcPr>
          <w:p>
            <w:r/>
            <w:r>
              <w:rPr>
                <w:b w:val="0"/>
              </w:rPr>
              <w:t>1.0</w:t>
            </w:r>
          </w:p>
        </w:tc>
      </w:tr>
      <w:tr>
        <w:tc>
          <w:tcPr>
            <w:tcW w:type="dxa" w:w="4873"/>
            <w:shd w:val="clear" w:color="auto" w:fill="DCE6F1"/>
          </w:tcPr>
          <w:p>
            <w:r/>
            <w:r>
              <w:rPr>
                <w:b/>
              </w:rPr>
              <w:t>Date of Release</w:t>
            </w:r>
          </w:p>
        </w:tc>
        <w:tc>
          <w:tcPr>
            <w:tcW w:type="dxa" w:w="4873"/>
          </w:tcPr>
          <w:p>
            <w:r/>
            <w:r>
              <w:rPr>
                <w:b w:val="0"/>
              </w:rPr>
              <w:t>3rd July 2026</w:t>
            </w:r>
          </w:p>
        </w:tc>
      </w:tr>
      <w:tr>
        <w:tc>
          <w:tcPr>
            <w:tcW w:type="dxa" w:w="4873"/>
            <w:shd w:val="clear" w:color="auto" w:fill="DCE6F1"/>
          </w:tcPr>
          <w:p>
            <w:r/>
            <w:r>
              <w:rPr>
                <w:b/>
              </w:rPr>
              <w:t>Client</w:t>
            </w:r>
          </w:p>
        </w:tc>
        <w:tc>
          <w:tcPr>
            <w:tcW w:type="dxa" w:w="4873"/>
          </w:tcPr>
          <w:p>
            <w:r/>
            <w:r>
              <w:rPr>
                <w:b w:val="0"/>
              </w:rPr>
              <w:t>Stedman Pharmaceuticals</w:t>
            </w:r>
          </w:p>
        </w:tc>
      </w:tr>
      <w:tr>
        <w:tc>
          <w:tcPr>
            <w:tcW w:type="dxa" w:w="4873"/>
            <w:shd w:val="clear" w:color="auto" w:fill="DCE6F1"/>
          </w:tcPr>
          <w:p>
            <w:r/>
            <w:r>
              <w:rPr>
                <w:b/>
              </w:rPr>
              <w:t>Prepared By</w:t>
            </w:r>
          </w:p>
        </w:tc>
        <w:tc>
          <w:tcPr>
            <w:tcW w:type="dxa" w:w="4873"/>
          </w:tcPr>
          <w:p>
            <w:r/>
            <w:r>
              <w:rPr>
                <w:b w:val="0"/>
              </w:rPr>
              <w:t>Kodivian Technologies LLP</w:t>
            </w:r>
          </w:p>
        </w:tc>
      </w:tr>
      <w:tr>
        <w:tc>
          <w:tcPr>
            <w:tcW w:type="dxa" w:w="4873"/>
            <w:shd w:val="clear" w:color="auto" w:fill="DCE6F1"/>
          </w:tcPr>
          <w:p>
            <w:r/>
            <w:r>
              <w:rPr>
                <w:b/>
              </w:rPr>
              <w:t>Reviewed By</w:t>
            </w:r>
          </w:p>
        </w:tc>
        <w:tc>
          <w:tcPr>
            <w:tcW w:type="dxa" w:w="4873"/>
          </w:tcPr>
          <w:p>
            <w:r/>
            <w:r>
              <w:rPr>
                <w:b w:val="0"/>
              </w:rPr>
              <w:t>Vijay Sabari</w:t>
            </w:r>
          </w:p>
        </w:tc>
      </w:tr>
      <w:tr>
        <w:tc>
          <w:tcPr>
            <w:tcW w:type="dxa" w:w="4873"/>
            <w:shd w:val="clear" w:color="auto" w:fill="DCE6F1"/>
          </w:tcPr>
          <w:p>
            <w:r/>
            <w:r>
              <w:rPr>
                <w:b/>
              </w:rPr>
              <w:t>Approved By</w:t>
            </w:r>
          </w:p>
        </w:tc>
        <w:tc>
          <w:tcPr>
            <w:tcW w:type="dxa" w:w="4873"/>
          </w:tcPr>
          <w:p>
            <w:r/>
            <w:r>
              <w:rPr>
                <w:b w:val="0"/>
              </w:rPr>
              <w:t>________________________</w:t>
            </w:r>
          </w:p>
        </w:tc>
      </w:tr>
      <w:tr>
        <w:tc>
          <w:tcPr>
            <w:tcW w:type="dxa" w:w="4873"/>
            <w:shd w:val="clear" w:color="auto" w:fill="DCE6F1"/>
          </w:tcPr>
          <w:p>
            <w:r/>
            <w:r>
              <w:rPr>
                <w:b/>
              </w:rPr>
              <w:t>Approved Date</w:t>
            </w:r>
          </w:p>
        </w:tc>
        <w:tc>
          <w:tcPr>
            <w:tcW w:type="dxa" w:w="4873"/>
          </w:tcPr>
          <w:p>
            <w:r/>
            <w:r>
              <w:rPr>
                <w:b w:val="0"/>
              </w:rPr>
              <w:t>________________________</w:t>
            </w:r>
          </w:p>
        </w:tc>
      </w:tr>
    </w:tbl>
    <w:p/>
    <w:p>
      <w:pPr>
        <w:pStyle w:val="Heading1"/>
      </w:pPr>
      <w:r>
        <w:t>1. Purpose of this Change Request</w:t>
      </w:r>
    </w:p>
    <w:p>
      <w:r>
        <w:t>This Change Request is raised by Kodivian Technologies LLP for Stedman Pharmaceuticals to formally document, scope, estimate and obtain approval for the Sales Target Module delivered in the Scanify portal. This item corresponds to Change Item CR-02 in the CR Report.</w:t>
      </w:r>
    </w:p>
    <w:p>
      <w:r>
        <w:t>The SRS (Rel. 1.1) covered incentive calculation and ranking sheets but did not define any target-setting module or target-versus-actual tracking. The delivered portal adds an end-to-end target module. This CR captures that additional module for formal re-baselining and commercial settlement.</w:t>
      </w:r>
    </w:p>
    <w:p/>
    <w:p>
      <w:pPr>
        <w:pStyle w:val="Heading1"/>
      </w:pPr>
      <w:r>
        <w:t>2. Background &amp; Context</w:t>
      </w:r>
    </w:p>
    <w:p>
      <w:r>
        <w:t>Field and office users need to set annual sales targets by HQ and then track achievement against them. The SRS did not provide for this; it addressed incentives and rankings only.</w:t>
      </w:r>
    </w:p>
    <w:p>
      <w:r>
        <w:t>The delivered module lets the business create and lock annual HQ targets by financial year and then compare actual achievement against those targets across financial year, HQ and product.</w:t>
      </w:r>
    </w:p>
    <w:p>
      <w:r>
        <w:t>SRS baseline vs. delivered capability:</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SRS Baseline (Rel. 1.1)</w:t>
            </w:r>
          </w:p>
        </w:tc>
        <w:tc>
          <w:tcPr>
            <w:tcW w:type="dxa" w:w="4873"/>
            <w:shd w:val="clear" w:color="auto" w:fill="1F4E79"/>
          </w:tcPr>
          <w:p>
            <w:r/>
            <w:r>
              <w:rPr>
                <w:b/>
                <w:color w:val="FFFFFF"/>
                <w:sz w:val="20"/>
              </w:rPr>
              <w:t>Delivered in the Portal</w:t>
            </w:r>
          </w:p>
        </w:tc>
      </w:tr>
      <w:tr>
        <w:tc>
          <w:tcPr>
            <w:tcW w:type="dxa" w:w="4873"/>
          </w:tcPr>
          <w:p>
            <w:r/>
            <w:r>
              <w:rPr>
                <w:b w:val="0"/>
              </w:rPr>
              <w:t>Incentive calculation and ranking sheets only; no target-setting concept.</w:t>
            </w:r>
          </w:p>
        </w:tc>
        <w:tc>
          <w:tcPr>
            <w:tcW w:type="dxa" w:w="4873"/>
          </w:tcPr>
          <w:p>
            <w:r/>
            <w:r>
              <w:rPr>
                <w:b w:val="0"/>
              </w:rPr>
              <w:t>Create and maintain annual HQ targets by financial year – header plus per-HQ target lines – with submit/lock.</w:t>
            </w:r>
          </w:p>
        </w:tc>
      </w:tr>
      <w:tr>
        <w:tc>
          <w:tcPr>
            <w:tcW w:type="dxa" w:w="4873"/>
          </w:tcPr>
          <w:p>
            <w:r/>
            <w:r>
              <w:rPr>
                <w:b w:val="0"/>
              </w:rPr>
              <w:t>No target-versus-actual tracking.</w:t>
            </w:r>
          </w:p>
        </w:tc>
        <w:tc>
          <w:tcPr>
            <w:tcW w:type="dxa" w:w="4873"/>
          </w:tcPr>
          <w:p>
            <w:r/>
            <w:r>
              <w:rPr>
                <w:b w:val="0"/>
              </w:rPr>
              <w:t>A Target vs Sales report and a year-wise report comparing achievement to targets by financial year, HQ and product.</w:t>
            </w:r>
          </w:p>
        </w:tc>
      </w:tr>
      <w:tr>
        <w:tc>
          <w:tcPr>
            <w:tcW w:type="dxa" w:w="4873"/>
          </w:tcPr>
          <w:p>
            <w:r/>
            <w:r>
              <w:rPr>
                <w:b w:val="0"/>
              </w:rPr>
              <w:t>No bulk target intake.</w:t>
            </w:r>
          </w:p>
        </w:tc>
        <w:tc>
          <w:tcPr>
            <w:tcW w:type="dxa" w:w="4873"/>
          </w:tcPr>
          <w:p>
            <w:r/>
            <w:r>
              <w:rPr>
                <w:b w:val="0"/>
              </w:rPr>
              <w:t>Target lines resolved directly from an uploaded file; a new-target entry page with HQ-target search and a targets list.</w:t>
            </w:r>
          </w:p>
        </w:tc>
      </w:tr>
    </w:tbl>
    <w:p/>
    <w:p>
      <w:pPr>
        <w:pStyle w:val="Heading1"/>
      </w:pPr>
      <w:r>
        <w:t>3. Business Justification (Reason for Change)</w:t>
      </w:r>
    </w:p>
    <w:p>
      <w:r>
        <w:t>Target setting and achievement tracking are core to sales governance and were not available under the SRS scope:</w:t>
      </w:r>
    </w:p>
    <w:p>
      <w:pPr>
        <w:pStyle w:val="ListBullet"/>
      </w:pPr>
      <w:r>
        <w:t>The business can set and lock annual HQ targets by financial year and hold the field accountable to them.</w:t>
      </w:r>
    </w:p>
    <w:p>
      <w:pPr>
        <w:pStyle w:val="ListBullet"/>
      </w:pPr>
      <w:r>
        <w:t>Achievement can be measured against target by financial year, HQ and product without manual spreadsheets.</w:t>
      </w:r>
    </w:p>
    <w:p>
      <w:pPr>
        <w:pStyle w:val="ListBullet"/>
      </w:pPr>
      <w:r>
        <w:t>Bulk resolution of target lines from an uploaded file removes tedious manual entry.</w:t>
      </w:r>
    </w:p>
    <w:p>
      <w:pPr>
        <w:pStyle w:val="ListBullet"/>
      </w:pPr>
      <w:r>
        <w:t>Locked targets provide a stable baseline for review and incentive discussions.</w:t>
      </w:r>
    </w:p>
    <w:p>
      <w:r>
        <w:t>Target setting and achievement tracking are not part of the SRS and are therefore raised as a formal net-new module.</w:t>
      </w:r>
    </w:p>
    <w:p/>
    <w:p>
      <w:pPr>
        <w:pStyle w:val="Heading1"/>
      </w:pPr>
      <w:r>
        <w:t>4. Proposed Change – Delivered Capability</w:t>
      </w:r>
    </w:p>
    <w:p>
      <w:r>
        <w:t>The delivered Sales Target Module provides the following capabilities in the portal:</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Capability</w:t>
            </w:r>
          </w:p>
        </w:tc>
        <w:tc>
          <w:tcPr>
            <w:tcW w:type="dxa" w:w="4873"/>
            <w:shd w:val="clear" w:color="auto" w:fill="1F4E79"/>
          </w:tcPr>
          <w:p>
            <w:r/>
            <w:r>
              <w:rPr>
                <w:b/>
                <w:color w:val="FFFFFF"/>
                <w:sz w:val="20"/>
              </w:rPr>
              <w:t>Description</w:t>
            </w:r>
          </w:p>
        </w:tc>
      </w:tr>
      <w:tr>
        <w:tc>
          <w:tcPr>
            <w:tcW w:type="dxa" w:w="4873"/>
          </w:tcPr>
          <w:p>
            <w:r/>
            <w:r>
              <w:rPr>
                <w:b w:val="0"/>
              </w:rPr>
              <w:t>Annual HQ targets</w:t>
            </w:r>
          </w:p>
        </w:tc>
        <w:tc>
          <w:tcPr>
            <w:tcW w:type="dxa" w:w="4873"/>
          </w:tcPr>
          <w:p>
            <w:r/>
            <w:r>
              <w:rPr>
                <w:b w:val="0"/>
              </w:rPr>
              <w:t>Create and maintain targets by financial year – a header with per-HQ target lines – with submit/lock.</w:t>
            </w:r>
          </w:p>
        </w:tc>
      </w:tr>
      <w:tr>
        <w:tc>
          <w:tcPr>
            <w:tcW w:type="dxa" w:w="4873"/>
          </w:tcPr>
          <w:p>
            <w:r/>
            <w:r>
              <w:rPr>
                <w:b w:val="0"/>
              </w:rPr>
              <w:t>File-based intake</w:t>
            </w:r>
          </w:p>
        </w:tc>
        <w:tc>
          <w:tcPr>
            <w:tcW w:type="dxa" w:w="4873"/>
          </w:tcPr>
          <w:p>
            <w:r/>
            <w:r>
              <w:rPr>
                <w:b w:val="0"/>
              </w:rPr>
              <w:t>Resolve target lines directly from an uploaded file.</w:t>
            </w:r>
          </w:p>
        </w:tc>
      </w:tr>
      <w:tr>
        <w:tc>
          <w:tcPr>
            <w:tcW w:type="dxa" w:w="4873"/>
          </w:tcPr>
          <w:p>
            <w:r/>
            <w:r>
              <w:rPr>
                <w:b w:val="0"/>
              </w:rPr>
              <w:t>New-target entry</w:t>
            </w:r>
          </w:p>
        </w:tc>
        <w:tc>
          <w:tcPr>
            <w:tcW w:type="dxa" w:w="4873"/>
          </w:tcPr>
          <w:p>
            <w:r/>
            <w:r>
              <w:rPr>
                <w:b w:val="0"/>
              </w:rPr>
              <w:t>A new-target entry page with HQ-target search, and a targets list screen.</w:t>
            </w:r>
          </w:p>
        </w:tc>
      </w:tr>
      <w:tr>
        <w:tc>
          <w:tcPr>
            <w:tcW w:type="dxa" w:w="4873"/>
          </w:tcPr>
          <w:p>
            <w:r/>
            <w:r>
              <w:rPr>
                <w:b w:val="0"/>
              </w:rPr>
              <w:t>Target vs Sales</w:t>
            </w:r>
          </w:p>
        </w:tc>
        <w:tc>
          <w:tcPr>
            <w:tcW w:type="dxa" w:w="4873"/>
          </w:tcPr>
          <w:p>
            <w:r/>
            <w:r>
              <w:rPr>
                <w:b w:val="0"/>
              </w:rPr>
              <w:t>A report comparing actual achievement to targets by financial year, HQ and product.</w:t>
            </w:r>
          </w:p>
        </w:tc>
      </w:tr>
      <w:tr>
        <w:tc>
          <w:tcPr>
            <w:tcW w:type="dxa" w:w="4873"/>
          </w:tcPr>
          <w:p>
            <w:r/>
            <w:r>
              <w:rPr>
                <w:b w:val="0"/>
              </w:rPr>
              <w:t>Year-wise report</w:t>
            </w:r>
          </w:p>
        </w:tc>
        <w:tc>
          <w:tcPr>
            <w:tcW w:type="dxa" w:w="4873"/>
          </w:tcPr>
          <w:p>
            <w:r/>
            <w:r>
              <w:rPr>
                <w:b w:val="0"/>
              </w:rPr>
              <w:t>A year-wise achievement report across financial years.</w:t>
            </w:r>
          </w:p>
        </w:tc>
      </w:tr>
    </w:tbl>
    <w:p/>
    <w:p>
      <w:pPr>
        <w:pStyle w:val="Heading1"/>
      </w:pPr>
      <w:r>
        <w:t>5. Scope of Work</w:t>
      </w:r>
    </w:p>
    <w:p>
      <w:r>
        <w:t>5.1 In Scope</w:t>
      </w:r>
    </w:p>
    <w:p>
      <w:pPr>
        <w:pStyle w:val="ListBullet"/>
      </w:pPr>
      <w:r>
        <w:t>Design of the annual-target data model (header + per-HQ target lines) keyed by financial year.</w:t>
      </w:r>
    </w:p>
    <w:p>
      <w:pPr>
        <w:pStyle w:val="ListBullet"/>
      </w:pPr>
      <w:r>
        <w:t>New-target entry page with HQ-target search and submit/lock behaviour.</w:t>
      </w:r>
    </w:p>
    <w:p>
      <w:pPr>
        <w:pStyle w:val="ListBullet"/>
      </w:pPr>
      <w:r>
        <w:t>Resolution of target lines from an uploaded file.</w:t>
      </w:r>
    </w:p>
    <w:p>
      <w:pPr>
        <w:pStyle w:val="ListBullet"/>
      </w:pPr>
      <w:r>
        <w:t>Targets list screen.</w:t>
      </w:r>
    </w:p>
    <w:p>
      <w:pPr>
        <w:pStyle w:val="ListBullet"/>
      </w:pPr>
      <w:r>
        <w:t>Target vs Sales report by financial year, HQ and product.</w:t>
      </w:r>
    </w:p>
    <w:p>
      <w:pPr>
        <w:pStyle w:val="ListBullet"/>
      </w:pPr>
      <w:r>
        <w:t>Year-wise achievement report.</w:t>
      </w:r>
    </w:p>
    <w:p>
      <w:pPr>
        <w:pStyle w:val="ListBullet"/>
      </w:pPr>
      <w:r>
        <w:t>Functional testing and UAT support of the target flows.</w:t>
      </w:r>
    </w:p>
    <w:p>
      <w:r>
        <w:t>5.2 Out of Scope</w:t>
      </w:r>
    </w:p>
    <w:p>
      <w:pPr>
        <w:pStyle w:val="ListBullet"/>
      </w:pPr>
      <w:r>
        <w:t>Changes to incentive-calculation or ranking logic already covered by the SRS.</w:t>
      </w:r>
    </w:p>
    <w:p>
      <w:pPr>
        <w:pStyle w:val="ListBullet"/>
      </w:pPr>
      <w:r>
        <w:t>Data cleansing or correction of pre-existing master/transactional data-quality issues.</w:t>
      </w:r>
    </w:p>
    <w:p>
      <w:pPr>
        <w:pStyle w:val="ListBullet"/>
      </w:pPr>
      <w:r>
        <w:t>Ongoing production support / AMC, which can be covered under a separate support agreement.</w:t>
      </w:r>
    </w:p>
    <w:p>
      <w:pPr>
        <w:pStyle w:val="ListBullet"/>
      </w:pPr>
      <w:r>
        <w:t>Any new functional change or scope expansion requested after sign-off, which will be raised as a separate CR.</w:t>
      </w:r>
    </w:p>
    <w:p/>
    <w:p>
      <w:pPr>
        <w:pStyle w:val="Heading1"/>
      </w:pPr>
      <w:r>
        <w:t>6. Delivery Approach &amp; Methodology</w:t>
      </w:r>
    </w:p>
    <w:p>
      <w:r>
        <w:t>The module was delivered in a controlled, phased manner:</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Phase</w:t>
            </w:r>
          </w:p>
        </w:tc>
        <w:tc>
          <w:tcPr>
            <w:tcW w:type="dxa" w:w="4873"/>
            <w:shd w:val="clear" w:color="auto" w:fill="1F4E79"/>
          </w:tcPr>
          <w:p>
            <w:r/>
            <w:r>
              <w:rPr>
                <w:b/>
                <w:color w:val="FFFFFF"/>
                <w:sz w:val="20"/>
              </w:rPr>
              <w:t>Key Activities</w:t>
            </w:r>
          </w:p>
        </w:tc>
      </w:tr>
      <w:tr>
        <w:tc>
          <w:tcPr>
            <w:tcW w:type="dxa" w:w="4873"/>
          </w:tcPr>
          <w:p>
            <w:r/>
            <w:r>
              <w:rPr>
                <w:b w:val="0"/>
              </w:rPr>
              <w:t>Phase 1 – Model</w:t>
            </w:r>
          </w:p>
        </w:tc>
        <w:tc>
          <w:tcPr>
            <w:tcW w:type="dxa" w:w="4873"/>
          </w:tcPr>
          <w:p>
            <w:r/>
            <w:r>
              <w:rPr>
                <w:b w:val="0"/>
              </w:rPr>
              <w:t>Design annual HQ target header and per-HQ target lines by financial year with submit/lock.</w:t>
            </w:r>
          </w:p>
        </w:tc>
      </w:tr>
      <w:tr>
        <w:tc>
          <w:tcPr>
            <w:tcW w:type="dxa" w:w="4873"/>
          </w:tcPr>
          <w:p>
            <w:r/>
            <w:r>
              <w:rPr>
                <w:b w:val="0"/>
              </w:rPr>
              <w:t>Phase 2 – Entry</w:t>
            </w:r>
          </w:p>
        </w:tc>
        <w:tc>
          <w:tcPr>
            <w:tcW w:type="dxa" w:w="4873"/>
          </w:tcPr>
          <w:p>
            <w:r/>
            <w:r>
              <w:rPr>
                <w:b w:val="0"/>
              </w:rPr>
              <w:t>Build the new-target entry page, HQ-target search, targets list and file-based line resolution.</w:t>
            </w:r>
          </w:p>
        </w:tc>
      </w:tr>
      <w:tr>
        <w:tc>
          <w:tcPr>
            <w:tcW w:type="dxa" w:w="4873"/>
          </w:tcPr>
          <w:p>
            <w:r/>
            <w:r>
              <w:rPr>
                <w:b w:val="0"/>
              </w:rPr>
              <w:t>Phase 3 – Reporting</w:t>
            </w:r>
          </w:p>
        </w:tc>
        <w:tc>
          <w:tcPr>
            <w:tcW w:type="dxa" w:w="4873"/>
          </w:tcPr>
          <w:p>
            <w:r/>
            <w:r>
              <w:rPr>
                <w:b w:val="0"/>
              </w:rPr>
              <w:t>Build Target vs Sales and year-wise achievement reports.</w:t>
            </w:r>
          </w:p>
        </w:tc>
      </w:tr>
      <w:tr>
        <w:tc>
          <w:tcPr>
            <w:tcW w:type="dxa" w:w="4873"/>
          </w:tcPr>
          <w:p>
            <w:r/>
            <w:r>
              <w:rPr>
                <w:b w:val="0"/>
              </w:rPr>
              <w:t>Phase 4 – Validate</w:t>
            </w:r>
          </w:p>
        </w:tc>
        <w:tc>
          <w:tcPr>
            <w:tcW w:type="dxa" w:w="4873"/>
          </w:tcPr>
          <w:p>
            <w:r/>
            <w:r>
              <w:rPr>
                <w:b w:val="0"/>
              </w:rPr>
              <w:t>Functional testing and UAT support.</w:t>
            </w:r>
          </w:p>
        </w:tc>
      </w:tr>
    </w:tbl>
    <w:p/>
    <w:p>
      <w:pPr>
        <w:pStyle w:val="Heading1"/>
      </w:pPr>
      <w:r>
        <w:t>7. Detailed Effort Estimation</w:t>
      </w:r>
    </w:p>
    <w:p>
      <w:r>
        <w:t>The total estimated effort for this change is 5 (five) person-days. The breakdown is as follows: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F4E79"/>
          </w:tcPr>
          <w:p>
            <w:r/>
            <w:r>
              <w:rPr>
                <w:b/>
                <w:color w:val="FFFFFF"/>
                <w:sz w:val="20"/>
              </w:rPr>
              <w:t>Stage</w:t>
            </w:r>
          </w:p>
        </w:tc>
        <w:tc>
          <w:tcPr>
            <w:tcW w:type="dxa" w:w="3249"/>
            <w:shd w:val="clear" w:color="auto" w:fill="1F4E79"/>
          </w:tcPr>
          <w:p>
            <w:r/>
            <w:r>
              <w:rPr>
                <w:b/>
                <w:color w:val="FFFFFF"/>
                <w:sz w:val="20"/>
              </w:rPr>
              <w:t>Focus</w:t>
            </w:r>
          </w:p>
        </w:tc>
        <w:tc>
          <w:tcPr>
            <w:tcW w:type="dxa" w:w="3249"/>
            <w:shd w:val="clear" w:color="auto" w:fill="1F4E79"/>
          </w:tcPr>
          <w:p>
            <w:r/>
            <w:r>
              <w:rPr>
                <w:b/>
                <w:color w:val="FFFFFF"/>
                <w:sz w:val="20"/>
              </w:rPr>
              <w:t>Activities</w:t>
            </w:r>
          </w:p>
        </w:tc>
      </w:tr>
      <w:tr>
        <w:tc>
          <w:tcPr>
            <w:tcW w:type="dxa" w:w="3249"/>
          </w:tcPr>
          <w:p>
            <w:r/>
            <w:r>
              <w:rPr>
                <w:b w:val="0"/>
              </w:rPr>
              <w:t>Day 1</w:t>
            </w:r>
          </w:p>
        </w:tc>
        <w:tc>
          <w:tcPr>
            <w:tcW w:type="dxa" w:w="3249"/>
          </w:tcPr>
          <w:p>
            <w:r/>
            <w:r>
              <w:rPr>
                <w:b w:val="0"/>
              </w:rPr>
              <w:t>Data model</w:t>
            </w:r>
          </w:p>
        </w:tc>
        <w:tc>
          <w:tcPr>
            <w:tcW w:type="dxa" w:w="3249"/>
          </w:tcPr>
          <w:p>
            <w:r/>
            <w:r>
              <w:rPr>
                <w:b w:val="0"/>
              </w:rPr>
              <w:t>Annual HQ target header + per-HQ target lines by financial year; submit/lock.</w:t>
            </w:r>
          </w:p>
        </w:tc>
      </w:tr>
      <w:tr>
        <w:tc>
          <w:tcPr>
            <w:tcW w:type="dxa" w:w="3249"/>
          </w:tcPr>
          <w:p>
            <w:r/>
            <w:r>
              <w:rPr>
                <w:b w:val="0"/>
              </w:rPr>
              <w:t>Day 2</w:t>
            </w:r>
          </w:p>
        </w:tc>
        <w:tc>
          <w:tcPr>
            <w:tcW w:type="dxa" w:w="3249"/>
          </w:tcPr>
          <w:p>
            <w:r/>
            <w:r>
              <w:rPr>
                <w:b w:val="0"/>
              </w:rPr>
              <w:t>Entry screens</w:t>
            </w:r>
          </w:p>
        </w:tc>
        <w:tc>
          <w:tcPr>
            <w:tcW w:type="dxa" w:w="3249"/>
          </w:tcPr>
          <w:p>
            <w:r/>
            <w:r>
              <w:rPr>
                <w:b w:val="0"/>
              </w:rPr>
              <w:t>New-target entry page; HQ-target search; targets list; resolve target lines from uploaded file.</w:t>
            </w:r>
          </w:p>
        </w:tc>
      </w:tr>
      <w:tr>
        <w:tc>
          <w:tcPr>
            <w:tcW w:type="dxa" w:w="3249"/>
          </w:tcPr>
          <w:p>
            <w:r/>
            <w:r>
              <w:rPr>
                <w:b w:val="0"/>
              </w:rPr>
              <w:t>Day 3</w:t>
            </w:r>
          </w:p>
        </w:tc>
        <w:tc>
          <w:tcPr>
            <w:tcW w:type="dxa" w:w="3249"/>
          </w:tcPr>
          <w:p>
            <w:r/>
            <w:r>
              <w:rPr>
                <w:b w:val="0"/>
              </w:rPr>
              <w:t>Target vs Sales</w:t>
            </w:r>
          </w:p>
        </w:tc>
        <w:tc>
          <w:tcPr>
            <w:tcW w:type="dxa" w:w="3249"/>
          </w:tcPr>
          <w:p>
            <w:r/>
            <w:r>
              <w:rPr>
                <w:b w:val="0"/>
              </w:rPr>
              <w:t>Achievement comparison report by financial year, HQ and product.</w:t>
            </w:r>
          </w:p>
        </w:tc>
      </w:tr>
      <w:tr>
        <w:tc>
          <w:tcPr>
            <w:tcW w:type="dxa" w:w="3249"/>
          </w:tcPr>
          <w:p>
            <w:r/>
            <w:r>
              <w:rPr>
                <w:b w:val="0"/>
              </w:rPr>
              <w:t>Day 4</w:t>
            </w:r>
          </w:p>
        </w:tc>
        <w:tc>
          <w:tcPr>
            <w:tcW w:type="dxa" w:w="3249"/>
          </w:tcPr>
          <w:p>
            <w:r/>
            <w:r>
              <w:rPr>
                <w:b w:val="0"/>
              </w:rPr>
              <w:t>Year-wise report</w:t>
            </w:r>
          </w:p>
        </w:tc>
        <w:tc>
          <w:tcPr>
            <w:tcW w:type="dxa" w:w="3249"/>
          </w:tcPr>
          <w:p>
            <w:r/>
            <w:r>
              <w:rPr>
                <w:b w:val="0"/>
              </w:rPr>
              <w:t>Year-wise achievement report and cross-year comparison.</w:t>
            </w:r>
          </w:p>
        </w:tc>
      </w:tr>
      <w:tr>
        <w:tc>
          <w:tcPr>
            <w:tcW w:type="dxa" w:w="3249"/>
          </w:tcPr>
          <w:p>
            <w:r/>
            <w:r>
              <w:rPr>
                <w:b w:val="0"/>
              </w:rPr>
              <w:t>Day 5</w:t>
            </w:r>
          </w:p>
        </w:tc>
        <w:tc>
          <w:tcPr>
            <w:tcW w:type="dxa" w:w="3249"/>
          </w:tcPr>
          <w:p>
            <w:r/>
            <w:r>
              <w:rPr>
                <w:b w:val="0"/>
              </w:rPr>
              <w:t>Testing &amp; handover</w:t>
            </w:r>
          </w:p>
        </w:tc>
        <w:tc>
          <w:tcPr>
            <w:tcW w:type="dxa" w:w="3249"/>
          </w:tcPr>
          <w:p>
            <w:r/>
            <w:r>
              <w:rPr>
                <w:b w:val="0"/>
              </w:rPr>
              <w:t>Functional testing, UAT support and handover.</w:t>
            </w:r>
          </w:p>
        </w:tc>
      </w:tr>
    </w:tbl>
    <w:p>
      <w:r>
        <w:t>Total Effort: 5 person-days.</w:t>
      </w:r>
    </w:p>
    <w:p>
      <w:r>
        <w:t>Effort is expressed in person-days of dedicated engineering work and reflects the design-and-build effort delivered beyond the SRS baseline, presented here for formal approval and commercial settlement.</w:t>
      </w:r>
    </w:p>
    <w:p/>
    <w:p>
      <w:pPr>
        <w:pStyle w:val="Heading1"/>
      </w:pPr>
      <w:r>
        <w:t>8. Indicative Timeline</w:t>
      </w:r>
    </w:p>
    <w:p>
      <w:r>
        <w:t>Subject to written approval of this CR, the effort is represented as a continuous 5 working-day engagement.</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Milestone</w:t>
            </w:r>
          </w:p>
        </w:tc>
        <w:tc>
          <w:tcPr>
            <w:tcW w:type="dxa" w:w="4873"/>
            <w:shd w:val="clear" w:color="auto" w:fill="1F4E79"/>
          </w:tcPr>
          <w:p>
            <w:r/>
            <w:r>
              <w:rPr>
                <w:b/>
                <w:color w:val="FFFFFF"/>
                <w:sz w:val="20"/>
              </w:rPr>
              <w:t>Target</w:t>
            </w:r>
          </w:p>
        </w:tc>
      </w:tr>
      <w:tr>
        <w:tc>
          <w:tcPr>
            <w:tcW w:type="dxa" w:w="4873"/>
          </w:tcPr>
          <w:p>
            <w:r/>
            <w:r>
              <w:rPr>
                <w:b w:val="0"/>
              </w:rPr>
              <w:t>CR approval &amp; inputs received</w:t>
            </w:r>
          </w:p>
        </w:tc>
        <w:tc>
          <w:tcPr>
            <w:tcW w:type="dxa" w:w="4873"/>
          </w:tcPr>
          <w:p>
            <w:r/>
            <w:r>
              <w:rPr>
                <w:b w:val="0"/>
              </w:rPr>
              <w:t>Day 0</w:t>
            </w:r>
          </w:p>
        </w:tc>
      </w:tr>
      <w:tr>
        <w:tc>
          <w:tcPr>
            <w:tcW w:type="dxa" w:w="4873"/>
          </w:tcPr>
          <w:p>
            <w:r/>
            <w:r>
              <w:rPr>
                <w:b w:val="0"/>
              </w:rPr>
              <w:t>Target data model ready</w:t>
            </w:r>
          </w:p>
        </w:tc>
        <w:tc>
          <w:tcPr>
            <w:tcW w:type="dxa" w:w="4873"/>
          </w:tcPr>
          <w:p>
            <w:r/>
            <w:r>
              <w:rPr>
                <w:b w:val="0"/>
              </w:rPr>
              <w:t>End of Day 1</w:t>
            </w:r>
          </w:p>
        </w:tc>
      </w:tr>
      <w:tr>
        <w:tc>
          <w:tcPr>
            <w:tcW w:type="dxa" w:w="4873"/>
          </w:tcPr>
          <w:p>
            <w:r/>
            <w:r>
              <w:rPr>
                <w:b w:val="0"/>
              </w:rPr>
              <w:t>Target entry &amp; intake available</w:t>
            </w:r>
          </w:p>
        </w:tc>
        <w:tc>
          <w:tcPr>
            <w:tcW w:type="dxa" w:w="4873"/>
          </w:tcPr>
          <w:p>
            <w:r/>
            <w:r>
              <w:rPr>
                <w:b w:val="0"/>
              </w:rPr>
              <w:t>End of Day 2</w:t>
            </w:r>
          </w:p>
        </w:tc>
      </w:tr>
      <w:tr>
        <w:tc>
          <w:tcPr>
            <w:tcW w:type="dxa" w:w="4873"/>
          </w:tcPr>
          <w:p>
            <w:r/>
            <w:r>
              <w:rPr>
                <w:b w:val="0"/>
              </w:rPr>
              <w:t>Target vs Sales report available</w:t>
            </w:r>
          </w:p>
        </w:tc>
        <w:tc>
          <w:tcPr>
            <w:tcW w:type="dxa" w:w="4873"/>
          </w:tcPr>
          <w:p>
            <w:r/>
            <w:r>
              <w:rPr>
                <w:b w:val="0"/>
              </w:rPr>
              <w:t>End of Day 3</w:t>
            </w:r>
          </w:p>
        </w:tc>
      </w:tr>
      <w:tr>
        <w:tc>
          <w:tcPr>
            <w:tcW w:type="dxa" w:w="4873"/>
          </w:tcPr>
          <w:p>
            <w:r/>
            <w:r>
              <w:rPr>
                <w:b w:val="0"/>
              </w:rPr>
              <w:t>Year-wise report available</w:t>
            </w:r>
          </w:p>
        </w:tc>
        <w:tc>
          <w:tcPr>
            <w:tcW w:type="dxa" w:w="4873"/>
          </w:tcPr>
          <w:p>
            <w:r/>
            <w:r>
              <w:rPr>
                <w:b w:val="0"/>
              </w:rPr>
              <w:t>End of Day 4</w:t>
            </w:r>
          </w:p>
        </w:tc>
      </w:tr>
      <w:tr>
        <w:tc>
          <w:tcPr>
            <w:tcW w:type="dxa" w:w="4873"/>
          </w:tcPr>
          <w:p>
            <w:r/>
            <w:r>
              <w:rPr>
                <w:b w:val="0"/>
              </w:rPr>
              <w:t>Testing, UAT &amp; sign-off</w:t>
            </w:r>
          </w:p>
        </w:tc>
        <w:tc>
          <w:tcPr>
            <w:tcW w:type="dxa" w:w="4873"/>
          </w:tcPr>
          <w:p>
            <w:r/>
            <w:r>
              <w:rPr>
                <w:b w:val="0"/>
              </w:rPr>
              <w:t>End of Day 5</w:t>
            </w:r>
          </w:p>
        </w:tc>
      </w:tr>
    </w:tbl>
    <w:p/>
    <w:p>
      <w:pPr>
        <w:pStyle w:val="Heading1"/>
      </w:pPr>
      <w:r>
        <w:t>9. Commercials – Implementation Fee</w:t>
      </w:r>
    </w:p>
    <w:p>
      <w:r>
        <w:t>This is a one-time change request with an associated implementation fee for the 5 person-days of design and build effort described above.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F4E79"/>
          </w:tcPr>
          <w:p>
            <w:r/>
            <w:r>
              <w:rPr>
                <w:b/>
                <w:color w:val="FFFFFF"/>
                <w:sz w:val="20"/>
              </w:rPr>
              <w:t>#</w:t>
            </w:r>
          </w:p>
        </w:tc>
        <w:tc>
          <w:tcPr>
            <w:tcW w:type="dxa" w:w="2436"/>
            <w:shd w:val="clear" w:color="auto" w:fill="1F4E79"/>
          </w:tcPr>
          <w:p>
            <w:r/>
            <w:r>
              <w:rPr>
                <w:b/>
                <w:color w:val="FFFFFF"/>
                <w:sz w:val="20"/>
              </w:rPr>
              <w:t>Description</w:t>
            </w:r>
          </w:p>
        </w:tc>
        <w:tc>
          <w:tcPr>
            <w:tcW w:type="dxa" w:w="2436"/>
            <w:shd w:val="clear" w:color="auto" w:fill="1F4E79"/>
          </w:tcPr>
          <w:p>
            <w:r/>
            <w:r>
              <w:rPr>
                <w:b/>
                <w:color w:val="FFFFFF"/>
                <w:sz w:val="20"/>
              </w:rPr>
              <w:t>Effort</w:t>
            </w:r>
          </w:p>
        </w:tc>
        <w:tc>
          <w:tcPr>
            <w:tcW w:type="dxa" w:w="2436"/>
            <w:shd w:val="clear" w:color="auto" w:fill="1F4E79"/>
          </w:tcPr>
          <w:p>
            <w:r/>
            <w:r>
              <w:rPr>
                <w:b/>
                <w:color w:val="FFFFFF"/>
                <w:sz w:val="20"/>
              </w:rPr>
              <w:t>Amount</w:t>
            </w:r>
          </w:p>
        </w:tc>
      </w:tr>
      <w:tr>
        <w:tc>
          <w:tcPr>
            <w:tcW w:type="dxa" w:w="2436"/>
          </w:tcPr>
          <w:p>
            <w:r/>
            <w:r>
              <w:rPr>
                <w:b w:val="0"/>
              </w:rPr>
              <w:t>1</w:t>
            </w:r>
          </w:p>
        </w:tc>
        <w:tc>
          <w:tcPr>
            <w:tcW w:type="dxa" w:w="2436"/>
          </w:tcPr>
          <w:p>
            <w:r/>
            <w:r>
              <w:rPr>
                <w:b w:val="0"/>
              </w:rPr>
              <w:t>Design and delivery of the Sales Target Module (annual HQ targets, file-based intake, Target vs Sales and year-wise achievement reporting).</w:t>
            </w:r>
          </w:p>
        </w:tc>
        <w:tc>
          <w:tcPr>
            <w:tcW w:type="dxa" w:w="2436"/>
          </w:tcPr>
          <w:p>
            <w:r/>
            <w:r>
              <w:rPr>
                <w:b w:val="0"/>
              </w:rPr>
              <w:t>5 person-days</w:t>
            </w:r>
          </w:p>
        </w:tc>
        <w:tc>
          <w:tcPr>
            <w:tcW w:type="dxa" w:w="2436"/>
          </w:tcPr>
          <w:p>
            <w:r/>
            <w:r>
              <w:rPr>
                <w:b w:val="0"/>
              </w:rPr>
              <w:t>₹ ____________</w:t>
            </w:r>
          </w:p>
        </w:tc>
      </w:tr>
      <w:tr>
        <w:tc>
          <w:tcPr>
            <w:tcW w:type="dxa" w:w="2436"/>
          </w:tcPr>
          <w:p>
            <w:r/>
            <w:r>
              <w:rPr>
                <w:b w:val="0"/>
              </w:rPr>
            </w:r>
          </w:p>
        </w:tc>
        <w:tc>
          <w:tcPr>
            <w:tcW w:type="dxa" w:w="2436"/>
          </w:tcPr>
          <w:p>
            <w:r/>
            <w:r>
              <w:rPr>
                <w:b w:val="0"/>
              </w:rPr>
              <w:t>One-time Implementation Fee (Total)</w:t>
            </w:r>
          </w:p>
        </w:tc>
        <w:tc>
          <w:tcPr>
            <w:tcW w:type="dxa" w:w="2436"/>
          </w:tcPr>
          <w:p>
            <w:r/>
            <w:r>
              <w:rPr>
                <w:b w:val="0"/>
              </w:rPr>
              <w:t>5 person-days</w:t>
            </w:r>
          </w:p>
        </w:tc>
        <w:tc>
          <w:tcPr>
            <w:tcW w:type="dxa" w:w="2436"/>
          </w:tcPr>
          <w:p>
            <w:r/>
            <w:r>
              <w:rPr>
                <w:b w:val="0"/>
              </w:rPr>
              <w:t>₹ ____________</w:t>
            </w:r>
          </w:p>
        </w:tc>
      </w:tr>
    </w:tbl>
    <w:p>
      <w:pPr>
        <w:pStyle w:val="ListBullet"/>
      </w:pPr>
      <w:r>
        <w:t>Amounts are to be finalised and are shown as placeholders pending commercial confirmation.</w:t>
      </w:r>
    </w:p>
    <w:p>
      <w:pPr>
        <w:pStyle w:val="ListBullet"/>
      </w:pPr>
      <w:r>
        <w:t>Taxes (GST) as applicable will be charged additionally.</w:t>
      </w:r>
    </w:p>
    <w:p>
      <w:pPr>
        <w:pStyle w:val="ListBullet"/>
      </w:pPr>
      <w:r>
        <w:t>This capability has already been designed and delivered in the portal; this CR formalises and re-baselines it in line with the CR Report recommendation.</w:t>
      </w:r>
    </w:p>
    <w:p/>
    <w:p>
      <w:pPr>
        <w:pStyle w:val="Heading1"/>
      </w:pPr>
      <w:r>
        <w:t>10. Assumptions &amp; Client Dependencies</w:t>
      </w:r>
    </w:p>
    <w:p>
      <w:pPr>
        <w:pStyle w:val="ListBullet"/>
      </w:pPr>
      <w:r>
        <w:t>The capability described has been reviewed against the delivered portal and the CR Report (Delivered Scope vs. SRS).</w:t>
      </w:r>
    </w:p>
    <w:p>
      <w:pPr>
        <w:pStyle w:val="ListBullet"/>
      </w:pPr>
      <w:r>
        <w:t>Client-side stakeholders are available to review the delivered functionality and provide sign-off.</w:t>
      </w:r>
    </w:p>
    <w:p>
      <w:pPr>
        <w:pStyle w:val="ListBullet"/>
      </w:pPr>
      <w:r>
        <w:t>No further functional change or scope expansion is introduced under this CR beyond what is already delivered.</w:t>
      </w:r>
    </w:p>
    <w:p>
      <w:pPr>
        <w:pStyle w:val="ListBullet"/>
      </w:pPr>
      <w:r>
        <w:t>Existing master and transactional data required by this capability is available and reasonably clean.</w:t>
      </w:r>
    </w:p>
    <w:p>
      <w:pPr>
        <w:pStyle w:val="ListBullet"/>
      </w:pPr>
      <w:r>
        <w:t>HQ master data and secondary sales required to compute achievement are available and current.</w:t>
      </w:r>
    </w:p>
    <w:p/>
    <w:p>
      <w:pPr>
        <w:pStyle w:val="Heading1"/>
      </w:pPr>
      <w:r>
        <w:t>11. Risks &amp; Mitigation</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Risk</w:t>
            </w:r>
          </w:p>
        </w:tc>
        <w:tc>
          <w:tcPr>
            <w:tcW w:type="dxa" w:w="4873"/>
            <w:shd w:val="clear" w:color="auto" w:fill="1F4E79"/>
          </w:tcPr>
          <w:p>
            <w:r/>
            <w:r>
              <w:rPr>
                <w:b/>
                <w:color w:val="FFFFFF"/>
                <w:sz w:val="20"/>
              </w:rPr>
              <w:t>Mitigation</w:t>
            </w:r>
          </w:p>
        </w:tc>
      </w:tr>
      <w:tr>
        <w:tc>
          <w:tcPr>
            <w:tcW w:type="dxa" w:w="4873"/>
          </w:tcPr>
          <w:p>
            <w:r/>
            <w:r>
              <w:rPr>
                <w:b w:val="0"/>
              </w:rPr>
              <w:t>Target-to-HQ mismatch</w:t>
            </w:r>
          </w:p>
        </w:tc>
        <w:tc>
          <w:tcPr>
            <w:tcW w:type="dxa" w:w="4873"/>
          </w:tcPr>
          <w:p>
            <w:r/>
            <w:r>
              <w:rPr>
                <w:b w:val="0"/>
              </w:rPr>
              <w:t>HQ-target search and validation against the HQ master; UAT verification.</w:t>
            </w:r>
          </w:p>
        </w:tc>
      </w:tr>
      <w:tr>
        <w:tc>
          <w:tcPr>
            <w:tcW w:type="dxa" w:w="4873"/>
          </w:tcPr>
          <w:p>
            <w:r/>
            <w:r>
              <w:rPr>
                <w:b w:val="0"/>
              </w:rPr>
              <w:t>Incorrect achievement figures</w:t>
            </w:r>
          </w:p>
        </w:tc>
        <w:tc>
          <w:tcPr>
            <w:tcW w:type="dxa" w:w="4873"/>
          </w:tcPr>
          <w:p>
            <w:r/>
            <w:r>
              <w:rPr>
                <w:b w:val="0"/>
              </w:rPr>
              <w:t>Achievement sourced from the same sales data used elsewhere; reconciliation at UAT.</w:t>
            </w:r>
          </w:p>
        </w:tc>
      </w:tr>
      <w:tr>
        <w:tc>
          <w:tcPr>
            <w:tcW w:type="dxa" w:w="4873"/>
          </w:tcPr>
          <w:p>
            <w:r/>
            <w:r>
              <w:rPr>
                <w:b w:val="0"/>
              </w:rPr>
              <w:t>Accidental edits to locked targets</w:t>
            </w:r>
          </w:p>
        </w:tc>
        <w:tc>
          <w:tcPr>
            <w:tcW w:type="dxa" w:w="4873"/>
          </w:tcPr>
          <w:p>
            <w:r/>
            <w:r>
              <w:rPr>
                <w:b w:val="0"/>
              </w:rPr>
              <w:t>Submit/lock behaviour on finalised targets.</w:t>
            </w:r>
          </w:p>
        </w:tc>
      </w:tr>
    </w:tbl>
    <w:p/>
    <w:p>
      <w:pPr>
        <w:pStyle w:val="Heading1"/>
      </w:pPr>
      <w:r>
        <w:t>12. Deliverables</w:t>
      </w:r>
    </w:p>
    <w:p>
      <w:pPr>
        <w:pStyle w:val="ListBullet"/>
      </w:pPr>
      <w:r>
        <w:t>A working Sales Target Module with annual HQ targets and submit/lock.</w:t>
      </w:r>
    </w:p>
    <w:p>
      <w:pPr>
        <w:pStyle w:val="ListBullet"/>
      </w:pPr>
      <w:r>
        <w:t>File-based target-line intake and a targets list.</w:t>
      </w:r>
    </w:p>
    <w:p>
      <w:pPr>
        <w:pStyle w:val="ListBullet"/>
      </w:pPr>
      <w:r>
        <w:t>Target vs Sales and year-wise achievement reports.</w:t>
      </w:r>
    </w:p>
    <w:p>
      <w:pPr>
        <w:pStyle w:val="ListBullet"/>
      </w:pPr>
      <w:r>
        <w:t>UAT sign-off of the target flows.</w:t>
      </w:r>
    </w:p>
    <w:p/>
    <w:p>
      <w:pPr>
        <w:pStyle w:val="Heading1"/>
      </w:pPr>
      <w:r>
        <w:t>13. Acceptance Criteria</w:t>
      </w:r>
    </w:p>
    <w:p>
      <w:pPr>
        <w:pStyle w:val="ListBullet"/>
      </w:pPr>
      <w:r>
        <w:t>Annual HQ targets can be created, resolved from a file, and locked by financial year.</w:t>
      </w:r>
    </w:p>
    <w:p>
      <w:pPr>
        <w:pStyle w:val="ListBullet"/>
      </w:pPr>
      <w:r>
        <w:t>Target vs Sales correctly compares achievement to target by financial year, HQ and product.</w:t>
      </w:r>
    </w:p>
    <w:p>
      <w:pPr>
        <w:pStyle w:val="ListBullet"/>
      </w:pPr>
      <w:r>
        <w:t>The year-wise report reflects the correct figures across financial years.</w:t>
      </w:r>
    </w:p>
    <w:p/>
    <w:p>
      <w:pPr>
        <w:pStyle w:val="Heading1"/>
      </w:pPr>
      <w:r>
        <w:t>14. Approval &amp; Sign-off</w:t>
      </w:r>
    </w:p>
    <w:p>
      <w:r>
        <w:t>By signing below, both parties agree to the scope, effort and commercial terms set out in this Change Request.</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For Kodivian Technologies LLP</w:t>
            </w:r>
          </w:p>
        </w:tc>
        <w:tc>
          <w:tcPr>
            <w:tcW w:type="dxa" w:w="4873"/>
            <w:shd w:val="clear" w:color="auto" w:fill="1F4E79"/>
          </w:tcPr>
          <w:p>
            <w:r/>
            <w:r>
              <w:rPr>
                <w:b/>
                <w:color w:val="FFFFFF"/>
                <w:sz w:val="20"/>
              </w:rPr>
              <w:t>For Stedman Pharmaceuticals</w:t>
            </w:r>
          </w:p>
        </w:tc>
      </w:tr>
      <w:tr>
        <w:tc>
          <w:tcPr>
            <w:tcW w:type="dxa" w:w="4873"/>
          </w:tcPr>
          <w:p>
            <w:r/>
            <w:r>
              <w:rPr>
                <w:b w:val="0"/>
              </w:rPr>
              <w:t>Name: ____________________________</w:t>
            </w:r>
          </w:p>
        </w:tc>
        <w:tc>
          <w:tcPr>
            <w:tcW w:type="dxa" w:w="4873"/>
          </w:tcPr>
          <w:p>
            <w:r/>
            <w:r>
              <w:rPr>
                <w:b w:val="0"/>
              </w:rPr>
              <w:t>Name: ____________________________</w:t>
            </w:r>
          </w:p>
        </w:tc>
      </w:tr>
      <w:tr>
        <w:tc>
          <w:tcPr>
            <w:tcW w:type="dxa" w:w="4873"/>
          </w:tcPr>
          <w:p>
            <w:r/>
            <w:r>
              <w:rPr>
                <w:b w:val="0"/>
              </w:rPr>
              <w:t>Designation: ______________________</w:t>
            </w:r>
          </w:p>
        </w:tc>
        <w:tc>
          <w:tcPr>
            <w:tcW w:type="dxa" w:w="4873"/>
          </w:tcPr>
          <w:p>
            <w:r/>
            <w:r>
              <w:rPr>
                <w:b w:val="0"/>
              </w:rPr>
              <w:t>Designation: ______________________</w:t>
            </w:r>
          </w:p>
        </w:tc>
      </w:tr>
      <w:tr>
        <w:tc>
          <w:tcPr>
            <w:tcW w:type="dxa" w:w="4873"/>
          </w:tcPr>
          <w:p>
            <w:r/>
            <w:r>
              <w:rPr>
                <w:b w:val="0"/>
              </w:rPr>
              <w:t>Signature &amp; Date: __________________</w:t>
            </w:r>
          </w:p>
        </w:tc>
        <w:tc>
          <w:tcPr>
            <w:tcW w:type="dxa" w:w="4873"/>
          </w:tcPr>
          <w:p>
            <w:r/>
            <w:r>
              <w:rPr>
                <w:b w:val="0"/>
              </w:rPr>
              <w:t>Signature &amp; Date: __________________</w:t>
            </w:r>
          </w:p>
        </w:tc>
      </w:tr>
    </w:tbl>
    <w:p/>
    <w:p>
      <w:pPr>
        <w:spacing w:after="40"/>
        <w:jc w:val="center"/>
      </w:pPr>
      <w:r>
        <w:rPr>
          <w:b w:val="0"/>
          <w:color w:val="595959"/>
          <w:sz w:val="21"/>
        </w:rPr>
        <w:t>— End of Change Request —</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Kodivian Technologies LLP  |  Confidential  –  Prepared for Stedman Pharmaceuticals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