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E74B5"/>
          <w:sz w:val="26"/>
        </w:rPr>
        <w:t>KODIVIAN TECHNOLOGIES LLP</w:t>
      </w:r>
    </w:p>
    <w:p>
      <w:pPr>
        <w:spacing w:after="40"/>
        <w:jc w:val="center"/>
      </w:pPr>
      <w:r>
        <w:rPr>
          <w:b w:val="0"/>
          <w:color w:val="595959"/>
          <w:sz w:val="18"/>
        </w:rPr>
        <w:t>ISO 27001 Certified  |  A SS Group Company</w:t>
      </w:r>
    </w:p>
    <w:p/>
    <w:p>
      <w:pPr>
        <w:spacing w:after="40"/>
        <w:jc w:val="center"/>
      </w:pPr>
      <w:r>
        <w:rPr>
          <w:b/>
          <w:color w:val="1F4E79"/>
          <w:sz w:val="60"/>
        </w:rPr>
        <w:t>CHANGE REQUEST</w:t>
      </w:r>
    </w:p>
    <w:p>
      <w:pPr>
        <w:spacing w:after="40"/>
        <w:jc w:val="center"/>
      </w:pPr>
      <w:r>
        <w:rPr>
          <w:b/>
          <w:color w:val="2E74B5"/>
          <w:sz w:val="34"/>
        </w:rPr>
        <w:t>&amp; Implementation Proposal</w:t>
      </w:r>
    </w:p>
    <w:p>
      <w:pPr>
        <w:spacing w:after="40"/>
        <w:jc w:val="center"/>
      </w:pPr>
      <w:r>
        <w:rPr>
          <w:b/>
          <w:color w:val="222222"/>
          <w:sz w:val="26"/>
        </w:rPr>
        <w:t>QC / Validation Workflow – Draft, QC Review, Finalise &amp; Lock</w:t>
      </w:r>
    </w:p>
    <w:p>
      <w:pPr>
        <w:spacing w:after="40"/>
        <w:jc w:val="center"/>
      </w:pPr>
      <w:r>
        <w:rPr>
          <w:b w:val="0"/>
          <w:color w:val="595959"/>
          <w:sz w:val="23"/>
        </w:rPr>
        <w:t>Delivered Functional Scope beyond the approved SRS (Release 1.1)</w:t>
      </w:r>
    </w:p>
    <w:p>
      <w:pPr>
        <w:spacing w:after="40"/>
        <w:jc w:val="center"/>
      </w:pPr>
      <w:r>
        <w:rPr>
          <w:b w:val="0"/>
          <w:color w:val="595959"/>
          <w:sz w:val="21"/>
        </w:rPr>
        <w:t>Scheme Management System &amp; Stock Statement Entry 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Document Control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Document 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Change Request – QC / Validation Workflow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Reference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KT/STED/CR-04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Report Item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CR-04 (CR Report)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Scope Expansion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Release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3rd July 2026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Stedman Pharmaceuticals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Kodivian Technologies LLP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Reviewed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Vijay Sabari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</w:tbl>
    <w:p/>
    <w:p>
      <w:pPr>
        <w:pStyle w:val="Heading1"/>
      </w:pPr>
      <w:r>
        <w:t>1. Purpose of this Change Request</w:t>
      </w:r>
    </w:p>
    <w:p>
      <w:r>
        <w:t>This Change Request is raised by Kodivian Technologies LLP for Stedman Pharmaceuticals to formally document, scope, estimate and obtain approval for the QC / Validation Workflow delivered in the Scanify portal. This item corresponds to Change Item CR-04 in the CR Report.</w:t>
      </w:r>
    </w:p>
    <w:p>
      <w:r>
        <w:t>The SRS (Rel. 1.1) specified only ‘visual compare, manual adjustment, confirmation’ before storing validated data. The delivered portal implements a full multi-state QC lifecycle with draft auto-save, confidence management and finalise-and-lock. This CR captures that expansion for formal re-baselining and commercial settlement.</w:t>
      </w:r>
    </w:p>
    <w:p/>
    <w:p>
      <w:pPr>
        <w:pStyle w:val="Heading1"/>
      </w:pPr>
      <w:r>
        <w:t>2. Background &amp; Context</w:t>
      </w:r>
    </w:p>
    <w:p>
      <w:r>
        <w:t>Statement data must be reviewed and corrected before it is trusted for reporting. The SRS treated this as a single compare-adjust-confirm step.</w:t>
      </w:r>
    </w:p>
    <w:p>
      <w:r>
        <w:t>The delivered portal wraps each statement in a formal QC lifecycle so in-progress work is never lost, review state is explicit, confidence can be managed, and finalised statements are permanently locked.</w:t>
      </w:r>
    </w:p>
    <w:p>
      <w:r>
        <w:t>SRS baseline vs. delivered capability: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SRS Baseline (Rel. 1.1)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Delivered in the Portal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‘Visual compare, manual adjustment, confirmation’ before storing validated data.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multi-state lifecycle: draft → QC reviewed → finalised &amp; locked.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draft persistence described.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Draft auto-save so in-progress edits are never lost.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explicit review state or confidence handling.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An explicit QC-review status set by the reviewing team, plus a confidence indicator with a manual override.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lock on confirmed data.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finalise action that submits and permanently locks the statement (only once extraction is complete).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Single validation screen implied.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rich visual compare/validation screen and a separate fully manual statement-entry screen.</w:t>
            </w:r>
          </w:p>
        </w:tc>
      </w:tr>
    </w:tbl>
    <w:p/>
    <w:p>
      <w:pPr>
        <w:pStyle w:val="Heading1"/>
      </w:pPr>
      <w:r>
        <w:t>3. Business Justification (Reason for Change)</w:t>
      </w:r>
    </w:p>
    <w:p>
      <w:r>
        <w:t>A formal QC lifecycle protects data quality far beyond the SRS’s compare-adjust-confirm step:</w:t>
      </w:r>
    </w:p>
    <w:p>
      <w:pPr>
        <w:pStyle w:val="ListBullet"/>
      </w:pPr>
      <w:r>
        <w:t>Draft auto-save means partially reviewed statements are never lost.</w:t>
      </w:r>
    </w:p>
    <w:p>
      <w:pPr>
        <w:pStyle w:val="ListBullet"/>
      </w:pPr>
      <w:r>
        <w:t>An explicit QC-review status makes reviewer accountability and workflow state clear.</w:t>
      </w:r>
    </w:p>
    <w:p>
      <w:pPr>
        <w:pStyle w:val="ListBullet"/>
      </w:pPr>
      <w:r>
        <w:t>Confidence indication with manual override lets reviewers focus on doubtful extractions.</w:t>
      </w:r>
    </w:p>
    <w:p>
      <w:pPr>
        <w:pStyle w:val="ListBullet"/>
      </w:pPr>
      <w:r>
        <w:t>Finalise-and-lock guarantees that confirmed statements cannot be silently changed afterwards.</w:t>
      </w:r>
    </w:p>
    <w:p>
      <w:r>
        <w:t>A formal QC lifecycle with confidence management goes well beyond ‘compare, adjust, confirm’ and is therefore raised as a formal scope expansion.</w:t>
      </w:r>
    </w:p>
    <w:p/>
    <w:p>
      <w:pPr>
        <w:pStyle w:val="Heading1"/>
      </w:pPr>
      <w:r>
        <w:t>4. Proposed Change – Delivered Capability</w:t>
      </w:r>
    </w:p>
    <w:p>
      <w:r>
        <w:t>The delivered QC / Validation Workflow provides the following capabilities in the portal: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Draft auto-save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In-progress edits are saved automatically so work is never lost.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QC-review status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An explicit review state set by the reviewing team.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Confidence management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confidence indicator with a manual override.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Finalise &amp; lock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Submit-and-lock, permitted only once extraction is complete.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Validation screens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 rich visual compare/validation screen and a separate fully manual statement-entry screen.</w:t>
            </w:r>
          </w:p>
        </w:tc>
      </w:tr>
    </w:tbl>
    <w:p/>
    <w:p>
      <w:pPr>
        <w:pStyle w:val="Heading1"/>
      </w:pPr>
      <w:r>
        <w:t>5. Scope of Work</w:t>
      </w:r>
    </w:p>
    <w:p>
      <w:r>
        <w:t>5.1 In Scope</w:t>
      </w:r>
    </w:p>
    <w:p>
      <w:pPr>
        <w:pStyle w:val="ListBullet"/>
      </w:pPr>
      <w:r>
        <w:t>Design of the multi-state QC lifecycle (draft → QC reviewed → finalised &amp; locked).</w:t>
      </w:r>
    </w:p>
    <w:p>
      <w:pPr>
        <w:pStyle w:val="ListBullet"/>
      </w:pPr>
      <w:r>
        <w:t>Draft auto-save of in-progress edits.</w:t>
      </w:r>
    </w:p>
    <w:p>
      <w:pPr>
        <w:pStyle w:val="ListBullet"/>
      </w:pPr>
      <w:r>
        <w:t>QC-review status set by the reviewing team.</w:t>
      </w:r>
    </w:p>
    <w:p>
      <w:pPr>
        <w:pStyle w:val="ListBullet"/>
      </w:pPr>
      <w:r>
        <w:t>Confidence indicator with manual override.</w:t>
      </w:r>
    </w:p>
    <w:p>
      <w:pPr>
        <w:pStyle w:val="ListBullet"/>
      </w:pPr>
      <w:r>
        <w:t>Finalise-and-lock action guarded by extraction-complete.</w:t>
      </w:r>
    </w:p>
    <w:p>
      <w:pPr>
        <w:pStyle w:val="ListBullet"/>
      </w:pPr>
      <w:r>
        <w:t>Visual compare/validation screen and a separate fully manual statement-entry screen.</w:t>
      </w:r>
    </w:p>
    <w:p>
      <w:pPr>
        <w:pStyle w:val="ListBullet"/>
      </w:pPr>
      <w:r>
        <w:t>Functional testing and UAT support of the QC lifecycle.</w:t>
      </w:r>
    </w:p>
    <w:p>
      <w:r>
        <w:t>5.2 Out of Scope</w:t>
      </w:r>
    </w:p>
    <w:p>
      <w:pPr>
        <w:pStyle w:val="ListBullet"/>
      </w:pPr>
      <w:r>
        <w:t>Changes to the extraction engine itself beyond exposing completeness for the finalise guard.</w:t>
      </w:r>
    </w:p>
    <w:p>
      <w:pPr>
        <w:pStyle w:val="ListBullet"/>
      </w:pPr>
      <w:r>
        <w:t>Data cleansing or correction of pre-existing master/transactional data-quality issues.</w:t>
      </w:r>
    </w:p>
    <w:p>
      <w:pPr>
        <w:pStyle w:val="ListBullet"/>
      </w:pPr>
      <w:r>
        <w:t>Ongoing production support / AMC, which can be covered under a separate support agreement.</w:t>
      </w:r>
    </w:p>
    <w:p>
      <w:pPr>
        <w:pStyle w:val="ListBullet"/>
      </w:pPr>
      <w:r>
        <w:t>Any new functional change or scope expansion requested after sign-off, which will be raised as a separate CR.</w:t>
      </w:r>
    </w:p>
    <w:p/>
    <w:p>
      <w:pPr>
        <w:pStyle w:val="Heading1"/>
      </w:pPr>
      <w:r>
        <w:t>6. Delivery Approach &amp; Methodology</w:t>
      </w:r>
    </w:p>
    <w:p>
      <w:r>
        <w:t>The workflow was delivered in a controlled, phased manner: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1 – Lifecycle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Design the draft → QC reviewed → finalised &amp; locked states and draft auto-save.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2 – Review &amp; confidence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QC-review status and confidence indicator with manual override; finalise-and-lock guard.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3 – Screens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Visual compare/validation screen and fully manual statement-entry screen.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4 – Validate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Functional testing and UAT support.</w:t>
            </w:r>
          </w:p>
        </w:tc>
      </w:tr>
    </w:tbl>
    <w:p/>
    <w:p>
      <w:pPr>
        <w:pStyle w:val="Heading1"/>
      </w:pPr>
      <w:r>
        <w:t>7. Detailed Effort Estimation</w:t>
      </w:r>
    </w:p>
    <w:p>
      <w:r>
        <w:t>The total estimated effort for this change is 4 (four) person-days. The breakdown is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Lifecycle &amp; drafts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Draft → QC reviewed → finalised &amp; locked states; draft auto-save.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Review &amp; confidence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QC-review status; confidence indicator with manual override; finalise-and-lock guard.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Validation screens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Visual compare/validation screen and fully manual statement-entry screen.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Testing &amp; handover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Functional testing, UAT support and handover.</w:t>
            </w:r>
          </w:p>
        </w:tc>
      </w:tr>
    </w:tbl>
    <w:p>
      <w:r>
        <w:t>Total Effort: 4 person-days.</w:t>
      </w:r>
    </w:p>
    <w:p>
      <w:r>
        <w:t>Effort is expressed in person-days of dedicated engineering work and reflects the design-and-build effort delivered beyond the SRS baseline, presented here for formal approval and commercial settlement.</w:t>
      </w:r>
    </w:p>
    <w:p/>
    <w:p>
      <w:pPr>
        <w:pStyle w:val="Heading1"/>
      </w:pPr>
      <w:r>
        <w:t>8. Indicative Timeline</w:t>
      </w:r>
    </w:p>
    <w:p>
      <w:r>
        <w:t>Subject to written approval of this CR, the effort is represented as a continuous 4 working-day engagement.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CR approval &amp; inputs received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Day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Lifecycle &amp; draft auto-save ready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Review &amp; confidence available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Validation screens complete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Testing, UAT &amp; sign-off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4</w:t>
            </w:r>
          </w:p>
        </w:tc>
      </w:tr>
    </w:tbl>
    <w:p/>
    <w:p>
      <w:pPr>
        <w:pStyle w:val="Heading1"/>
      </w:pPr>
      <w:r>
        <w:t>9. Commercials – Implementation Fee</w:t>
      </w:r>
    </w:p>
    <w:p>
      <w:r>
        <w:t>This is a one-time change request with an associated implementation fee for the 4 person-days of design and build effort described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Design and delivery of the QC / Validation Workflow (draft auto-save, QC-review status, confidence management, finalise-and-lock, and the compare and manual-entry screens).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4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One-time Implementation Fee (Total)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4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</w:tbl>
    <w:p>
      <w:pPr>
        <w:pStyle w:val="ListBullet"/>
      </w:pPr>
      <w:r>
        <w:t>Amounts are to be finalised and are shown as placeholders pending commercial confirmation.</w:t>
      </w:r>
    </w:p>
    <w:p>
      <w:pPr>
        <w:pStyle w:val="ListBullet"/>
      </w:pPr>
      <w:r>
        <w:t>Taxes (GST) as applicable will be charged additionally.</w:t>
      </w:r>
    </w:p>
    <w:p>
      <w:pPr>
        <w:pStyle w:val="ListBullet"/>
      </w:pPr>
      <w:r>
        <w:t>This capability has already been designed and delivered in the portal; this CR formalises and re-baselines it in line with the CR Report recommendation.</w:t>
      </w:r>
    </w:p>
    <w:p/>
    <w:p>
      <w:pPr>
        <w:pStyle w:val="Heading1"/>
      </w:pPr>
      <w:r>
        <w:t>10. Assumptions &amp; Client Dependencies</w:t>
      </w:r>
    </w:p>
    <w:p>
      <w:pPr>
        <w:pStyle w:val="ListBullet"/>
      </w:pPr>
      <w:r>
        <w:t>The capability described has been reviewed against the delivered portal and the CR Report (Delivered Scope vs. SRS).</w:t>
      </w:r>
    </w:p>
    <w:p>
      <w:pPr>
        <w:pStyle w:val="ListBullet"/>
      </w:pPr>
      <w:r>
        <w:t>Client-side stakeholders are available to review the delivered functionality and provide sign-off.</w:t>
      </w:r>
    </w:p>
    <w:p>
      <w:pPr>
        <w:pStyle w:val="ListBullet"/>
      </w:pPr>
      <w:r>
        <w:t>No further functional change or scope expansion is introduced under this CR beyond what is already delivered.</w:t>
      </w:r>
    </w:p>
    <w:p>
      <w:pPr>
        <w:pStyle w:val="ListBullet"/>
      </w:pPr>
      <w:r>
        <w:t>Existing master and transactional data required by this capability is available and reasonably clean.</w:t>
      </w:r>
    </w:p>
    <w:p>
      <w:pPr>
        <w:pStyle w:val="ListBullet"/>
      </w:pPr>
      <w:r>
        <w:t>Extraction output is available to drive the visual compare and the finalise-complete guard.</w:t>
      </w:r>
    </w:p>
    <w:p/>
    <w:p>
      <w:pPr>
        <w:pStyle w:val="Heading1"/>
      </w:pPr>
      <w:r>
        <w:t>11.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Loss of in-progress review work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Draft auto-save persists edits continuously.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Premature finalisation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Finalise-and-lock permitted only once extraction is complete.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Unclear review accountability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Explicit QC-review status set by the reviewing team.</w:t>
            </w:r>
          </w:p>
        </w:tc>
      </w:tr>
    </w:tbl>
    <w:p/>
    <w:p>
      <w:pPr>
        <w:pStyle w:val="Heading1"/>
      </w:pPr>
      <w:r>
        <w:t>12. Deliverables</w:t>
      </w:r>
    </w:p>
    <w:p>
      <w:pPr>
        <w:pStyle w:val="ListBullet"/>
      </w:pPr>
      <w:r>
        <w:t>A working multi-state QC lifecycle with draft auto-save.</w:t>
      </w:r>
    </w:p>
    <w:p>
      <w:pPr>
        <w:pStyle w:val="ListBullet"/>
      </w:pPr>
      <w:r>
        <w:t>QC-review status and confidence indicator with manual override.</w:t>
      </w:r>
    </w:p>
    <w:p>
      <w:pPr>
        <w:pStyle w:val="ListBullet"/>
      </w:pPr>
      <w:r>
        <w:t>Finalise-and-lock behaviour and the compare and manual-entry screens.</w:t>
      </w:r>
    </w:p>
    <w:p>
      <w:pPr>
        <w:pStyle w:val="ListBullet"/>
      </w:pPr>
      <w:r>
        <w:t>UAT sign-off of the QC lifecycle.</w:t>
      </w:r>
    </w:p>
    <w:p/>
    <w:p>
      <w:pPr>
        <w:pStyle w:val="Heading1"/>
      </w:pPr>
      <w:r>
        <w:t>13. Acceptance Criteria</w:t>
      </w:r>
    </w:p>
    <w:p>
      <w:pPr>
        <w:pStyle w:val="ListBullet"/>
      </w:pPr>
      <w:r>
        <w:t>A statement moves correctly through draft → QC reviewed → finalised &amp; locked.</w:t>
      </w:r>
    </w:p>
    <w:p>
      <w:pPr>
        <w:pStyle w:val="ListBullet"/>
      </w:pPr>
      <w:r>
        <w:t>Draft edits persist automatically and finalise is blocked until extraction is complete.</w:t>
      </w:r>
    </w:p>
    <w:p>
      <w:pPr>
        <w:pStyle w:val="ListBullet"/>
      </w:pPr>
      <w:r>
        <w:t>Confidence override and both validation screens behave as expected.</w:t>
      </w:r>
    </w:p>
    <w:p/>
    <w:p>
      <w:pPr>
        <w:pStyle w:val="Heading1"/>
      </w:pPr>
      <w:r>
        <w:t>14. Approval &amp; Sign-off</w:t>
      </w:r>
    </w:p>
    <w:p>
      <w:r>
        <w:t>By signing below, both parties agree to the scope, effort and commercial terms set out in this Change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Kodivian Technologies LLP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Stedman Pharmaceuticals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</w:tr>
    </w:tbl>
    <w:p/>
    <w:p>
      <w:pPr>
        <w:spacing w:after="40"/>
        <w:jc w:val="center"/>
      </w:pPr>
      <w:r>
        <w:rPr>
          <w:b w:val="0"/>
          <w:color w:val="595959"/>
          <w:sz w:val="21"/>
        </w:rPr>
        <w:t>— End of Change Request —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Kodivian Technologies LLP  |  Confidential  –  Prepared for Stedman Pharmaceuticals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