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2E74B5"/>
          <w:sz w:val="26"/>
        </w:rPr>
        <w:t>KODIVIAN TECHNOLOGIES LLP</w:t>
      </w:r>
    </w:p>
    <w:p>
      <w:pPr>
        <w:spacing w:after="40"/>
        <w:jc w:val="center"/>
      </w:pPr>
      <w:r>
        <w:rPr>
          <w:b w:val="0"/>
          <w:color w:val="595959"/>
          <w:sz w:val="18"/>
        </w:rPr>
        <w:t>ISO 27001 Certified  |  A SS Group Company</w:t>
      </w:r>
    </w:p>
    <w:p/>
    <w:p>
      <w:pPr>
        <w:spacing w:after="40"/>
        <w:jc w:val="center"/>
      </w:pPr>
      <w:r>
        <w:rPr>
          <w:b/>
          <w:color w:val="1F4E79"/>
          <w:sz w:val="60"/>
        </w:rPr>
        <w:t>CHANGE REQUEST</w:t>
      </w:r>
    </w:p>
    <w:p>
      <w:pPr>
        <w:spacing w:after="40"/>
        <w:jc w:val="center"/>
      </w:pPr>
      <w:r>
        <w:rPr>
          <w:b/>
          <w:color w:val="2E74B5"/>
          <w:sz w:val="34"/>
        </w:rPr>
        <w:t>&amp; Implementation Proposal</w:t>
      </w:r>
    </w:p>
    <w:p>
      <w:pPr>
        <w:spacing w:after="40"/>
        <w:jc w:val="center"/>
      </w:pPr>
      <w:r>
        <w:rPr>
          <w:b/>
          <w:color w:val="222222"/>
          <w:sz w:val="26"/>
        </w:rPr>
        <w:t>Expanded Reporting Suite – Insights, Stockist &amp; Ranking Reports</w:t>
      </w:r>
    </w:p>
    <w:p>
      <w:pPr>
        <w:spacing w:after="40"/>
        <w:jc w:val="center"/>
      </w:pPr>
      <w:r>
        <w:rPr>
          <w:b w:val="0"/>
          <w:color w:val="595959"/>
          <w:sz w:val="23"/>
        </w:rPr>
        <w:t>Delivered Functional Scope beyond the approved SRS (Release 1.1)</w:t>
      </w:r>
    </w:p>
    <w:p>
      <w:pPr>
        <w:spacing w:after="40"/>
        <w:jc w:val="center"/>
      </w:pPr>
      <w:r>
        <w:rPr>
          <w:b w:val="0"/>
          <w:color w:val="595959"/>
          <w:sz w:val="21"/>
        </w:rPr>
        <w:t>Scheme Management System &amp; Stock Statement Entry Automation</w:t>
      </w:r>
    </w:p>
    <w:p/>
    <w:tbl>
      <w:tblPr>
        <w:tblStyle w:val="TableGrid"/>
        <w:tblW w:type="auto" w:w="0"/>
        <w:tblLook w:firstColumn="1" w:firstRow="1" w:lastColumn="0" w:lastRow="0" w:noHBand="0" w:noVBand="1" w:val="04A0"/>
      </w:tblPr>
      <w:tblGrid>
        <w:gridCol w:w="4873"/>
        <w:gridCol w:w="4873"/>
      </w:tblGrid>
      <w:tr>
        <w:tc>
          <w:tcPr>
            <w:tcW w:type="dxa" w:w="9746"/>
            <w:gridSpan w:val="2"/>
            <w:shd w:val="clear" w:color="auto" w:fill="1F4E79"/>
          </w:tcPr>
          <w:p>
            <w:r/>
            <w:r>
              <w:rPr>
                <w:b/>
                <w:color w:val="FFFFFF"/>
                <w:sz w:val="20"/>
              </w:rPr>
              <w:t>Document Control</w:t>
            </w:r>
          </w:p>
        </w:tc>
      </w:tr>
      <w:tr>
        <w:tc>
          <w:tcPr>
            <w:tcW w:type="dxa" w:w="4873"/>
            <w:shd w:val="clear" w:color="auto" w:fill="DCE6F1"/>
          </w:tcPr>
          <w:p>
            <w:r/>
            <w:r>
              <w:rPr>
                <w:b/>
              </w:rPr>
              <w:t>Document Name</w:t>
            </w:r>
          </w:p>
        </w:tc>
        <w:tc>
          <w:tcPr>
            <w:tcW w:type="dxa" w:w="4873"/>
          </w:tcPr>
          <w:p>
            <w:r/>
            <w:r>
              <w:rPr>
                <w:b w:val="0"/>
              </w:rPr>
              <w:t>Change Request – Expanded Reporting Suite</w:t>
            </w:r>
          </w:p>
        </w:tc>
      </w:tr>
      <w:tr>
        <w:tc>
          <w:tcPr>
            <w:tcW w:type="dxa" w:w="4873"/>
            <w:shd w:val="clear" w:color="auto" w:fill="DCE6F1"/>
          </w:tcPr>
          <w:p>
            <w:r/>
            <w:r>
              <w:rPr>
                <w:b/>
              </w:rPr>
              <w:t>CR Reference No.</w:t>
            </w:r>
          </w:p>
        </w:tc>
        <w:tc>
          <w:tcPr>
            <w:tcW w:type="dxa" w:w="4873"/>
          </w:tcPr>
          <w:p>
            <w:r/>
            <w:r>
              <w:rPr>
                <w:b w:val="0"/>
              </w:rPr>
              <w:t>KT/STED/CR-06</w:t>
            </w:r>
          </w:p>
        </w:tc>
      </w:tr>
      <w:tr>
        <w:tc>
          <w:tcPr>
            <w:tcW w:type="dxa" w:w="4873"/>
            <w:shd w:val="clear" w:color="auto" w:fill="DCE6F1"/>
          </w:tcPr>
          <w:p>
            <w:r/>
            <w:r>
              <w:rPr>
                <w:b/>
              </w:rPr>
              <w:t>CR Report Item</w:t>
            </w:r>
          </w:p>
        </w:tc>
        <w:tc>
          <w:tcPr>
            <w:tcW w:type="dxa" w:w="4873"/>
          </w:tcPr>
          <w:p>
            <w:r/>
            <w:r>
              <w:rPr>
                <w:b w:val="0"/>
              </w:rPr>
              <w:t>CR-06 (CR Report)</w:t>
            </w:r>
          </w:p>
        </w:tc>
      </w:tr>
      <w:tr>
        <w:tc>
          <w:tcPr>
            <w:tcW w:type="dxa" w:w="4873"/>
            <w:shd w:val="clear" w:color="auto" w:fill="DCE6F1"/>
          </w:tcPr>
          <w:p>
            <w:r/>
            <w:r>
              <w:rPr>
                <w:b/>
              </w:rPr>
              <w:t>Classification</w:t>
            </w:r>
          </w:p>
        </w:tc>
        <w:tc>
          <w:tcPr>
            <w:tcW w:type="dxa" w:w="4873"/>
          </w:tcPr>
          <w:p>
            <w:r/>
            <w:r>
              <w:rPr>
                <w:b w:val="0"/>
              </w:rPr>
              <w:t>Scope Expansion</w:t>
            </w:r>
          </w:p>
        </w:tc>
      </w:tr>
      <w:tr>
        <w:tc>
          <w:tcPr>
            <w:tcW w:type="dxa" w:w="4873"/>
            <w:shd w:val="clear" w:color="auto" w:fill="DCE6F1"/>
          </w:tcPr>
          <w:p>
            <w:r/>
            <w:r>
              <w:rPr>
                <w:b/>
              </w:rPr>
              <w:t>Release No.</w:t>
            </w:r>
          </w:p>
        </w:tc>
        <w:tc>
          <w:tcPr>
            <w:tcW w:type="dxa" w:w="4873"/>
          </w:tcPr>
          <w:p>
            <w:r/>
            <w:r>
              <w:rPr>
                <w:b w:val="0"/>
              </w:rPr>
              <w:t>1.0</w:t>
            </w:r>
          </w:p>
        </w:tc>
      </w:tr>
      <w:tr>
        <w:tc>
          <w:tcPr>
            <w:tcW w:type="dxa" w:w="4873"/>
            <w:shd w:val="clear" w:color="auto" w:fill="DCE6F1"/>
          </w:tcPr>
          <w:p>
            <w:r/>
            <w:r>
              <w:rPr>
                <w:b/>
              </w:rPr>
              <w:t>Date of Release</w:t>
            </w:r>
          </w:p>
        </w:tc>
        <w:tc>
          <w:tcPr>
            <w:tcW w:type="dxa" w:w="4873"/>
          </w:tcPr>
          <w:p>
            <w:r/>
            <w:r>
              <w:rPr>
                <w:b w:val="0"/>
              </w:rPr>
              <w:t>3rd July 2026</w:t>
            </w:r>
          </w:p>
        </w:tc>
      </w:tr>
      <w:tr>
        <w:tc>
          <w:tcPr>
            <w:tcW w:type="dxa" w:w="4873"/>
            <w:shd w:val="clear" w:color="auto" w:fill="DCE6F1"/>
          </w:tcPr>
          <w:p>
            <w:r/>
            <w:r>
              <w:rPr>
                <w:b/>
              </w:rPr>
              <w:t>Client</w:t>
            </w:r>
          </w:p>
        </w:tc>
        <w:tc>
          <w:tcPr>
            <w:tcW w:type="dxa" w:w="4873"/>
          </w:tcPr>
          <w:p>
            <w:r/>
            <w:r>
              <w:rPr>
                <w:b w:val="0"/>
              </w:rPr>
              <w:t>Stedman Pharmaceuticals</w:t>
            </w:r>
          </w:p>
        </w:tc>
      </w:tr>
      <w:tr>
        <w:tc>
          <w:tcPr>
            <w:tcW w:type="dxa" w:w="4873"/>
            <w:shd w:val="clear" w:color="auto" w:fill="DCE6F1"/>
          </w:tcPr>
          <w:p>
            <w:r/>
            <w:r>
              <w:rPr>
                <w:b/>
              </w:rPr>
              <w:t>Prepared By</w:t>
            </w:r>
          </w:p>
        </w:tc>
        <w:tc>
          <w:tcPr>
            <w:tcW w:type="dxa" w:w="4873"/>
          </w:tcPr>
          <w:p>
            <w:r/>
            <w:r>
              <w:rPr>
                <w:b w:val="0"/>
              </w:rPr>
              <w:t>Kodivian Technologies LLP</w:t>
            </w:r>
          </w:p>
        </w:tc>
      </w:tr>
      <w:tr>
        <w:tc>
          <w:tcPr>
            <w:tcW w:type="dxa" w:w="4873"/>
            <w:shd w:val="clear" w:color="auto" w:fill="DCE6F1"/>
          </w:tcPr>
          <w:p>
            <w:r/>
            <w:r>
              <w:rPr>
                <w:b/>
              </w:rPr>
              <w:t>Reviewed By</w:t>
            </w:r>
          </w:p>
        </w:tc>
        <w:tc>
          <w:tcPr>
            <w:tcW w:type="dxa" w:w="4873"/>
          </w:tcPr>
          <w:p>
            <w:r/>
            <w:r>
              <w:rPr>
                <w:b w:val="0"/>
              </w:rPr>
              <w:t>Vijay Sabari</w:t>
            </w:r>
          </w:p>
        </w:tc>
      </w:tr>
      <w:tr>
        <w:tc>
          <w:tcPr>
            <w:tcW w:type="dxa" w:w="4873"/>
            <w:shd w:val="clear" w:color="auto" w:fill="DCE6F1"/>
          </w:tcPr>
          <w:p>
            <w:r/>
            <w:r>
              <w:rPr>
                <w:b/>
              </w:rPr>
              <w:t>Approved By</w:t>
            </w:r>
          </w:p>
        </w:tc>
        <w:tc>
          <w:tcPr>
            <w:tcW w:type="dxa" w:w="4873"/>
          </w:tcPr>
          <w:p>
            <w:r/>
            <w:r>
              <w:rPr>
                <w:b w:val="0"/>
              </w:rPr>
              <w:t>________________________</w:t>
            </w:r>
          </w:p>
        </w:tc>
      </w:tr>
      <w:tr>
        <w:tc>
          <w:tcPr>
            <w:tcW w:type="dxa" w:w="4873"/>
            <w:shd w:val="clear" w:color="auto" w:fill="DCE6F1"/>
          </w:tcPr>
          <w:p>
            <w:r/>
            <w:r>
              <w:rPr>
                <w:b/>
              </w:rPr>
              <w:t>Approved Date</w:t>
            </w:r>
          </w:p>
        </w:tc>
        <w:tc>
          <w:tcPr>
            <w:tcW w:type="dxa" w:w="4873"/>
          </w:tcPr>
          <w:p>
            <w:r/>
            <w:r>
              <w:rPr>
                <w:b w:val="0"/>
              </w:rPr>
              <w:t>________________________</w:t>
            </w:r>
          </w:p>
        </w:tc>
      </w:tr>
    </w:tbl>
    <w:p/>
    <w:p>
      <w:pPr>
        <w:pStyle w:val="Heading1"/>
      </w:pPr>
      <w:r>
        <w:t>1. Purpose of this Change Request</w:t>
      </w:r>
    </w:p>
    <w:p>
      <w:r>
        <w:t>This Change Request is raised by Kodivian Technologies LLP for Stedman Pharmaceuticals to formally document, scope, estimate and obtain approval for the expanded reporting suite delivered in the Scanify portal. This item corresponds to Change Item CR-06 in the CR Report.</w:t>
      </w:r>
    </w:p>
    <w:p>
      <w:r>
        <w:t>The SRS (Rel. 1.1) enumerated a defined report list. The delivered portal adds substantial analytics not named in the SRS – an Insights dashboard, a large Stockist Reports module and a Ranking Reports module, with exports and before/after-deduction awareness. This CR captures that expansion for formal re-baselining and commercial settlement.</w:t>
      </w:r>
    </w:p>
    <w:p/>
    <w:p>
      <w:pPr>
        <w:pStyle w:val="Heading1"/>
      </w:pPr>
      <w:r>
        <w:t>2. Background &amp; Context</w:t>
      </w:r>
    </w:p>
    <w:p>
      <w:r>
        <w:t>The SRS listed a fixed set of reports (incentive, ranking sheets, moving trend, stockist-wise quantity, growth, monthly value/qty, secondary vs closing, product selection, sales/HQ performance, and scheme reports).</w:t>
      </w:r>
    </w:p>
    <w:p>
      <w:r>
        <w:t>The delivered portal materially deepens this with new dashboards, roll-ups, drill-downs and rankings, and honours the before/after-deduction sales modes introduced with the deduction engine.</w:t>
      </w:r>
    </w:p>
    <w:p>
      <w:r>
        <w:t>SRS baseline vs. delivered capability:</w:t>
      </w:r>
    </w:p>
    <w:tbl>
      <w:tblPr>
        <w:tblStyle w:val="TableGrid"/>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0"/>
              </w:rPr>
              <w:t>SRS Baseline (Rel. 1.1)</w:t>
            </w:r>
          </w:p>
        </w:tc>
        <w:tc>
          <w:tcPr>
            <w:tcW w:type="dxa" w:w="4873"/>
            <w:shd w:val="clear" w:color="auto" w:fill="1F4E79"/>
          </w:tcPr>
          <w:p>
            <w:r/>
            <w:r>
              <w:rPr>
                <w:b/>
                <w:color w:val="FFFFFF"/>
                <w:sz w:val="20"/>
              </w:rPr>
              <w:t>Delivered in the Portal</w:t>
            </w:r>
          </w:p>
        </w:tc>
      </w:tr>
      <w:tr>
        <w:tc>
          <w:tcPr>
            <w:tcW w:type="dxa" w:w="4873"/>
          </w:tcPr>
          <w:p>
            <w:r/>
            <w:r>
              <w:rPr>
                <w:b w:val="0"/>
              </w:rPr>
              <w:t>A defined report list (incentive, rankings, ASPR/Wellness updation, product moving trend, stockist-wise quantity, growth, monthly value/qty, secondary vs closing, product selection, sales/HQ performance; scheme reports).</w:t>
            </w:r>
          </w:p>
        </w:tc>
        <w:tc>
          <w:tcPr>
            <w:tcW w:type="dxa" w:w="4873"/>
          </w:tcPr>
          <w:p>
            <w:r/>
            <w:r>
              <w:rPr>
                <w:b w:val="0"/>
              </w:rPr>
              <w:t>An Insights dashboard with multiple analytic views – schemes, statements, deductions, masters, targets, products.</w:t>
            </w:r>
          </w:p>
        </w:tc>
      </w:tr>
      <w:tr>
        <w:tc>
          <w:tcPr>
            <w:tcW w:type="dxa" w:w="4873"/>
          </w:tcPr>
          <w:p>
            <w:r/>
            <w:r>
              <w:rPr>
                <w:b w:val="0"/>
              </w:rPr>
              <w:t>No consolidated analytics dashboard.</w:t>
            </w:r>
          </w:p>
        </w:tc>
        <w:tc>
          <w:tcPr>
            <w:tcW w:type="dxa" w:w="4873"/>
          </w:tcPr>
          <w:p>
            <w:r/>
            <w:r>
              <w:rPr>
                <w:b w:val="0"/>
              </w:rPr>
              <w:t>A large Stockist Reports module – region-product closing stock, HQ-wise stockist, stockist address, organisational and monthly-organisational roll-ups, region-wise moving trend and a Gynae report.</w:t>
            </w:r>
          </w:p>
        </w:tc>
      </w:tr>
      <w:tr>
        <w:tc>
          <w:tcPr>
            <w:tcW w:type="dxa" w:w="4873"/>
          </w:tcPr>
          <w:p>
            <w:r/>
            <w:r>
              <w:rPr>
                <w:b w:val="0"/>
              </w:rPr>
              <w:t>Ranking sheets only.</w:t>
            </w:r>
          </w:p>
        </w:tc>
        <w:tc>
          <w:tcPr>
            <w:tcW w:type="dxa" w:w="4873"/>
          </w:tcPr>
          <w:p>
            <w:r/>
            <w:r>
              <w:rPr>
                <w:b w:val="0"/>
              </w:rPr>
              <w:t>A Ranking Reports module – product-wise Top-N, product-wise ‘all’, an advanced ranking view, a PCPM (per-chemist-per-month) tracker and rupee-wise ranking.</w:t>
            </w:r>
          </w:p>
        </w:tc>
      </w:tr>
      <w:tr>
        <w:tc>
          <w:tcPr>
            <w:tcW w:type="dxa" w:w="4873"/>
          </w:tcPr>
          <w:p>
            <w:r/>
            <w:r>
              <w:rPr>
                <w:b w:val="0"/>
              </w:rPr>
              <w:t>Exports of major report types.</w:t>
            </w:r>
          </w:p>
        </w:tc>
        <w:tc>
          <w:tcPr>
            <w:tcW w:type="dxa" w:w="4873"/>
          </w:tcPr>
          <w:p>
            <w:r/>
            <w:r>
              <w:rPr>
                <w:b w:val="0"/>
              </w:rPr>
              <w:t>Excel/PDF export across the expanded report set, honouring the before/after-deduction sales modes.</w:t>
            </w:r>
          </w:p>
        </w:tc>
      </w:tr>
    </w:tbl>
    <w:p/>
    <w:p>
      <w:pPr>
        <w:pStyle w:val="Heading1"/>
      </w:pPr>
      <w:r>
        <w:t>3. Business Justification (Reason for Change)</w:t>
      </w:r>
    </w:p>
    <w:p>
      <w:r>
        <w:t>The additional reporting gives the business analytic depth and drill-down the SRS list did not provide:</w:t>
      </w:r>
    </w:p>
    <w:p>
      <w:pPr>
        <w:pStyle w:val="ListBullet"/>
      </w:pPr>
      <w:r>
        <w:t>A single Insights dashboard consolidates schemes, statements, deductions, masters, targets and products.</w:t>
      </w:r>
    </w:p>
    <w:p>
      <w:pPr>
        <w:pStyle w:val="ListBullet"/>
      </w:pPr>
      <w:r>
        <w:t>Stockist roll-ups and the Gynae report answer organisational questions not covered by the SRS reports.</w:t>
      </w:r>
    </w:p>
    <w:p>
      <w:pPr>
        <w:pStyle w:val="ListBullet"/>
      </w:pPr>
      <w:r>
        <w:t>Ranking depth (Top-N, advanced ranking, PCPM tracker, rupee-wise) supports sharper performance analysis.</w:t>
      </w:r>
    </w:p>
    <w:p>
      <w:pPr>
        <w:pStyle w:val="ListBullet"/>
      </w:pPr>
      <w:r>
        <w:t>Consistent Excel/PDF export and before/after-deduction awareness make the reports decision-ready.</w:t>
      </w:r>
    </w:p>
    <w:p>
      <w:r>
        <w:t>Several reports and the depth of drill-downs and exports exceed the SRS list and are therefore raised as a formal scope expansion.</w:t>
      </w:r>
    </w:p>
    <w:p/>
    <w:p>
      <w:pPr>
        <w:pStyle w:val="Heading1"/>
      </w:pPr>
      <w:r>
        <w:t>4. Proposed Change – Delivered Capability</w:t>
      </w:r>
    </w:p>
    <w:p>
      <w:r>
        <w:t>The delivered expanded reporting suite provides the following in the portal:</w:t>
      </w:r>
    </w:p>
    <w:tbl>
      <w:tblPr>
        <w:tblStyle w:val="TableGrid"/>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0"/>
              </w:rPr>
              <w:t>Capability</w:t>
            </w:r>
          </w:p>
        </w:tc>
        <w:tc>
          <w:tcPr>
            <w:tcW w:type="dxa" w:w="4873"/>
            <w:shd w:val="clear" w:color="auto" w:fill="1F4E79"/>
          </w:tcPr>
          <w:p>
            <w:r/>
            <w:r>
              <w:rPr>
                <w:b/>
                <w:color w:val="FFFFFF"/>
                <w:sz w:val="20"/>
              </w:rPr>
              <w:t>Description</w:t>
            </w:r>
          </w:p>
        </w:tc>
      </w:tr>
      <w:tr>
        <w:tc>
          <w:tcPr>
            <w:tcW w:type="dxa" w:w="4873"/>
          </w:tcPr>
          <w:p>
            <w:r/>
            <w:r>
              <w:rPr>
                <w:b w:val="0"/>
              </w:rPr>
              <w:t>Insights dashboard</w:t>
            </w:r>
          </w:p>
        </w:tc>
        <w:tc>
          <w:tcPr>
            <w:tcW w:type="dxa" w:w="4873"/>
          </w:tcPr>
          <w:p>
            <w:r/>
            <w:r>
              <w:rPr>
                <w:b w:val="0"/>
              </w:rPr>
              <w:t>Multiple analytic views: schemes, statements, deductions, masters, targets, products.</w:t>
            </w:r>
          </w:p>
        </w:tc>
      </w:tr>
      <w:tr>
        <w:tc>
          <w:tcPr>
            <w:tcW w:type="dxa" w:w="4873"/>
          </w:tcPr>
          <w:p>
            <w:r/>
            <w:r>
              <w:rPr>
                <w:b w:val="0"/>
              </w:rPr>
              <w:t>Stockist Reports</w:t>
            </w:r>
          </w:p>
        </w:tc>
        <w:tc>
          <w:tcPr>
            <w:tcW w:type="dxa" w:w="4873"/>
          </w:tcPr>
          <w:p>
            <w:r/>
            <w:r>
              <w:rPr>
                <w:b w:val="0"/>
              </w:rPr>
              <w:t>Region-product closing stock, HQ-wise stockist, stockist address, organisational and monthly-organisational roll-ups, region-wise moving trend, Gynae report.</w:t>
            </w:r>
          </w:p>
        </w:tc>
      </w:tr>
      <w:tr>
        <w:tc>
          <w:tcPr>
            <w:tcW w:type="dxa" w:w="4873"/>
          </w:tcPr>
          <w:p>
            <w:r/>
            <w:r>
              <w:rPr>
                <w:b w:val="0"/>
              </w:rPr>
              <w:t>Ranking Reports</w:t>
            </w:r>
          </w:p>
        </w:tc>
        <w:tc>
          <w:tcPr>
            <w:tcW w:type="dxa" w:w="4873"/>
          </w:tcPr>
          <w:p>
            <w:r/>
            <w:r>
              <w:rPr>
                <w:b w:val="0"/>
              </w:rPr>
              <w:t>Product-wise Top-N, product-wise ‘all’, advanced ranking, PCPM tracker, rupee-wise ranking.</w:t>
            </w:r>
          </w:p>
        </w:tc>
      </w:tr>
      <w:tr>
        <w:tc>
          <w:tcPr>
            <w:tcW w:type="dxa" w:w="4873"/>
          </w:tcPr>
          <w:p>
            <w:r/>
            <w:r>
              <w:rPr>
                <w:b w:val="0"/>
              </w:rPr>
              <w:t>Export &amp; modes</w:t>
            </w:r>
          </w:p>
        </w:tc>
        <w:tc>
          <w:tcPr>
            <w:tcW w:type="dxa" w:w="4873"/>
          </w:tcPr>
          <w:p>
            <w:r/>
            <w:r>
              <w:rPr>
                <w:b w:val="0"/>
              </w:rPr>
              <w:t>Excel/PDF export across the set, honouring before/after-deduction sales modes.</w:t>
            </w:r>
          </w:p>
        </w:tc>
      </w:tr>
    </w:tbl>
    <w:p/>
    <w:p>
      <w:pPr>
        <w:pStyle w:val="Heading1"/>
      </w:pPr>
      <w:r>
        <w:t>5. Scope of Work</w:t>
      </w:r>
    </w:p>
    <w:p>
      <w:r>
        <w:t>5.1 In Scope</w:t>
      </w:r>
    </w:p>
    <w:p>
      <w:pPr>
        <w:pStyle w:val="ListBullet"/>
      </w:pPr>
      <w:r>
        <w:t>Insights dashboard with schemes, statements, deductions, masters, targets and products views.</w:t>
      </w:r>
    </w:p>
    <w:p>
      <w:pPr>
        <w:pStyle w:val="ListBullet"/>
      </w:pPr>
      <w:r>
        <w:t>Stockist Reports module (region-product closing stock, HQ-wise, address, organisational and monthly roll-ups, region-wise moving trend, Gynae report).</w:t>
      </w:r>
    </w:p>
    <w:p>
      <w:pPr>
        <w:pStyle w:val="ListBullet"/>
      </w:pPr>
      <w:r>
        <w:t>Ranking Reports module (Top-N, product-wise all, advanced ranking, PCPM tracker, rupee-wise).</w:t>
      </w:r>
    </w:p>
    <w:p>
      <w:pPr>
        <w:pStyle w:val="ListBullet"/>
      </w:pPr>
      <w:r>
        <w:t>Excel/PDF export across the expanded set.</w:t>
      </w:r>
    </w:p>
    <w:p>
      <w:pPr>
        <w:pStyle w:val="ListBullet"/>
      </w:pPr>
      <w:r>
        <w:t>Before/after-deduction sales-mode support in the relevant reports.</w:t>
      </w:r>
    </w:p>
    <w:p>
      <w:pPr>
        <w:pStyle w:val="ListBullet"/>
      </w:pPr>
      <w:r>
        <w:t>Functional testing and UAT support of the reports.</w:t>
      </w:r>
    </w:p>
    <w:p>
      <w:r>
        <w:t>5.2 Out of Scope</w:t>
      </w:r>
    </w:p>
    <w:p>
      <w:pPr>
        <w:pStyle w:val="ListBullet"/>
      </w:pPr>
      <w:r>
        <w:t>Changes to the SRS-listed reports beyond adding the before/after-deduction mode where relevant.</w:t>
      </w:r>
    </w:p>
    <w:p>
      <w:pPr>
        <w:pStyle w:val="ListBullet"/>
      </w:pPr>
      <w:r>
        <w:t>Data cleansing or correction of pre-existing master/transactional data-quality issues.</w:t>
      </w:r>
    </w:p>
    <w:p>
      <w:pPr>
        <w:pStyle w:val="ListBullet"/>
      </w:pPr>
      <w:r>
        <w:t>Ongoing production support / AMC, which can be covered under a separate support agreement.</w:t>
      </w:r>
    </w:p>
    <w:p>
      <w:pPr>
        <w:pStyle w:val="ListBullet"/>
      </w:pPr>
      <w:r>
        <w:t>Any new functional change or scope expansion requested after sign-off, which will be raised as a separate CR.</w:t>
      </w:r>
    </w:p>
    <w:p/>
    <w:p>
      <w:pPr>
        <w:pStyle w:val="Heading1"/>
      </w:pPr>
      <w:r>
        <w:t>6. Delivery Approach &amp; Methodology</w:t>
      </w:r>
    </w:p>
    <w:p>
      <w:r>
        <w:t>The suite was delivered in a controlled, phased manner:</w:t>
      </w:r>
    </w:p>
    <w:tbl>
      <w:tblPr>
        <w:tblStyle w:val="TableGrid"/>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0"/>
              </w:rPr>
              <w:t>Phase</w:t>
            </w:r>
          </w:p>
        </w:tc>
        <w:tc>
          <w:tcPr>
            <w:tcW w:type="dxa" w:w="4873"/>
            <w:shd w:val="clear" w:color="auto" w:fill="1F4E79"/>
          </w:tcPr>
          <w:p>
            <w:r/>
            <w:r>
              <w:rPr>
                <w:b/>
                <w:color w:val="FFFFFF"/>
                <w:sz w:val="20"/>
              </w:rPr>
              <w:t>Key Activities</w:t>
            </w:r>
          </w:p>
        </w:tc>
      </w:tr>
      <w:tr>
        <w:tc>
          <w:tcPr>
            <w:tcW w:type="dxa" w:w="4873"/>
          </w:tcPr>
          <w:p>
            <w:r/>
            <w:r>
              <w:rPr>
                <w:b w:val="0"/>
              </w:rPr>
              <w:t>Phase 1 – Insights</w:t>
            </w:r>
          </w:p>
        </w:tc>
        <w:tc>
          <w:tcPr>
            <w:tcW w:type="dxa" w:w="4873"/>
          </w:tcPr>
          <w:p>
            <w:r/>
            <w:r>
              <w:rPr>
                <w:b w:val="0"/>
              </w:rPr>
              <w:t>Build the Insights dashboard and its analytic views.</w:t>
            </w:r>
          </w:p>
        </w:tc>
      </w:tr>
      <w:tr>
        <w:tc>
          <w:tcPr>
            <w:tcW w:type="dxa" w:w="4873"/>
          </w:tcPr>
          <w:p>
            <w:r/>
            <w:r>
              <w:rPr>
                <w:b w:val="0"/>
              </w:rPr>
              <w:t>Phase 2 – Stockist Reports</w:t>
            </w:r>
          </w:p>
        </w:tc>
        <w:tc>
          <w:tcPr>
            <w:tcW w:type="dxa" w:w="4873"/>
          </w:tcPr>
          <w:p>
            <w:r/>
            <w:r>
              <w:rPr>
                <w:b w:val="0"/>
              </w:rPr>
              <w:t>Build the Stockist Reports module and roll-ups, including the Gynae report.</w:t>
            </w:r>
          </w:p>
        </w:tc>
      </w:tr>
      <w:tr>
        <w:tc>
          <w:tcPr>
            <w:tcW w:type="dxa" w:w="4873"/>
          </w:tcPr>
          <w:p>
            <w:r/>
            <w:r>
              <w:rPr>
                <w:b w:val="0"/>
              </w:rPr>
              <w:t>Phase 3 – Ranking Reports</w:t>
            </w:r>
          </w:p>
        </w:tc>
        <w:tc>
          <w:tcPr>
            <w:tcW w:type="dxa" w:w="4873"/>
          </w:tcPr>
          <w:p>
            <w:r/>
            <w:r>
              <w:rPr>
                <w:b w:val="0"/>
              </w:rPr>
              <w:t>Build the Ranking Reports module (Top-N, advanced, PCPM, rupee-wise).</w:t>
            </w:r>
          </w:p>
        </w:tc>
      </w:tr>
      <w:tr>
        <w:tc>
          <w:tcPr>
            <w:tcW w:type="dxa" w:w="4873"/>
          </w:tcPr>
          <w:p>
            <w:r/>
            <w:r>
              <w:rPr>
                <w:b w:val="0"/>
              </w:rPr>
              <w:t>Phase 4 – Export &amp; modes</w:t>
            </w:r>
          </w:p>
        </w:tc>
        <w:tc>
          <w:tcPr>
            <w:tcW w:type="dxa" w:w="4873"/>
          </w:tcPr>
          <w:p>
            <w:r/>
            <w:r>
              <w:rPr>
                <w:b w:val="0"/>
              </w:rPr>
              <w:t>Add Excel/PDF export and before/after-deduction awareness.</w:t>
            </w:r>
          </w:p>
        </w:tc>
      </w:tr>
      <w:tr>
        <w:tc>
          <w:tcPr>
            <w:tcW w:type="dxa" w:w="4873"/>
          </w:tcPr>
          <w:p>
            <w:r/>
            <w:r>
              <w:rPr>
                <w:b w:val="0"/>
              </w:rPr>
              <w:t>Phase 5 – Validate</w:t>
            </w:r>
          </w:p>
        </w:tc>
        <w:tc>
          <w:tcPr>
            <w:tcW w:type="dxa" w:w="4873"/>
          </w:tcPr>
          <w:p>
            <w:r/>
            <w:r>
              <w:rPr>
                <w:b w:val="0"/>
              </w:rPr>
              <w:t>Functional testing and UAT support.</w:t>
            </w:r>
          </w:p>
        </w:tc>
      </w:tr>
    </w:tbl>
    <w:p/>
    <w:p>
      <w:pPr>
        <w:pStyle w:val="Heading1"/>
      </w:pPr>
      <w:r>
        <w:t>7. Detailed Effort Estimation</w:t>
      </w:r>
    </w:p>
    <w:p>
      <w:r>
        <w:t>The total estimated effort for this change is 5 (five) person-days. The breakdown is as follows: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F4E79"/>
          </w:tcPr>
          <w:p>
            <w:r/>
            <w:r>
              <w:rPr>
                <w:b/>
                <w:color w:val="FFFFFF"/>
                <w:sz w:val="20"/>
              </w:rPr>
              <w:t>Stage</w:t>
            </w:r>
          </w:p>
        </w:tc>
        <w:tc>
          <w:tcPr>
            <w:tcW w:type="dxa" w:w="3249"/>
            <w:shd w:val="clear" w:color="auto" w:fill="1F4E79"/>
          </w:tcPr>
          <w:p>
            <w:r/>
            <w:r>
              <w:rPr>
                <w:b/>
                <w:color w:val="FFFFFF"/>
                <w:sz w:val="20"/>
              </w:rPr>
              <w:t>Focus</w:t>
            </w:r>
          </w:p>
        </w:tc>
        <w:tc>
          <w:tcPr>
            <w:tcW w:type="dxa" w:w="3249"/>
            <w:shd w:val="clear" w:color="auto" w:fill="1F4E79"/>
          </w:tcPr>
          <w:p>
            <w:r/>
            <w:r>
              <w:rPr>
                <w:b/>
                <w:color w:val="FFFFFF"/>
                <w:sz w:val="20"/>
              </w:rPr>
              <w:t>Activities</w:t>
            </w:r>
          </w:p>
        </w:tc>
      </w:tr>
      <w:tr>
        <w:tc>
          <w:tcPr>
            <w:tcW w:type="dxa" w:w="3249"/>
          </w:tcPr>
          <w:p>
            <w:r/>
            <w:r>
              <w:rPr>
                <w:b w:val="0"/>
              </w:rPr>
              <w:t>Day 1</w:t>
            </w:r>
          </w:p>
        </w:tc>
        <w:tc>
          <w:tcPr>
            <w:tcW w:type="dxa" w:w="3249"/>
          </w:tcPr>
          <w:p>
            <w:r/>
            <w:r>
              <w:rPr>
                <w:b w:val="0"/>
              </w:rPr>
              <w:t>Insights dashboard</w:t>
            </w:r>
          </w:p>
        </w:tc>
        <w:tc>
          <w:tcPr>
            <w:tcW w:type="dxa" w:w="3249"/>
          </w:tcPr>
          <w:p>
            <w:r/>
            <w:r>
              <w:rPr>
                <w:b w:val="0"/>
              </w:rPr>
              <w:t>Analytic views: schemes, statements, deductions, masters, targets, products.</w:t>
            </w:r>
          </w:p>
        </w:tc>
      </w:tr>
      <w:tr>
        <w:tc>
          <w:tcPr>
            <w:tcW w:type="dxa" w:w="3249"/>
          </w:tcPr>
          <w:p>
            <w:r/>
            <w:r>
              <w:rPr>
                <w:b w:val="0"/>
              </w:rPr>
              <w:t>Day 2</w:t>
            </w:r>
          </w:p>
        </w:tc>
        <w:tc>
          <w:tcPr>
            <w:tcW w:type="dxa" w:w="3249"/>
          </w:tcPr>
          <w:p>
            <w:r/>
            <w:r>
              <w:rPr>
                <w:b w:val="0"/>
              </w:rPr>
              <w:t>Stockist Reports</w:t>
            </w:r>
          </w:p>
        </w:tc>
        <w:tc>
          <w:tcPr>
            <w:tcW w:type="dxa" w:w="3249"/>
          </w:tcPr>
          <w:p>
            <w:r/>
            <w:r>
              <w:rPr>
                <w:b w:val="0"/>
              </w:rPr>
              <w:t>Region-product closing stock, HQ-wise, address, organisational &amp; monthly roll-ups, region-wise moving trend, Gynae report.</w:t>
            </w:r>
          </w:p>
        </w:tc>
      </w:tr>
      <w:tr>
        <w:tc>
          <w:tcPr>
            <w:tcW w:type="dxa" w:w="3249"/>
          </w:tcPr>
          <w:p>
            <w:r/>
            <w:r>
              <w:rPr>
                <w:b w:val="0"/>
              </w:rPr>
              <w:t>Day 3</w:t>
            </w:r>
          </w:p>
        </w:tc>
        <w:tc>
          <w:tcPr>
            <w:tcW w:type="dxa" w:w="3249"/>
          </w:tcPr>
          <w:p>
            <w:r/>
            <w:r>
              <w:rPr>
                <w:b w:val="0"/>
              </w:rPr>
              <w:t>Ranking Reports</w:t>
            </w:r>
          </w:p>
        </w:tc>
        <w:tc>
          <w:tcPr>
            <w:tcW w:type="dxa" w:w="3249"/>
          </w:tcPr>
          <w:p>
            <w:r/>
            <w:r>
              <w:rPr>
                <w:b w:val="0"/>
              </w:rPr>
              <w:t>Product-wise Top-N, product-wise all, advanced ranking, PCPM tracker, rupee-wise ranking.</w:t>
            </w:r>
          </w:p>
        </w:tc>
      </w:tr>
      <w:tr>
        <w:tc>
          <w:tcPr>
            <w:tcW w:type="dxa" w:w="3249"/>
          </w:tcPr>
          <w:p>
            <w:r/>
            <w:r>
              <w:rPr>
                <w:b w:val="0"/>
              </w:rPr>
              <w:t>Day 4</w:t>
            </w:r>
          </w:p>
        </w:tc>
        <w:tc>
          <w:tcPr>
            <w:tcW w:type="dxa" w:w="3249"/>
          </w:tcPr>
          <w:p>
            <w:r/>
            <w:r>
              <w:rPr>
                <w:b w:val="0"/>
              </w:rPr>
              <w:t>Export &amp; modes</w:t>
            </w:r>
          </w:p>
        </w:tc>
        <w:tc>
          <w:tcPr>
            <w:tcW w:type="dxa" w:w="3249"/>
          </w:tcPr>
          <w:p>
            <w:r/>
            <w:r>
              <w:rPr>
                <w:b w:val="0"/>
              </w:rPr>
              <w:t>Excel/PDF export across the set; before/after-deduction sales-mode support.</w:t>
            </w:r>
          </w:p>
        </w:tc>
      </w:tr>
      <w:tr>
        <w:tc>
          <w:tcPr>
            <w:tcW w:type="dxa" w:w="3249"/>
          </w:tcPr>
          <w:p>
            <w:r/>
            <w:r>
              <w:rPr>
                <w:b w:val="0"/>
              </w:rPr>
              <w:t>Day 5</w:t>
            </w:r>
          </w:p>
        </w:tc>
        <w:tc>
          <w:tcPr>
            <w:tcW w:type="dxa" w:w="3249"/>
          </w:tcPr>
          <w:p>
            <w:r/>
            <w:r>
              <w:rPr>
                <w:b w:val="0"/>
              </w:rPr>
              <w:t>Testing &amp; handover</w:t>
            </w:r>
          </w:p>
        </w:tc>
        <w:tc>
          <w:tcPr>
            <w:tcW w:type="dxa" w:w="3249"/>
          </w:tcPr>
          <w:p>
            <w:r/>
            <w:r>
              <w:rPr>
                <w:b w:val="0"/>
              </w:rPr>
              <w:t>Functional testing, reconciliation spot-checks, UAT support and handover.</w:t>
            </w:r>
          </w:p>
        </w:tc>
      </w:tr>
    </w:tbl>
    <w:p>
      <w:r>
        <w:t>Total Effort: 5 person-days.</w:t>
      </w:r>
    </w:p>
    <w:p>
      <w:r>
        <w:t>Effort is expressed in person-days of dedicated engineering work and reflects the design-and-build effort delivered beyond the SRS baseline, presented here for formal approval and commercial settlement.</w:t>
      </w:r>
    </w:p>
    <w:p/>
    <w:p>
      <w:pPr>
        <w:pStyle w:val="Heading1"/>
      </w:pPr>
      <w:r>
        <w:t>8. Indicative Timeline</w:t>
      </w:r>
    </w:p>
    <w:p>
      <w:r>
        <w:t>Subject to written approval of this CR, the effort is represented as a continuous 5 working-day engagement.</w:t>
      </w:r>
    </w:p>
    <w:tbl>
      <w:tblPr>
        <w:tblStyle w:val="TableGrid"/>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0"/>
              </w:rPr>
              <w:t>Milestone</w:t>
            </w:r>
          </w:p>
        </w:tc>
        <w:tc>
          <w:tcPr>
            <w:tcW w:type="dxa" w:w="4873"/>
            <w:shd w:val="clear" w:color="auto" w:fill="1F4E79"/>
          </w:tcPr>
          <w:p>
            <w:r/>
            <w:r>
              <w:rPr>
                <w:b/>
                <w:color w:val="FFFFFF"/>
                <w:sz w:val="20"/>
              </w:rPr>
              <w:t>Target</w:t>
            </w:r>
          </w:p>
        </w:tc>
      </w:tr>
      <w:tr>
        <w:tc>
          <w:tcPr>
            <w:tcW w:type="dxa" w:w="4873"/>
          </w:tcPr>
          <w:p>
            <w:r/>
            <w:r>
              <w:rPr>
                <w:b w:val="0"/>
              </w:rPr>
              <w:t>CR approval &amp; inputs received</w:t>
            </w:r>
          </w:p>
        </w:tc>
        <w:tc>
          <w:tcPr>
            <w:tcW w:type="dxa" w:w="4873"/>
          </w:tcPr>
          <w:p>
            <w:r/>
            <w:r>
              <w:rPr>
                <w:b w:val="0"/>
              </w:rPr>
              <w:t>Day 0</w:t>
            </w:r>
          </w:p>
        </w:tc>
      </w:tr>
      <w:tr>
        <w:tc>
          <w:tcPr>
            <w:tcW w:type="dxa" w:w="4873"/>
          </w:tcPr>
          <w:p>
            <w:r/>
            <w:r>
              <w:rPr>
                <w:b w:val="0"/>
              </w:rPr>
              <w:t>Insights dashboard available</w:t>
            </w:r>
          </w:p>
        </w:tc>
        <w:tc>
          <w:tcPr>
            <w:tcW w:type="dxa" w:w="4873"/>
          </w:tcPr>
          <w:p>
            <w:r/>
            <w:r>
              <w:rPr>
                <w:b w:val="0"/>
              </w:rPr>
              <w:t>End of Day 1</w:t>
            </w:r>
          </w:p>
        </w:tc>
      </w:tr>
      <w:tr>
        <w:tc>
          <w:tcPr>
            <w:tcW w:type="dxa" w:w="4873"/>
          </w:tcPr>
          <w:p>
            <w:r/>
            <w:r>
              <w:rPr>
                <w:b w:val="0"/>
              </w:rPr>
              <w:t>Stockist Reports available</w:t>
            </w:r>
          </w:p>
        </w:tc>
        <w:tc>
          <w:tcPr>
            <w:tcW w:type="dxa" w:w="4873"/>
          </w:tcPr>
          <w:p>
            <w:r/>
            <w:r>
              <w:rPr>
                <w:b w:val="0"/>
              </w:rPr>
              <w:t>End of Day 2</w:t>
            </w:r>
          </w:p>
        </w:tc>
      </w:tr>
      <w:tr>
        <w:tc>
          <w:tcPr>
            <w:tcW w:type="dxa" w:w="4873"/>
          </w:tcPr>
          <w:p>
            <w:r/>
            <w:r>
              <w:rPr>
                <w:b w:val="0"/>
              </w:rPr>
              <w:t>Ranking Reports available</w:t>
            </w:r>
          </w:p>
        </w:tc>
        <w:tc>
          <w:tcPr>
            <w:tcW w:type="dxa" w:w="4873"/>
          </w:tcPr>
          <w:p>
            <w:r/>
            <w:r>
              <w:rPr>
                <w:b w:val="0"/>
              </w:rPr>
              <w:t>End of Day 3</w:t>
            </w:r>
          </w:p>
        </w:tc>
      </w:tr>
      <w:tr>
        <w:tc>
          <w:tcPr>
            <w:tcW w:type="dxa" w:w="4873"/>
          </w:tcPr>
          <w:p>
            <w:r/>
            <w:r>
              <w:rPr>
                <w:b w:val="0"/>
              </w:rPr>
              <w:t>Exports &amp; deduction modes complete</w:t>
            </w:r>
          </w:p>
        </w:tc>
        <w:tc>
          <w:tcPr>
            <w:tcW w:type="dxa" w:w="4873"/>
          </w:tcPr>
          <w:p>
            <w:r/>
            <w:r>
              <w:rPr>
                <w:b w:val="0"/>
              </w:rPr>
              <w:t>End of Day 4</w:t>
            </w:r>
          </w:p>
        </w:tc>
      </w:tr>
      <w:tr>
        <w:tc>
          <w:tcPr>
            <w:tcW w:type="dxa" w:w="4873"/>
          </w:tcPr>
          <w:p>
            <w:r/>
            <w:r>
              <w:rPr>
                <w:b w:val="0"/>
              </w:rPr>
              <w:t>Testing, UAT &amp; sign-off</w:t>
            </w:r>
          </w:p>
        </w:tc>
        <w:tc>
          <w:tcPr>
            <w:tcW w:type="dxa" w:w="4873"/>
          </w:tcPr>
          <w:p>
            <w:r/>
            <w:r>
              <w:rPr>
                <w:b w:val="0"/>
              </w:rPr>
              <w:t>End of Day 5</w:t>
            </w:r>
          </w:p>
        </w:tc>
      </w:tr>
    </w:tbl>
    <w:p/>
    <w:p>
      <w:pPr>
        <w:pStyle w:val="Heading1"/>
      </w:pPr>
      <w:r>
        <w:t>9. Commercials – Implementation Fee</w:t>
      </w:r>
    </w:p>
    <w:p>
      <w:r>
        <w:t>This is a one-time change request with an associated implementation fee for the 5 person-days of design and build effort described above.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1F4E79"/>
          </w:tcPr>
          <w:p>
            <w:r/>
            <w:r>
              <w:rPr>
                <w:b/>
                <w:color w:val="FFFFFF"/>
                <w:sz w:val="20"/>
              </w:rPr>
              <w:t>#</w:t>
            </w:r>
          </w:p>
        </w:tc>
        <w:tc>
          <w:tcPr>
            <w:tcW w:type="dxa" w:w="2436"/>
            <w:shd w:val="clear" w:color="auto" w:fill="1F4E79"/>
          </w:tcPr>
          <w:p>
            <w:r/>
            <w:r>
              <w:rPr>
                <w:b/>
                <w:color w:val="FFFFFF"/>
                <w:sz w:val="20"/>
              </w:rPr>
              <w:t>Description</w:t>
            </w:r>
          </w:p>
        </w:tc>
        <w:tc>
          <w:tcPr>
            <w:tcW w:type="dxa" w:w="2436"/>
            <w:shd w:val="clear" w:color="auto" w:fill="1F4E79"/>
          </w:tcPr>
          <w:p>
            <w:r/>
            <w:r>
              <w:rPr>
                <w:b/>
                <w:color w:val="FFFFFF"/>
                <w:sz w:val="20"/>
              </w:rPr>
              <w:t>Effort</w:t>
            </w:r>
          </w:p>
        </w:tc>
        <w:tc>
          <w:tcPr>
            <w:tcW w:type="dxa" w:w="2436"/>
            <w:shd w:val="clear" w:color="auto" w:fill="1F4E79"/>
          </w:tcPr>
          <w:p>
            <w:r/>
            <w:r>
              <w:rPr>
                <w:b/>
                <w:color w:val="FFFFFF"/>
                <w:sz w:val="20"/>
              </w:rPr>
              <w:t>Amount</w:t>
            </w:r>
          </w:p>
        </w:tc>
      </w:tr>
      <w:tr>
        <w:tc>
          <w:tcPr>
            <w:tcW w:type="dxa" w:w="2436"/>
          </w:tcPr>
          <w:p>
            <w:r/>
            <w:r>
              <w:rPr>
                <w:b w:val="0"/>
              </w:rPr>
              <w:t>1</w:t>
            </w:r>
          </w:p>
        </w:tc>
        <w:tc>
          <w:tcPr>
            <w:tcW w:type="dxa" w:w="2436"/>
          </w:tcPr>
          <w:p>
            <w:r/>
            <w:r>
              <w:rPr>
                <w:b w:val="0"/>
              </w:rPr>
              <w:t>Design and delivery of the expanded reporting suite (Insights dashboard, Stockist Reports, Ranking Reports, Excel/PDF export and before/after-deduction reporting modes).</w:t>
            </w:r>
          </w:p>
        </w:tc>
        <w:tc>
          <w:tcPr>
            <w:tcW w:type="dxa" w:w="2436"/>
          </w:tcPr>
          <w:p>
            <w:r/>
            <w:r>
              <w:rPr>
                <w:b w:val="0"/>
              </w:rPr>
              <w:t>5 person-days</w:t>
            </w:r>
          </w:p>
        </w:tc>
        <w:tc>
          <w:tcPr>
            <w:tcW w:type="dxa" w:w="2436"/>
          </w:tcPr>
          <w:p>
            <w:r/>
            <w:r>
              <w:rPr>
                <w:b w:val="0"/>
              </w:rPr>
              <w:t>₹ ____________</w:t>
            </w:r>
          </w:p>
        </w:tc>
      </w:tr>
      <w:tr>
        <w:tc>
          <w:tcPr>
            <w:tcW w:type="dxa" w:w="2436"/>
          </w:tcPr>
          <w:p>
            <w:r/>
            <w:r>
              <w:rPr>
                <w:b w:val="0"/>
              </w:rPr>
            </w:r>
          </w:p>
        </w:tc>
        <w:tc>
          <w:tcPr>
            <w:tcW w:type="dxa" w:w="2436"/>
          </w:tcPr>
          <w:p>
            <w:r/>
            <w:r>
              <w:rPr>
                <w:b w:val="0"/>
              </w:rPr>
              <w:t>One-time Implementation Fee (Total)</w:t>
            </w:r>
          </w:p>
        </w:tc>
        <w:tc>
          <w:tcPr>
            <w:tcW w:type="dxa" w:w="2436"/>
          </w:tcPr>
          <w:p>
            <w:r/>
            <w:r>
              <w:rPr>
                <w:b w:val="0"/>
              </w:rPr>
              <w:t>5 person-days</w:t>
            </w:r>
          </w:p>
        </w:tc>
        <w:tc>
          <w:tcPr>
            <w:tcW w:type="dxa" w:w="2436"/>
          </w:tcPr>
          <w:p>
            <w:r/>
            <w:r>
              <w:rPr>
                <w:b w:val="0"/>
              </w:rPr>
              <w:t>₹ ____________</w:t>
            </w:r>
          </w:p>
        </w:tc>
      </w:tr>
    </w:tbl>
    <w:p>
      <w:pPr>
        <w:pStyle w:val="ListBullet"/>
      </w:pPr>
      <w:r>
        <w:t>Amounts are to be finalised and are shown as placeholders pending commercial confirmation.</w:t>
      </w:r>
    </w:p>
    <w:p>
      <w:pPr>
        <w:pStyle w:val="ListBullet"/>
      </w:pPr>
      <w:r>
        <w:t>Taxes (GST) as applicable will be charged additionally.</w:t>
      </w:r>
    </w:p>
    <w:p>
      <w:pPr>
        <w:pStyle w:val="ListBullet"/>
      </w:pPr>
      <w:r>
        <w:t>This capability has already been designed and delivered in the portal; this CR formalises and re-baselines it in line with the CR Report recommendation.</w:t>
      </w:r>
    </w:p>
    <w:p/>
    <w:p>
      <w:pPr>
        <w:pStyle w:val="Heading1"/>
      </w:pPr>
      <w:r>
        <w:t>10. Assumptions &amp; Client Dependencies</w:t>
      </w:r>
    </w:p>
    <w:p>
      <w:pPr>
        <w:pStyle w:val="ListBullet"/>
      </w:pPr>
      <w:r>
        <w:t>The capability described has been reviewed against the delivered portal and the CR Report (Delivered Scope vs. SRS).</w:t>
      </w:r>
    </w:p>
    <w:p>
      <w:pPr>
        <w:pStyle w:val="ListBullet"/>
      </w:pPr>
      <w:r>
        <w:t>Client-side stakeholders are available to review the delivered functionality and provide sign-off.</w:t>
      </w:r>
    </w:p>
    <w:p>
      <w:pPr>
        <w:pStyle w:val="ListBullet"/>
      </w:pPr>
      <w:r>
        <w:t>No further functional change or scope expansion is introduced under this CR beyond what is already delivered.</w:t>
      </w:r>
    </w:p>
    <w:p>
      <w:pPr>
        <w:pStyle w:val="ListBullet"/>
      </w:pPr>
      <w:r>
        <w:t>Existing master and transactional data required by this capability is available and reasonably clean.</w:t>
      </w:r>
    </w:p>
    <w:p>
      <w:pPr>
        <w:pStyle w:val="ListBullet"/>
      </w:pPr>
      <w:r>
        <w:t>The transactional and master data underlying the reports is available and current.</w:t>
      </w:r>
    </w:p>
    <w:p/>
    <w:p>
      <w:pPr>
        <w:pStyle w:val="Heading1"/>
      </w:pPr>
      <w:r>
        <w:t>11. Risks &amp; Mitigation</w:t>
      </w:r>
    </w:p>
    <w:tbl>
      <w:tblPr>
        <w:tblStyle w:val="TableGrid"/>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0"/>
              </w:rPr>
              <w:t>Risk</w:t>
            </w:r>
          </w:p>
        </w:tc>
        <w:tc>
          <w:tcPr>
            <w:tcW w:type="dxa" w:w="4873"/>
            <w:shd w:val="clear" w:color="auto" w:fill="1F4E79"/>
          </w:tcPr>
          <w:p>
            <w:r/>
            <w:r>
              <w:rPr>
                <w:b/>
                <w:color w:val="FFFFFF"/>
                <w:sz w:val="20"/>
              </w:rPr>
              <w:t>Mitigation</w:t>
            </w:r>
          </w:p>
        </w:tc>
      </w:tr>
      <w:tr>
        <w:tc>
          <w:tcPr>
            <w:tcW w:type="dxa" w:w="4873"/>
          </w:tcPr>
          <w:p>
            <w:r/>
            <w:r>
              <w:rPr>
                <w:b w:val="0"/>
              </w:rPr>
              <w:t>Report figures diverging from source</w:t>
            </w:r>
          </w:p>
        </w:tc>
        <w:tc>
          <w:tcPr>
            <w:tcW w:type="dxa" w:w="4873"/>
          </w:tcPr>
          <w:p>
            <w:r/>
            <w:r>
              <w:rPr>
                <w:b w:val="0"/>
              </w:rPr>
              <w:t>Reports draw from the same governed data as operational screens; reconciliation at UAT.</w:t>
            </w:r>
          </w:p>
        </w:tc>
      </w:tr>
      <w:tr>
        <w:tc>
          <w:tcPr>
            <w:tcW w:type="dxa" w:w="4873"/>
          </w:tcPr>
          <w:p>
            <w:r/>
            <w:r>
              <w:rPr>
                <w:b w:val="0"/>
              </w:rPr>
              <w:t>Confusion over deduction modes</w:t>
            </w:r>
          </w:p>
        </w:tc>
        <w:tc>
          <w:tcPr>
            <w:tcW w:type="dxa" w:w="4873"/>
          </w:tcPr>
          <w:p>
            <w:r/>
            <w:r>
              <w:rPr>
                <w:b w:val="0"/>
              </w:rPr>
              <w:t>Explicit before/after-deduction toggle; business sign-off on the behaviour.</w:t>
            </w:r>
          </w:p>
        </w:tc>
      </w:tr>
      <w:tr>
        <w:tc>
          <w:tcPr>
            <w:tcW w:type="dxa" w:w="4873"/>
          </w:tcPr>
          <w:p>
            <w:r/>
            <w:r>
              <w:rPr>
                <w:b w:val="0"/>
              </w:rPr>
              <w:t>Export formatting issues</w:t>
            </w:r>
          </w:p>
        </w:tc>
        <w:tc>
          <w:tcPr>
            <w:tcW w:type="dxa" w:w="4873"/>
          </w:tcPr>
          <w:p>
            <w:r/>
            <w:r>
              <w:rPr>
                <w:b w:val="0"/>
              </w:rPr>
              <w:t>Excel/PDF export validated across the report set at UAT.</w:t>
            </w:r>
          </w:p>
        </w:tc>
      </w:tr>
    </w:tbl>
    <w:p/>
    <w:p>
      <w:pPr>
        <w:pStyle w:val="Heading1"/>
      </w:pPr>
      <w:r>
        <w:t>12. Deliverables</w:t>
      </w:r>
    </w:p>
    <w:p>
      <w:pPr>
        <w:pStyle w:val="ListBullet"/>
      </w:pPr>
      <w:r>
        <w:t>A working Insights dashboard, Stockist Reports module and Ranking Reports module.</w:t>
      </w:r>
    </w:p>
    <w:p>
      <w:pPr>
        <w:pStyle w:val="ListBullet"/>
      </w:pPr>
      <w:r>
        <w:t>Excel/PDF export across the expanded report set.</w:t>
      </w:r>
    </w:p>
    <w:p>
      <w:pPr>
        <w:pStyle w:val="ListBullet"/>
      </w:pPr>
      <w:r>
        <w:t>Before/after-deduction awareness in the relevant reports.</w:t>
      </w:r>
    </w:p>
    <w:p>
      <w:pPr>
        <w:pStyle w:val="ListBullet"/>
      </w:pPr>
      <w:r>
        <w:t>UAT sign-off of the reporting suite.</w:t>
      </w:r>
    </w:p>
    <w:p/>
    <w:p>
      <w:pPr>
        <w:pStyle w:val="Heading1"/>
      </w:pPr>
      <w:r>
        <w:t>13. Acceptance Criteria</w:t>
      </w:r>
    </w:p>
    <w:p>
      <w:pPr>
        <w:pStyle w:val="ListBullet"/>
      </w:pPr>
      <w:r>
        <w:t>The Insights, Stockist and Ranking reports render correct figures against source data.</w:t>
      </w:r>
    </w:p>
    <w:p>
      <w:pPr>
        <w:pStyle w:val="ListBullet"/>
      </w:pPr>
      <w:r>
        <w:t>Excel/PDF export works across the expanded set.</w:t>
      </w:r>
    </w:p>
    <w:p>
      <w:pPr>
        <w:pStyle w:val="ListBullet"/>
      </w:pPr>
      <w:r>
        <w:t>Reports honour the before/after-deduction sales modes where relevant.</w:t>
      </w:r>
    </w:p>
    <w:p/>
    <w:p>
      <w:pPr>
        <w:pStyle w:val="Heading1"/>
      </w:pPr>
      <w:r>
        <w:t>14. Approval &amp; Sign-off</w:t>
      </w:r>
    </w:p>
    <w:p>
      <w:r>
        <w:t>By signing below, both parties agree to the scope, effort and commercial terms set out in this Change Request.</w:t>
      </w:r>
    </w:p>
    <w:tbl>
      <w:tblPr>
        <w:tblStyle w:val="TableGrid"/>
        <w:tblW w:type="auto" w:w="0"/>
        <w:tblLook w:firstColumn="1" w:firstRow="1" w:lastColumn="0" w:lastRow="0" w:noHBand="0" w:noVBand="1" w:val="04A0"/>
      </w:tblPr>
      <w:tblGrid>
        <w:gridCol w:w="4873"/>
        <w:gridCol w:w="4873"/>
      </w:tblGrid>
      <w:tr>
        <w:tc>
          <w:tcPr>
            <w:tcW w:type="dxa" w:w="4873"/>
            <w:shd w:val="clear" w:color="auto" w:fill="1F4E79"/>
          </w:tcPr>
          <w:p>
            <w:r/>
            <w:r>
              <w:rPr>
                <w:b/>
                <w:color w:val="FFFFFF"/>
                <w:sz w:val="20"/>
              </w:rPr>
              <w:t>For Kodivian Technologies LLP</w:t>
            </w:r>
          </w:p>
        </w:tc>
        <w:tc>
          <w:tcPr>
            <w:tcW w:type="dxa" w:w="4873"/>
            <w:shd w:val="clear" w:color="auto" w:fill="1F4E79"/>
          </w:tcPr>
          <w:p>
            <w:r/>
            <w:r>
              <w:rPr>
                <w:b/>
                <w:color w:val="FFFFFF"/>
                <w:sz w:val="20"/>
              </w:rPr>
              <w:t>For Stedman Pharmaceuticals</w:t>
            </w:r>
          </w:p>
        </w:tc>
      </w:tr>
      <w:tr>
        <w:tc>
          <w:tcPr>
            <w:tcW w:type="dxa" w:w="4873"/>
          </w:tcPr>
          <w:p>
            <w:r/>
            <w:r>
              <w:rPr>
                <w:b w:val="0"/>
              </w:rPr>
              <w:t>Name: ____________________________</w:t>
            </w:r>
          </w:p>
        </w:tc>
        <w:tc>
          <w:tcPr>
            <w:tcW w:type="dxa" w:w="4873"/>
          </w:tcPr>
          <w:p>
            <w:r/>
            <w:r>
              <w:rPr>
                <w:b w:val="0"/>
              </w:rPr>
              <w:t>Name: ____________________________</w:t>
            </w:r>
          </w:p>
        </w:tc>
      </w:tr>
      <w:tr>
        <w:tc>
          <w:tcPr>
            <w:tcW w:type="dxa" w:w="4873"/>
          </w:tcPr>
          <w:p>
            <w:r/>
            <w:r>
              <w:rPr>
                <w:b w:val="0"/>
              </w:rPr>
              <w:t>Designation: ______________________</w:t>
            </w:r>
          </w:p>
        </w:tc>
        <w:tc>
          <w:tcPr>
            <w:tcW w:type="dxa" w:w="4873"/>
          </w:tcPr>
          <w:p>
            <w:r/>
            <w:r>
              <w:rPr>
                <w:b w:val="0"/>
              </w:rPr>
              <w:t>Designation: ______________________</w:t>
            </w:r>
          </w:p>
        </w:tc>
      </w:tr>
      <w:tr>
        <w:tc>
          <w:tcPr>
            <w:tcW w:type="dxa" w:w="4873"/>
          </w:tcPr>
          <w:p>
            <w:r/>
            <w:r>
              <w:rPr>
                <w:b w:val="0"/>
              </w:rPr>
              <w:t>Signature &amp; Date: __________________</w:t>
            </w:r>
          </w:p>
        </w:tc>
        <w:tc>
          <w:tcPr>
            <w:tcW w:type="dxa" w:w="4873"/>
          </w:tcPr>
          <w:p>
            <w:r/>
            <w:r>
              <w:rPr>
                <w:b w:val="0"/>
              </w:rPr>
              <w:t>Signature &amp; Date: __________________</w:t>
            </w:r>
          </w:p>
        </w:tc>
      </w:tr>
    </w:tbl>
    <w:p/>
    <w:p>
      <w:pPr>
        <w:spacing w:after="40"/>
        <w:jc w:val="center"/>
      </w:pPr>
      <w:r>
        <w:rPr>
          <w:b w:val="0"/>
          <w:color w:val="595959"/>
          <w:sz w:val="21"/>
        </w:rPr>
        <w:t>— End of Change Request —</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Kodivian Technologies LLP  |  Confidential  –  Prepared for Stedman Pharmaceuticals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