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4B5"/>
          <w:sz w:val="26"/>
        </w:rPr>
        <w:t>KODIVIAN TECHNOLOGIES LLP</w:t>
      </w:r>
    </w:p>
    <w:p>
      <w:pPr>
        <w:spacing w:after="40"/>
        <w:jc w:val="center"/>
      </w:pPr>
      <w:r>
        <w:rPr>
          <w:b w:val="0"/>
          <w:color w:val="595959"/>
          <w:sz w:val="18"/>
        </w:rPr>
        <w:t>ISO 27001 Certified  |  A SS Group Company</w:t>
      </w:r>
    </w:p>
    <w:p/>
    <w:p>
      <w:pPr>
        <w:spacing w:after="40"/>
        <w:jc w:val="center"/>
      </w:pPr>
      <w:r>
        <w:rPr>
          <w:b/>
          <w:color w:val="1F4E79"/>
          <w:sz w:val="60"/>
        </w:rPr>
        <w:t>CHANGE REQUEST</w:t>
      </w:r>
    </w:p>
    <w:p>
      <w:pPr>
        <w:spacing w:after="40"/>
        <w:jc w:val="center"/>
      </w:pPr>
      <w:r>
        <w:rPr>
          <w:b/>
          <w:color w:val="2E74B5"/>
          <w:sz w:val="34"/>
        </w:rPr>
        <w:t>&amp; Implementation Proposal</w:t>
      </w:r>
    </w:p>
    <w:p>
      <w:pPr>
        <w:spacing w:after="40"/>
        <w:jc w:val="center"/>
      </w:pPr>
      <w:r>
        <w:rPr>
          <w:b/>
          <w:color w:val="222222"/>
          <w:sz w:val="26"/>
        </w:rPr>
        <w:t>Operational &amp; Data-Management Utilities – Reload, Bulk Delete, Repeat &amp; Exports</w:t>
      </w:r>
    </w:p>
    <w:p>
      <w:pPr>
        <w:spacing w:after="40"/>
        <w:jc w:val="center"/>
      </w:pPr>
      <w:r>
        <w:rPr>
          <w:b w:val="0"/>
          <w:color w:val="595959"/>
          <w:sz w:val="23"/>
        </w:rPr>
        <w:t>Delivered Functional Scope beyond the approved SRS (Release 1.1)</w:t>
      </w:r>
    </w:p>
    <w:p>
      <w:pPr>
        <w:spacing w:after="40"/>
        <w:jc w:val="center"/>
      </w:pPr>
      <w:r>
        <w:rPr>
          <w:b w:val="0"/>
          <w:color w:val="595959"/>
          <w:sz w:val="21"/>
        </w:rPr>
        <w:t>Scheme Management System &amp; Stock Statement Entry Automation</w:t>
      </w:r>
    </w:p>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1F4E79"/>
          </w:tcPr>
          <w:p>
            <w:r/>
            <w:r>
              <w:rPr>
                <w:b/>
                <w:color w:val="FFFFFF"/>
                <w:sz w:val="20"/>
              </w:rPr>
              <w:t>Document Control</w:t>
            </w:r>
          </w:p>
        </w:tc>
      </w:tr>
      <w:tr>
        <w:tc>
          <w:tcPr>
            <w:tcW w:type="dxa" w:w="4873"/>
            <w:shd w:val="clear" w:color="auto" w:fill="DCE6F1"/>
          </w:tcPr>
          <w:p>
            <w:r/>
            <w:r>
              <w:rPr>
                <w:b/>
              </w:rPr>
              <w:t>Document Name</w:t>
            </w:r>
          </w:p>
        </w:tc>
        <w:tc>
          <w:tcPr>
            <w:tcW w:type="dxa" w:w="4873"/>
          </w:tcPr>
          <w:p>
            <w:r/>
            <w:r>
              <w:rPr>
                <w:b w:val="0"/>
              </w:rPr>
              <w:t>Change Request – Operational &amp; Data-Management Utilities</w:t>
            </w:r>
          </w:p>
        </w:tc>
      </w:tr>
      <w:tr>
        <w:tc>
          <w:tcPr>
            <w:tcW w:type="dxa" w:w="4873"/>
            <w:shd w:val="clear" w:color="auto" w:fill="DCE6F1"/>
          </w:tcPr>
          <w:p>
            <w:r/>
            <w:r>
              <w:rPr>
                <w:b/>
              </w:rPr>
              <w:t>CR Reference No.</w:t>
            </w:r>
          </w:p>
        </w:tc>
        <w:tc>
          <w:tcPr>
            <w:tcW w:type="dxa" w:w="4873"/>
          </w:tcPr>
          <w:p>
            <w:r/>
            <w:r>
              <w:rPr>
                <w:b w:val="0"/>
              </w:rPr>
              <w:t>KT/STED/CR-07</w:t>
            </w:r>
          </w:p>
        </w:tc>
      </w:tr>
      <w:tr>
        <w:tc>
          <w:tcPr>
            <w:tcW w:type="dxa" w:w="4873"/>
            <w:shd w:val="clear" w:color="auto" w:fill="DCE6F1"/>
          </w:tcPr>
          <w:p>
            <w:r/>
            <w:r>
              <w:rPr>
                <w:b/>
              </w:rPr>
              <w:t>CR Report Item</w:t>
            </w:r>
          </w:p>
        </w:tc>
        <w:tc>
          <w:tcPr>
            <w:tcW w:type="dxa" w:w="4873"/>
          </w:tcPr>
          <w:p>
            <w:r/>
            <w:r>
              <w:rPr>
                <w:b w:val="0"/>
              </w:rPr>
              <w:t>CR-07 (CR Report)</w:t>
            </w:r>
          </w:p>
        </w:tc>
      </w:tr>
      <w:tr>
        <w:tc>
          <w:tcPr>
            <w:tcW w:type="dxa" w:w="4873"/>
            <w:shd w:val="clear" w:color="auto" w:fill="DCE6F1"/>
          </w:tcPr>
          <w:p>
            <w:r/>
            <w:r>
              <w:rPr>
                <w:b/>
              </w:rPr>
              <w:t>Classification</w:t>
            </w:r>
          </w:p>
        </w:tc>
        <w:tc>
          <w:tcPr>
            <w:tcW w:type="dxa" w:w="4873"/>
          </w:tcPr>
          <w:p>
            <w:r/>
            <w:r>
              <w:rPr>
                <w:b w:val="0"/>
              </w:rPr>
              <w:t>New Features</w:t>
            </w:r>
          </w:p>
        </w:tc>
      </w:tr>
      <w:tr>
        <w:tc>
          <w:tcPr>
            <w:tcW w:type="dxa" w:w="4873"/>
            <w:shd w:val="clear" w:color="auto" w:fill="DCE6F1"/>
          </w:tcPr>
          <w:p>
            <w:r/>
            <w:r>
              <w:rPr>
                <w:b/>
              </w:rPr>
              <w:t>Release No.</w:t>
            </w:r>
          </w:p>
        </w:tc>
        <w:tc>
          <w:tcPr>
            <w:tcW w:type="dxa" w:w="4873"/>
          </w:tcPr>
          <w:p>
            <w:r/>
            <w:r>
              <w:rPr>
                <w:b w:val="0"/>
              </w:rPr>
              <w:t>1.0</w:t>
            </w:r>
          </w:p>
        </w:tc>
      </w:tr>
      <w:tr>
        <w:tc>
          <w:tcPr>
            <w:tcW w:type="dxa" w:w="4873"/>
            <w:shd w:val="clear" w:color="auto" w:fill="DCE6F1"/>
          </w:tcPr>
          <w:p>
            <w:r/>
            <w:r>
              <w:rPr>
                <w:b/>
              </w:rPr>
              <w:t>Date of Release</w:t>
            </w:r>
          </w:p>
        </w:tc>
        <w:tc>
          <w:tcPr>
            <w:tcW w:type="dxa" w:w="4873"/>
          </w:tcPr>
          <w:p>
            <w:r/>
            <w:r>
              <w:rPr>
                <w:b w:val="0"/>
              </w:rPr>
              <w:t>3rd July 2026</w:t>
            </w:r>
          </w:p>
        </w:tc>
      </w:tr>
      <w:tr>
        <w:tc>
          <w:tcPr>
            <w:tcW w:type="dxa" w:w="4873"/>
            <w:shd w:val="clear" w:color="auto" w:fill="DCE6F1"/>
          </w:tcPr>
          <w:p>
            <w:r/>
            <w:r>
              <w:rPr>
                <w:b/>
              </w:rPr>
              <w:t>Client</w:t>
            </w:r>
          </w:p>
        </w:tc>
        <w:tc>
          <w:tcPr>
            <w:tcW w:type="dxa" w:w="4873"/>
          </w:tcPr>
          <w:p>
            <w:r/>
            <w:r>
              <w:rPr>
                <w:b w:val="0"/>
              </w:rPr>
              <w:t>Stedman Pharmaceuticals</w:t>
            </w:r>
          </w:p>
        </w:tc>
      </w:tr>
      <w:tr>
        <w:tc>
          <w:tcPr>
            <w:tcW w:type="dxa" w:w="4873"/>
            <w:shd w:val="clear" w:color="auto" w:fill="DCE6F1"/>
          </w:tcPr>
          <w:p>
            <w:r/>
            <w:r>
              <w:rPr>
                <w:b/>
              </w:rPr>
              <w:t>Prepared By</w:t>
            </w:r>
          </w:p>
        </w:tc>
        <w:tc>
          <w:tcPr>
            <w:tcW w:type="dxa" w:w="4873"/>
          </w:tcPr>
          <w:p>
            <w:r/>
            <w:r>
              <w:rPr>
                <w:b w:val="0"/>
              </w:rPr>
              <w:t>Kodivian Technologies LLP</w:t>
            </w:r>
          </w:p>
        </w:tc>
      </w:tr>
      <w:tr>
        <w:tc>
          <w:tcPr>
            <w:tcW w:type="dxa" w:w="4873"/>
            <w:shd w:val="clear" w:color="auto" w:fill="DCE6F1"/>
          </w:tcPr>
          <w:p>
            <w:r/>
            <w:r>
              <w:rPr>
                <w:b/>
              </w:rPr>
              <w:t>Reviewed By</w:t>
            </w:r>
          </w:p>
        </w:tc>
        <w:tc>
          <w:tcPr>
            <w:tcW w:type="dxa" w:w="4873"/>
          </w:tcPr>
          <w:p>
            <w:r/>
            <w:r>
              <w:rPr>
                <w:b w:val="0"/>
              </w:rPr>
              <w:t>Vijay Sabari</w:t>
            </w:r>
          </w:p>
        </w:tc>
      </w:tr>
      <w:tr>
        <w:tc>
          <w:tcPr>
            <w:tcW w:type="dxa" w:w="4873"/>
            <w:shd w:val="clear" w:color="auto" w:fill="DCE6F1"/>
          </w:tcPr>
          <w:p>
            <w:r/>
            <w:r>
              <w:rPr>
                <w:b/>
              </w:rPr>
              <w:t>Approved By</w:t>
            </w:r>
          </w:p>
        </w:tc>
        <w:tc>
          <w:tcPr>
            <w:tcW w:type="dxa" w:w="4873"/>
          </w:tcPr>
          <w:p>
            <w:r/>
            <w:r>
              <w:rPr>
                <w:b w:val="0"/>
              </w:rPr>
              <w:t>________________________</w:t>
            </w:r>
          </w:p>
        </w:tc>
      </w:tr>
      <w:tr>
        <w:tc>
          <w:tcPr>
            <w:tcW w:type="dxa" w:w="4873"/>
            <w:shd w:val="clear" w:color="auto" w:fill="DCE6F1"/>
          </w:tcPr>
          <w:p>
            <w:r/>
            <w:r>
              <w:rPr>
                <w:b/>
              </w:rPr>
              <w:t>Approved Date</w:t>
            </w:r>
          </w:p>
        </w:tc>
        <w:tc>
          <w:tcPr>
            <w:tcW w:type="dxa" w:w="4873"/>
          </w:tcPr>
          <w:p>
            <w:r/>
            <w:r>
              <w:rPr>
                <w:b w:val="0"/>
              </w:rPr>
              <w:t>________________________</w:t>
            </w:r>
          </w:p>
        </w:tc>
      </w:tr>
    </w:tbl>
    <w:p/>
    <w:p>
      <w:pPr>
        <w:pStyle w:val="Heading1"/>
      </w:pPr>
      <w:r>
        <w:t>1. Purpose of this Change Request</w:t>
      </w:r>
    </w:p>
    <w:p>
      <w:r>
        <w:t>This Change Request is raised by Kodivian Technologies LLP for Stedman Pharmaceuticals to formally document, scope, estimate and obtain approval for the operational and data-management utilities delivered in the Scanify portal. This item corresponds to Change Item CR-07 in the CR Report.</w:t>
      </w:r>
    </w:p>
    <w:p>
      <w:r>
        <w:t>The SRS (Rel. 1.1) covered bulk import and report export but did not describe operational maintenance tooling. The delivered portal adds several operator utilities. This CR captures those additions for formal re-baselining and commercial settlement.</w:t>
      </w:r>
    </w:p>
    <w:p/>
    <w:p>
      <w:pPr>
        <w:pStyle w:val="Heading1"/>
      </w:pPr>
      <w:r>
        <w:t>2. Background &amp; Context</w:t>
      </w:r>
    </w:p>
    <w:p>
      <w:r>
        <w:t>Running the system day to day requires maintenance actions the SRS did not anticipate – recomputing statements after master changes, safely deleting records with an audit reason, cloning prior requests, and exporting master archives.</w:t>
      </w:r>
    </w:p>
    <w:p>
      <w:r>
        <w:t>The delivered portal provides these as first-class operator utilities so the data stays consistent and productive to manage.</w:t>
      </w:r>
    </w:p>
    <w:p>
      <w:r>
        <w:t>SRS baseline vs. delivered capability:</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SRS Baseline (Rel. 1.1)</w:t>
            </w:r>
          </w:p>
        </w:tc>
        <w:tc>
          <w:tcPr>
            <w:tcW w:type="dxa" w:w="4873"/>
            <w:shd w:val="clear" w:color="auto" w:fill="1F4E79"/>
          </w:tcPr>
          <w:p>
            <w:r/>
            <w:r>
              <w:rPr>
                <w:b/>
                <w:color w:val="FFFFFF"/>
                <w:sz w:val="20"/>
              </w:rPr>
              <w:t>Delivered in the Portal</w:t>
            </w:r>
          </w:p>
        </w:tc>
      </w:tr>
      <w:tr>
        <w:tc>
          <w:tcPr>
            <w:tcW w:type="dxa" w:w="4873"/>
          </w:tcPr>
          <w:p>
            <w:r/>
            <w:r>
              <w:rPr>
                <w:b w:val="0"/>
              </w:rPr>
              <w:t>Bulk import via Excel/CSV and report exports.</w:t>
            </w:r>
          </w:p>
        </w:tc>
        <w:tc>
          <w:tcPr>
            <w:tcW w:type="dxa" w:w="4873"/>
          </w:tcPr>
          <w:p>
            <w:r/>
            <w:r>
              <w:rPr>
                <w:b w:val="0"/>
              </w:rPr>
              <w:t>Reload Statements – recompute statement totals from the latest master values (after any change to PTS/PTR/pack size, stockist HQ/division, etc.).</w:t>
            </w:r>
          </w:p>
        </w:tc>
      </w:tr>
      <w:tr>
        <w:tc>
          <w:tcPr>
            <w:tcW w:type="dxa" w:w="4873"/>
          </w:tcPr>
          <w:p>
            <w:r/>
            <w:r>
              <w:rPr>
                <w:b w:val="0"/>
              </w:rPr>
              <w:t>No operational maintenance tooling.</w:t>
            </w:r>
          </w:p>
        </w:tc>
        <w:tc>
          <w:tcPr>
            <w:tcW w:type="dxa" w:w="4873"/>
          </w:tcPr>
          <w:p>
            <w:r/>
            <w:r>
              <w:rPr>
                <w:b w:val="0"/>
              </w:rPr>
              <w:t>Delete Statement and bulk delete with mandatory reason capture; Repeat Request to clone a previous scheme request.</w:t>
            </w:r>
          </w:p>
        </w:tc>
      </w:tr>
      <w:tr>
        <w:tc>
          <w:tcPr>
            <w:tcW w:type="dxa" w:w="4873"/>
          </w:tcPr>
          <w:p>
            <w:r/>
            <w:r>
              <w:rPr>
                <w:b w:val="0"/>
              </w:rPr>
              <w:t>No master archival tooling.</w:t>
            </w:r>
          </w:p>
        </w:tc>
        <w:tc>
          <w:tcPr>
            <w:tcW w:type="dxa" w:w="4873"/>
          </w:tcPr>
          <w:p>
            <w:r/>
            <w:r>
              <w:rPr>
                <w:b w:val="0"/>
              </w:rPr>
              <w:t>Per-master and all-masters archive (ZIP) export; spreadsheet preview.</w:t>
            </w:r>
          </w:p>
        </w:tc>
      </w:tr>
      <w:tr>
        <w:tc>
          <w:tcPr>
            <w:tcW w:type="dxa" w:w="4873"/>
          </w:tcPr>
          <w:p>
            <w:r/>
            <w:r>
              <w:rPr>
                <w:b w:val="0"/>
              </w:rPr>
              <w:t>No entry-time compliance checks described.</w:t>
            </w:r>
          </w:p>
        </w:tc>
        <w:tc>
          <w:tcPr>
            <w:tcW w:type="dxa" w:w="4873"/>
          </w:tcPr>
          <w:p>
            <w:r/>
            <w:r>
              <w:rPr>
                <w:b w:val="0"/>
              </w:rPr>
              <w:t>A doctor monthly-limit check enforced during scheme entry.</w:t>
            </w:r>
          </w:p>
        </w:tc>
      </w:tr>
    </w:tbl>
    <w:p/>
    <w:p>
      <w:pPr>
        <w:pStyle w:val="Heading1"/>
      </w:pPr>
      <w:r>
        <w:t>3. Business Justification (Reason for Change)</w:t>
      </w:r>
    </w:p>
    <w:p>
      <w:r>
        <w:t>These utilities keep the live system consistent, auditable and efficient to operate:</w:t>
      </w:r>
    </w:p>
    <w:p>
      <w:pPr>
        <w:pStyle w:val="ListBullet"/>
      </w:pPr>
      <w:r>
        <w:t>Reload Statements keeps statements and reports consistent after any master change to pricing, pack size or stockist attributes.</w:t>
      </w:r>
    </w:p>
    <w:p>
      <w:pPr>
        <w:pStyle w:val="ListBullet"/>
      </w:pPr>
      <w:r>
        <w:t>Mandatory-reason delete and bulk delete give safe, auditable data correction.</w:t>
      </w:r>
    </w:p>
    <w:p>
      <w:pPr>
        <w:pStyle w:val="ListBullet"/>
      </w:pPr>
      <w:r>
        <w:t>Repeat Request removes repetitive re-entry by cloning a prior scheme request.</w:t>
      </w:r>
    </w:p>
    <w:p>
      <w:pPr>
        <w:pStyle w:val="ListBullet"/>
      </w:pPr>
      <w:r>
        <w:t>Master archive export and the doctor monthly-limit check support governance and compliance.</w:t>
      </w:r>
    </w:p>
    <w:p>
      <w:r>
        <w:t>Maintenance and productivity tooling of this kind is not specified in the SRS and is therefore raised as a formal set of new features.</w:t>
      </w:r>
    </w:p>
    <w:p/>
    <w:p>
      <w:pPr>
        <w:pStyle w:val="Heading1"/>
      </w:pPr>
      <w:r>
        <w:t>4. Proposed Change – Delivered Capability</w:t>
      </w:r>
    </w:p>
    <w:p>
      <w:r>
        <w:t>The delivered utilities provide the following in the portal:</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Capability</w:t>
            </w:r>
          </w:p>
        </w:tc>
        <w:tc>
          <w:tcPr>
            <w:tcW w:type="dxa" w:w="4873"/>
            <w:shd w:val="clear" w:color="auto" w:fill="1F4E79"/>
          </w:tcPr>
          <w:p>
            <w:r/>
            <w:r>
              <w:rPr>
                <w:b/>
                <w:color w:val="FFFFFF"/>
                <w:sz w:val="20"/>
              </w:rPr>
              <w:t>Description</w:t>
            </w:r>
          </w:p>
        </w:tc>
      </w:tr>
      <w:tr>
        <w:tc>
          <w:tcPr>
            <w:tcW w:type="dxa" w:w="4873"/>
          </w:tcPr>
          <w:p>
            <w:r/>
            <w:r>
              <w:rPr>
                <w:b w:val="0"/>
              </w:rPr>
              <w:t>Reload Statements</w:t>
            </w:r>
          </w:p>
        </w:tc>
        <w:tc>
          <w:tcPr>
            <w:tcW w:type="dxa" w:w="4873"/>
          </w:tcPr>
          <w:p>
            <w:r/>
            <w:r>
              <w:rPr>
                <w:b w:val="0"/>
              </w:rPr>
              <w:t>Recompute statement totals from the latest master values after any master change.</w:t>
            </w:r>
          </w:p>
        </w:tc>
      </w:tr>
      <w:tr>
        <w:tc>
          <w:tcPr>
            <w:tcW w:type="dxa" w:w="4873"/>
          </w:tcPr>
          <w:p>
            <w:r/>
            <w:r>
              <w:rPr>
                <w:b w:val="0"/>
              </w:rPr>
              <w:t>Delete / bulk delete</w:t>
            </w:r>
          </w:p>
        </w:tc>
        <w:tc>
          <w:tcPr>
            <w:tcW w:type="dxa" w:w="4873"/>
          </w:tcPr>
          <w:p>
            <w:r/>
            <w:r>
              <w:rPr>
                <w:b w:val="0"/>
              </w:rPr>
              <w:t>Delete a statement or many, with mandatory reason capture.</w:t>
            </w:r>
          </w:p>
        </w:tc>
      </w:tr>
      <w:tr>
        <w:tc>
          <w:tcPr>
            <w:tcW w:type="dxa" w:w="4873"/>
          </w:tcPr>
          <w:p>
            <w:r/>
            <w:r>
              <w:rPr>
                <w:b w:val="0"/>
              </w:rPr>
              <w:t>Repeat Request</w:t>
            </w:r>
          </w:p>
        </w:tc>
        <w:tc>
          <w:tcPr>
            <w:tcW w:type="dxa" w:w="4873"/>
          </w:tcPr>
          <w:p>
            <w:r/>
            <w:r>
              <w:rPr>
                <w:b w:val="0"/>
              </w:rPr>
              <w:t>Clone a previous scheme request to avoid re-entry.</w:t>
            </w:r>
          </w:p>
        </w:tc>
      </w:tr>
      <w:tr>
        <w:tc>
          <w:tcPr>
            <w:tcW w:type="dxa" w:w="4873"/>
          </w:tcPr>
          <w:p>
            <w:r/>
            <w:r>
              <w:rPr>
                <w:b w:val="0"/>
              </w:rPr>
              <w:t>Archive export</w:t>
            </w:r>
          </w:p>
        </w:tc>
        <w:tc>
          <w:tcPr>
            <w:tcW w:type="dxa" w:w="4873"/>
          </w:tcPr>
          <w:p>
            <w:r/>
            <w:r>
              <w:rPr>
                <w:b w:val="0"/>
              </w:rPr>
              <w:t>Per-master and all-masters archive (ZIP) export; spreadsheet preview.</w:t>
            </w:r>
          </w:p>
        </w:tc>
      </w:tr>
      <w:tr>
        <w:tc>
          <w:tcPr>
            <w:tcW w:type="dxa" w:w="4873"/>
          </w:tcPr>
          <w:p>
            <w:r/>
            <w:r>
              <w:rPr>
                <w:b w:val="0"/>
              </w:rPr>
              <w:t>Compliance check</w:t>
            </w:r>
          </w:p>
        </w:tc>
        <w:tc>
          <w:tcPr>
            <w:tcW w:type="dxa" w:w="4873"/>
          </w:tcPr>
          <w:p>
            <w:r/>
            <w:r>
              <w:rPr>
                <w:b w:val="0"/>
              </w:rPr>
              <w:t>A doctor monthly-limit check enforced during scheme entry.</w:t>
            </w:r>
          </w:p>
        </w:tc>
      </w:tr>
    </w:tbl>
    <w:p/>
    <w:p>
      <w:pPr>
        <w:pStyle w:val="Heading1"/>
      </w:pPr>
      <w:r>
        <w:t>5. Scope of Work</w:t>
      </w:r>
    </w:p>
    <w:p>
      <w:r>
        <w:t>5.1 In Scope</w:t>
      </w:r>
    </w:p>
    <w:p>
      <w:pPr>
        <w:pStyle w:val="ListBullet"/>
      </w:pPr>
      <w:r>
        <w:t>Reload Statements to recompute totals from the latest master values.</w:t>
      </w:r>
    </w:p>
    <w:p>
      <w:pPr>
        <w:pStyle w:val="ListBullet"/>
      </w:pPr>
      <w:r>
        <w:t>Delete Statement and bulk delete with mandatory reason capture.</w:t>
      </w:r>
    </w:p>
    <w:p>
      <w:pPr>
        <w:pStyle w:val="ListBullet"/>
      </w:pPr>
      <w:r>
        <w:t>Repeat Request to clone a previous scheme request.</w:t>
      </w:r>
    </w:p>
    <w:p>
      <w:pPr>
        <w:pStyle w:val="ListBullet"/>
      </w:pPr>
      <w:r>
        <w:t>Per-master and all-masters archive (ZIP) export and spreadsheet preview.</w:t>
      </w:r>
    </w:p>
    <w:p>
      <w:pPr>
        <w:pStyle w:val="ListBullet"/>
      </w:pPr>
      <w:r>
        <w:t>Doctor monthly-limit check enforced during scheme entry.</w:t>
      </w:r>
    </w:p>
    <w:p>
      <w:pPr>
        <w:pStyle w:val="ListBullet"/>
      </w:pPr>
      <w:r>
        <w:t>Functional testing and UAT support of the utilities.</w:t>
      </w:r>
    </w:p>
    <w:p>
      <w:r>
        <w:t>5.2 Out of Scope</w:t>
      </w:r>
    </w:p>
    <w:p>
      <w:pPr>
        <w:pStyle w:val="ListBullet"/>
      </w:pPr>
      <w:r>
        <w:t>Changes to the underlying masters or scheme-entry logic beyond adding these utilities and checks.</w:t>
      </w:r>
    </w:p>
    <w:p>
      <w:pPr>
        <w:pStyle w:val="ListBullet"/>
      </w:pPr>
      <w:r>
        <w:t>Data cleansing or correction of pre-existing master/transactional data-quality issues.</w:t>
      </w:r>
    </w:p>
    <w:p>
      <w:pPr>
        <w:pStyle w:val="ListBullet"/>
      </w:pPr>
      <w:r>
        <w:t>Ongoing production support / AMC, which can be covered under a separate support agreement.</w:t>
      </w:r>
    </w:p>
    <w:p>
      <w:pPr>
        <w:pStyle w:val="ListBullet"/>
      </w:pPr>
      <w:r>
        <w:t>Any new functional change or scope expansion requested after sign-off, which will be raised as a separate CR.</w:t>
      </w:r>
    </w:p>
    <w:p/>
    <w:p>
      <w:pPr>
        <w:pStyle w:val="Heading1"/>
      </w:pPr>
      <w:r>
        <w:t>6. Delivery Approach &amp; Methodology</w:t>
      </w:r>
    </w:p>
    <w:p>
      <w:r>
        <w:t>The utilities were delivered in a controlled, phased manner:</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Phase</w:t>
            </w:r>
          </w:p>
        </w:tc>
        <w:tc>
          <w:tcPr>
            <w:tcW w:type="dxa" w:w="4873"/>
            <w:shd w:val="clear" w:color="auto" w:fill="1F4E79"/>
          </w:tcPr>
          <w:p>
            <w:r/>
            <w:r>
              <w:rPr>
                <w:b/>
                <w:color w:val="FFFFFF"/>
                <w:sz w:val="20"/>
              </w:rPr>
              <w:t>Key Activities</w:t>
            </w:r>
          </w:p>
        </w:tc>
      </w:tr>
      <w:tr>
        <w:tc>
          <w:tcPr>
            <w:tcW w:type="dxa" w:w="4873"/>
          </w:tcPr>
          <w:p>
            <w:r/>
            <w:r>
              <w:rPr>
                <w:b w:val="0"/>
              </w:rPr>
              <w:t>Phase 1 – Reload &amp; preview</w:t>
            </w:r>
          </w:p>
        </w:tc>
        <w:tc>
          <w:tcPr>
            <w:tcW w:type="dxa" w:w="4873"/>
          </w:tcPr>
          <w:p>
            <w:r/>
            <w:r>
              <w:rPr>
                <w:b w:val="0"/>
              </w:rPr>
              <w:t>Reload Statements recomputation and spreadsheet preview.</w:t>
            </w:r>
          </w:p>
        </w:tc>
      </w:tr>
      <w:tr>
        <w:tc>
          <w:tcPr>
            <w:tcW w:type="dxa" w:w="4873"/>
          </w:tcPr>
          <w:p>
            <w:r/>
            <w:r>
              <w:rPr>
                <w:b w:val="0"/>
              </w:rPr>
              <w:t>Phase 2 – Delete &amp; repeat</w:t>
            </w:r>
          </w:p>
        </w:tc>
        <w:tc>
          <w:tcPr>
            <w:tcW w:type="dxa" w:w="4873"/>
          </w:tcPr>
          <w:p>
            <w:r/>
            <w:r>
              <w:rPr>
                <w:b w:val="0"/>
              </w:rPr>
              <w:t>Delete/bulk delete with mandatory reason and Repeat Request.</w:t>
            </w:r>
          </w:p>
        </w:tc>
      </w:tr>
      <w:tr>
        <w:tc>
          <w:tcPr>
            <w:tcW w:type="dxa" w:w="4873"/>
          </w:tcPr>
          <w:p>
            <w:r/>
            <w:r>
              <w:rPr>
                <w:b w:val="0"/>
              </w:rPr>
              <w:t>Phase 3 – Archive &amp; check</w:t>
            </w:r>
          </w:p>
        </w:tc>
        <w:tc>
          <w:tcPr>
            <w:tcW w:type="dxa" w:w="4873"/>
          </w:tcPr>
          <w:p>
            <w:r/>
            <w:r>
              <w:rPr>
                <w:b w:val="0"/>
              </w:rPr>
              <w:t>Per-master/all-masters archive export and the doctor monthly-limit check.</w:t>
            </w:r>
          </w:p>
        </w:tc>
      </w:tr>
      <w:tr>
        <w:tc>
          <w:tcPr>
            <w:tcW w:type="dxa" w:w="4873"/>
          </w:tcPr>
          <w:p>
            <w:r/>
            <w:r>
              <w:rPr>
                <w:b w:val="0"/>
              </w:rPr>
              <w:t>Phase 4 – Validate</w:t>
            </w:r>
          </w:p>
        </w:tc>
        <w:tc>
          <w:tcPr>
            <w:tcW w:type="dxa" w:w="4873"/>
          </w:tcPr>
          <w:p>
            <w:r/>
            <w:r>
              <w:rPr>
                <w:b w:val="0"/>
              </w:rPr>
              <w:t>Functional testing and UAT support.</w:t>
            </w:r>
          </w:p>
        </w:tc>
      </w:tr>
    </w:tbl>
    <w:p/>
    <w:p>
      <w:pPr>
        <w:pStyle w:val="Heading1"/>
      </w:pPr>
      <w:r>
        <w:t>7. Detailed Effort Estimation</w:t>
      </w:r>
    </w:p>
    <w:p>
      <w:r>
        <w:t>The total estimated effort for this change is 4 (four) person-days. The breakdown is as follows: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4E79"/>
          </w:tcPr>
          <w:p>
            <w:r/>
            <w:r>
              <w:rPr>
                <w:b/>
                <w:color w:val="FFFFFF"/>
                <w:sz w:val="20"/>
              </w:rPr>
              <w:t>Stage</w:t>
            </w:r>
          </w:p>
        </w:tc>
        <w:tc>
          <w:tcPr>
            <w:tcW w:type="dxa" w:w="3249"/>
            <w:shd w:val="clear" w:color="auto" w:fill="1F4E79"/>
          </w:tcPr>
          <w:p>
            <w:r/>
            <w:r>
              <w:rPr>
                <w:b/>
                <w:color w:val="FFFFFF"/>
                <w:sz w:val="20"/>
              </w:rPr>
              <w:t>Focus</w:t>
            </w:r>
          </w:p>
        </w:tc>
        <w:tc>
          <w:tcPr>
            <w:tcW w:type="dxa" w:w="3249"/>
            <w:shd w:val="clear" w:color="auto" w:fill="1F4E79"/>
          </w:tcPr>
          <w:p>
            <w:r/>
            <w:r>
              <w:rPr>
                <w:b/>
                <w:color w:val="FFFFFF"/>
                <w:sz w:val="20"/>
              </w:rPr>
              <w:t>Activities</w:t>
            </w:r>
          </w:p>
        </w:tc>
      </w:tr>
      <w:tr>
        <w:tc>
          <w:tcPr>
            <w:tcW w:type="dxa" w:w="3249"/>
          </w:tcPr>
          <w:p>
            <w:r/>
            <w:r>
              <w:rPr>
                <w:b w:val="0"/>
              </w:rPr>
              <w:t>Day 1</w:t>
            </w:r>
          </w:p>
        </w:tc>
        <w:tc>
          <w:tcPr>
            <w:tcW w:type="dxa" w:w="3249"/>
          </w:tcPr>
          <w:p>
            <w:r/>
            <w:r>
              <w:rPr>
                <w:b w:val="0"/>
              </w:rPr>
              <w:t>Reload &amp; preview</w:t>
            </w:r>
          </w:p>
        </w:tc>
        <w:tc>
          <w:tcPr>
            <w:tcW w:type="dxa" w:w="3249"/>
          </w:tcPr>
          <w:p>
            <w:r/>
            <w:r>
              <w:rPr>
                <w:b w:val="0"/>
              </w:rPr>
              <w:t>Reload Statements recomputation from latest masters; spreadsheet preview.</w:t>
            </w:r>
          </w:p>
        </w:tc>
      </w:tr>
      <w:tr>
        <w:tc>
          <w:tcPr>
            <w:tcW w:type="dxa" w:w="3249"/>
          </w:tcPr>
          <w:p>
            <w:r/>
            <w:r>
              <w:rPr>
                <w:b w:val="0"/>
              </w:rPr>
              <w:t>Day 2</w:t>
            </w:r>
          </w:p>
        </w:tc>
        <w:tc>
          <w:tcPr>
            <w:tcW w:type="dxa" w:w="3249"/>
          </w:tcPr>
          <w:p>
            <w:r/>
            <w:r>
              <w:rPr>
                <w:b w:val="0"/>
              </w:rPr>
              <w:t>Delete &amp; repeat</w:t>
            </w:r>
          </w:p>
        </w:tc>
        <w:tc>
          <w:tcPr>
            <w:tcW w:type="dxa" w:w="3249"/>
          </w:tcPr>
          <w:p>
            <w:r/>
            <w:r>
              <w:rPr>
                <w:b w:val="0"/>
              </w:rPr>
              <w:t>Delete/bulk delete with mandatory reason capture; Repeat Request to clone a scheme.</w:t>
            </w:r>
          </w:p>
        </w:tc>
      </w:tr>
      <w:tr>
        <w:tc>
          <w:tcPr>
            <w:tcW w:type="dxa" w:w="3249"/>
          </w:tcPr>
          <w:p>
            <w:r/>
            <w:r>
              <w:rPr>
                <w:b w:val="0"/>
              </w:rPr>
              <w:t>Day 3</w:t>
            </w:r>
          </w:p>
        </w:tc>
        <w:tc>
          <w:tcPr>
            <w:tcW w:type="dxa" w:w="3249"/>
          </w:tcPr>
          <w:p>
            <w:r/>
            <w:r>
              <w:rPr>
                <w:b w:val="0"/>
              </w:rPr>
              <w:t>Archive &amp; compliance</w:t>
            </w:r>
          </w:p>
        </w:tc>
        <w:tc>
          <w:tcPr>
            <w:tcW w:type="dxa" w:w="3249"/>
          </w:tcPr>
          <w:p>
            <w:r/>
            <w:r>
              <w:rPr>
                <w:b w:val="0"/>
              </w:rPr>
              <w:t>Per-master and all-masters archive (ZIP) export; doctor monthly-limit check at scheme entry.</w:t>
            </w:r>
          </w:p>
        </w:tc>
      </w:tr>
      <w:tr>
        <w:tc>
          <w:tcPr>
            <w:tcW w:type="dxa" w:w="3249"/>
          </w:tcPr>
          <w:p>
            <w:r/>
            <w:r>
              <w:rPr>
                <w:b w:val="0"/>
              </w:rPr>
              <w:t>Day 4</w:t>
            </w:r>
          </w:p>
        </w:tc>
        <w:tc>
          <w:tcPr>
            <w:tcW w:type="dxa" w:w="3249"/>
          </w:tcPr>
          <w:p>
            <w:r/>
            <w:r>
              <w:rPr>
                <w:b w:val="0"/>
              </w:rPr>
              <w:t>Testing &amp; handover</w:t>
            </w:r>
          </w:p>
        </w:tc>
        <w:tc>
          <w:tcPr>
            <w:tcW w:type="dxa" w:w="3249"/>
          </w:tcPr>
          <w:p>
            <w:r/>
            <w:r>
              <w:rPr>
                <w:b w:val="0"/>
              </w:rPr>
              <w:t>Functional testing, UAT support and handover.</w:t>
            </w:r>
          </w:p>
        </w:tc>
      </w:tr>
    </w:tbl>
    <w:p>
      <w:r>
        <w:t>Total Effort: 4 person-days.</w:t>
      </w:r>
    </w:p>
    <w:p>
      <w:r>
        <w:t>Effort is expressed in person-days of dedicated engineering work and reflects the design-and-build effort delivered beyond the SRS baseline, presented here for formal approval and commercial settlement.</w:t>
      </w:r>
    </w:p>
    <w:p/>
    <w:p>
      <w:pPr>
        <w:pStyle w:val="Heading1"/>
      </w:pPr>
      <w:r>
        <w:t>8. Indicative Timeline</w:t>
      </w:r>
    </w:p>
    <w:p>
      <w:r>
        <w:t>Subject to written approval of this CR, the effort is represented as a continuous 4 working-day engagement.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Milestone</w:t>
            </w:r>
          </w:p>
        </w:tc>
        <w:tc>
          <w:tcPr>
            <w:tcW w:type="dxa" w:w="4873"/>
            <w:shd w:val="clear" w:color="auto" w:fill="1F4E79"/>
          </w:tcPr>
          <w:p>
            <w:r/>
            <w:r>
              <w:rPr>
                <w:b/>
                <w:color w:val="FFFFFF"/>
                <w:sz w:val="20"/>
              </w:rPr>
              <w:t>Target</w:t>
            </w:r>
          </w:p>
        </w:tc>
      </w:tr>
      <w:tr>
        <w:tc>
          <w:tcPr>
            <w:tcW w:type="dxa" w:w="4873"/>
          </w:tcPr>
          <w:p>
            <w:r/>
            <w:r>
              <w:rPr>
                <w:b w:val="0"/>
              </w:rPr>
              <w:t>CR approval &amp; inputs received</w:t>
            </w:r>
          </w:p>
        </w:tc>
        <w:tc>
          <w:tcPr>
            <w:tcW w:type="dxa" w:w="4873"/>
          </w:tcPr>
          <w:p>
            <w:r/>
            <w:r>
              <w:rPr>
                <w:b w:val="0"/>
              </w:rPr>
              <w:t>Day 0</w:t>
            </w:r>
          </w:p>
        </w:tc>
      </w:tr>
      <w:tr>
        <w:tc>
          <w:tcPr>
            <w:tcW w:type="dxa" w:w="4873"/>
          </w:tcPr>
          <w:p>
            <w:r/>
            <w:r>
              <w:rPr>
                <w:b w:val="0"/>
              </w:rPr>
              <w:t>Reload &amp; preview available</w:t>
            </w:r>
          </w:p>
        </w:tc>
        <w:tc>
          <w:tcPr>
            <w:tcW w:type="dxa" w:w="4873"/>
          </w:tcPr>
          <w:p>
            <w:r/>
            <w:r>
              <w:rPr>
                <w:b w:val="0"/>
              </w:rPr>
              <w:t>End of Day 1</w:t>
            </w:r>
          </w:p>
        </w:tc>
      </w:tr>
      <w:tr>
        <w:tc>
          <w:tcPr>
            <w:tcW w:type="dxa" w:w="4873"/>
          </w:tcPr>
          <w:p>
            <w:r/>
            <w:r>
              <w:rPr>
                <w:b w:val="0"/>
              </w:rPr>
              <w:t>Delete &amp; repeat available</w:t>
            </w:r>
          </w:p>
        </w:tc>
        <w:tc>
          <w:tcPr>
            <w:tcW w:type="dxa" w:w="4873"/>
          </w:tcPr>
          <w:p>
            <w:r/>
            <w:r>
              <w:rPr>
                <w:b w:val="0"/>
              </w:rPr>
              <w:t>End of Day 2</w:t>
            </w:r>
          </w:p>
        </w:tc>
      </w:tr>
      <w:tr>
        <w:tc>
          <w:tcPr>
            <w:tcW w:type="dxa" w:w="4873"/>
          </w:tcPr>
          <w:p>
            <w:r/>
            <w:r>
              <w:rPr>
                <w:b w:val="0"/>
              </w:rPr>
              <w:t>Archive &amp; compliance check complete</w:t>
            </w:r>
          </w:p>
        </w:tc>
        <w:tc>
          <w:tcPr>
            <w:tcW w:type="dxa" w:w="4873"/>
          </w:tcPr>
          <w:p>
            <w:r/>
            <w:r>
              <w:rPr>
                <w:b w:val="0"/>
              </w:rPr>
              <w:t>End of Day 3</w:t>
            </w:r>
          </w:p>
        </w:tc>
      </w:tr>
      <w:tr>
        <w:tc>
          <w:tcPr>
            <w:tcW w:type="dxa" w:w="4873"/>
          </w:tcPr>
          <w:p>
            <w:r/>
            <w:r>
              <w:rPr>
                <w:b w:val="0"/>
              </w:rPr>
              <w:t>Testing, UAT &amp; sign-off</w:t>
            </w:r>
          </w:p>
        </w:tc>
        <w:tc>
          <w:tcPr>
            <w:tcW w:type="dxa" w:w="4873"/>
          </w:tcPr>
          <w:p>
            <w:r/>
            <w:r>
              <w:rPr>
                <w:b w:val="0"/>
              </w:rPr>
              <w:t>End of Day 4</w:t>
            </w:r>
          </w:p>
        </w:tc>
      </w:tr>
    </w:tbl>
    <w:p/>
    <w:p>
      <w:pPr>
        <w:pStyle w:val="Heading1"/>
      </w:pPr>
      <w:r>
        <w:t>9. Commercials – Implementation Fee</w:t>
      </w:r>
    </w:p>
    <w:p>
      <w:r>
        <w:t>This is a one-time change request with an associated implementation fee for the 4 person-days of design and build effort described above.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E79"/>
          </w:tcPr>
          <w:p>
            <w:r/>
            <w:r>
              <w:rPr>
                <w:b/>
                <w:color w:val="FFFFFF"/>
                <w:sz w:val="20"/>
              </w:rPr>
              <w:t>#</w:t>
            </w:r>
          </w:p>
        </w:tc>
        <w:tc>
          <w:tcPr>
            <w:tcW w:type="dxa" w:w="2436"/>
            <w:shd w:val="clear" w:color="auto" w:fill="1F4E79"/>
          </w:tcPr>
          <w:p>
            <w:r/>
            <w:r>
              <w:rPr>
                <w:b/>
                <w:color w:val="FFFFFF"/>
                <w:sz w:val="20"/>
              </w:rPr>
              <w:t>Description</w:t>
            </w:r>
          </w:p>
        </w:tc>
        <w:tc>
          <w:tcPr>
            <w:tcW w:type="dxa" w:w="2436"/>
            <w:shd w:val="clear" w:color="auto" w:fill="1F4E79"/>
          </w:tcPr>
          <w:p>
            <w:r/>
            <w:r>
              <w:rPr>
                <w:b/>
                <w:color w:val="FFFFFF"/>
                <w:sz w:val="20"/>
              </w:rPr>
              <w:t>Effort</w:t>
            </w:r>
          </w:p>
        </w:tc>
        <w:tc>
          <w:tcPr>
            <w:tcW w:type="dxa" w:w="2436"/>
            <w:shd w:val="clear" w:color="auto" w:fill="1F4E79"/>
          </w:tcPr>
          <w:p>
            <w:r/>
            <w:r>
              <w:rPr>
                <w:b/>
                <w:color w:val="FFFFFF"/>
                <w:sz w:val="20"/>
              </w:rPr>
              <w:t>Amount</w:t>
            </w:r>
          </w:p>
        </w:tc>
      </w:tr>
      <w:tr>
        <w:tc>
          <w:tcPr>
            <w:tcW w:type="dxa" w:w="2436"/>
          </w:tcPr>
          <w:p>
            <w:r/>
            <w:r>
              <w:rPr>
                <w:b w:val="0"/>
              </w:rPr>
              <w:t>1</w:t>
            </w:r>
          </w:p>
        </w:tc>
        <w:tc>
          <w:tcPr>
            <w:tcW w:type="dxa" w:w="2436"/>
          </w:tcPr>
          <w:p>
            <w:r/>
            <w:r>
              <w:rPr>
                <w:b w:val="0"/>
              </w:rPr>
              <w:t>Design and delivery of the operational and data-management utilities (Reload Statements, delete/bulk delete with reason, Repeat Request, master archive export, spreadsheet preview and the doctor monthly-limit check).</w:t>
            </w:r>
          </w:p>
        </w:tc>
        <w:tc>
          <w:tcPr>
            <w:tcW w:type="dxa" w:w="2436"/>
          </w:tcPr>
          <w:p>
            <w:r/>
            <w:r>
              <w:rPr>
                <w:b w:val="0"/>
              </w:rPr>
              <w:t>4 person-days</w:t>
            </w:r>
          </w:p>
        </w:tc>
        <w:tc>
          <w:tcPr>
            <w:tcW w:type="dxa" w:w="2436"/>
          </w:tcPr>
          <w:p>
            <w:r/>
            <w:r>
              <w:rPr>
                <w:b w:val="0"/>
              </w:rPr>
              <w:t>₹ ____________</w:t>
            </w:r>
          </w:p>
        </w:tc>
      </w:tr>
      <w:tr>
        <w:tc>
          <w:tcPr>
            <w:tcW w:type="dxa" w:w="2436"/>
          </w:tcPr>
          <w:p>
            <w:r/>
            <w:r>
              <w:rPr>
                <w:b w:val="0"/>
              </w:rPr>
            </w:r>
          </w:p>
        </w:tc>
        <w:tc>
          <w:tcPr>
            <w:tcW w:type="dxa" w:w="2436"/>
          </w:tcPr>
          <w:p>
            <w:r/>
            <w:r>
              <w:rPr>
                <w:b w:val="0"/>
              </w:rPr>
              <w:t>One-time Implementation Fee (Total)</w:t>
            </w:r>
          </w:p>
        </w:tc>
        <w:tc>
          <w:tcPr>
            <w:tcW w:type="dxa" w:w="2436"/>
          </w:tcPr>
          <w:p>
            <w:r/>
            <w:r>
              <w:rPr>
                <w:b w:val="0"/>
              </w:rPr>
              <w:t>4 person-days</w:t>
            </w:r>
          </w:p>
        </w:tc>
        <w:tc>
          <w:tcPr>
            <w:tcW w:type="dxa" w:w="2436"/>
          </w:tcPr>
          <w:p>
            <w:r/>
            <w:r>
              <w:rPr>
                <w:b w:val="0"/>
              </w:rPr>
              <w:t>₹ ____________</w:t>
            </w:r>
          </w:p>
        </w:tc>
      </w:tr>
    </w:tbl>
    <w:p>
      <w:pPr>
        <w:pStyle w:val="ListBullet"/>
      </w:pPr>
      <w:r>
        <w:t>Amounts are to be finalised and are shown as placeholders pending commercial confirmation.</w:t>
      </w:r>
    </w:p>
    <w:p>
      <w:pPr>
        <w:pStyle w:val="ListBullet"/>
      </w:pPr>
      <w:r>
        <w:t>Taxes (GST) as applicable will be charged additionally.</w:t>
      </w:r>
    </w:p>
    <w:p>
      <w:pPr>
        <w:pStyle w:val="ListBullet"/>
      </w:pPr>
      <w:r>
        <w:t>This capability has already been designed and delivered in the portal; this CR formalises and re-baselines it in line with the CR Report recommendation.</w:t>
      </w:r>
    </w:p>
    <w:p/>
    <w:p>
      <w:pPr>
        <w:pStyle w:val="Heading1"/>
      </w:pPr>
      <w:r>
        <w:t>10. Assumptions &amp; Client Dependencies</w:t>
      </w:r>
    </w:p>
    <w:p>
      <w:pPr>
        <w:pStyle w:val="ListBullet"/>
      </w:pPr>
      <w:r>
        <w:t>The capability described has been reviewed against the delivered portal and the CR Report (Delivered Scope vs. SRS).</w:t>
      </w:r>
    </w:p>
    <w:p>
      <w:pPr>
        <w:pStyle w:val="ListBullet"/>
      </w:pPr>
      <w:r>
        <w:t>Client-side stakeholders are available to review the delivered functionality and provide sign-off.</w:t>
      </w:r>
    </w:p>
    <w:p>
      <w:pPr>
        <w:pStyle w:val="ListBullet"/>
      </w:pPr>
      <w:r>
        <w:t>No further functional change or scope expansion is introduced under this CR beyond what is already delivered.</w:t>
      </w:r>
    </w:p>
    <w:p>
      <w:pPr>
        <w:pStyle w:val="ListBullet"/>
      </w:pPr>
      <w:r>
        <w:t>Existing master and transactional data required by this capability is available and reasonably clean.</w:t>
      </w:r>
    </w:p>
    <w:p>
      <w:pPr>
        <w:pStyle w:val="ListBullet"/>
      </w:pPr>
      <w:r>
        <w:t>Master values (PTS/PTR/pack size, stockist HQ/division, etc.) are available so Reload can recompute correctly.</w:t>
      </w:r>
    </w:p>
    <w:p/>
    <w:p>
      <w:pPr>
        <w:pStyle w:val="Heading1"/>
      </w:pPr>
      <w:r>
        <w:t>11. Risks &amp; Mitigation</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Risk</w:t>
            </w:r>
          </w:p>
        </w:tc>
        <w:tc>
          <w:tcPr>
            <w:tcW w:type="dxa" w:w="4873"/>
            <w:shd w:val="clear" w:color="auto" w:fill="1F4E79"/>
          </w:tcPr>
          <w:p>
            <w:r/>
            <w:r>
              <w:rPr>
                <w:b/>
                <w:color w:val="FFFFFF"/>
                <w:sz w:val="20"/>
              </w:rPr>
              <w:t>Mitigation</w:t>
            </w:r>
          </w:p>
        </w:tc>
      </w:tr>
      <w:tr>
        <w:tc>
          <w:tcPr>
            <w:tcW w:type="dxa" w:w="4873"/>
          </w:tcPr>
          <w:p>
            <w:r/>
            <w:r>
              <w:rPr>
                <w:b w:val="0"/>
              </w:rPr>
              <w:t>Accidental data deletion</w:t>
            </w:r>
          </w:p>
        </w:tc>
        <w:tc>
          <w:tcPr>
            <w:tcW w:type="dxa" w:w="4873"/>
          </w:tcPr>
          <w:p>
            <w:r/>
            <w:r>
              <w:rPr>
                <w:b w:val="0"/>
              </w:rPr>
              <w:t>Mandatory reason capture on delete and bulk delete; auditable actions.</w:t>
            </w:r>
          </w:p>
        </w:tc>
      </w:tr>
      <w:tr>
        <w:tc>
          <w:tcPr>
            <w:tcW w:type="dxa" w:w="4873"/>
          </w:tcPr>
          <w:p>
            <w:r/>
            <w:r>
              <w:rPr>
                <w:b w:val="0"/>
              </w:rPr>
              <w:t>Stale statement totals after master change</w:t>
            </w:r>
          </w:p>
        </w:tc>
        <w:tc>
          <w:tcPr>
            <w:tcW w:type="dxa" w:w="4873"/>
          </w:tcPr>
          <w:p>
            <w:r/>
            <w:r>
              <w:rPr>
                <w:b w:val="0"/>
              </w:rPr>
              <w:t>Reload Statements recomputes totals from the latest master values.</w:t>
            </w:r>
          </w:p>
        </w:tc>
      </w:tr>
      <w:tr>
        <w:tc>
          <w:tcPr>
            <w:tcW w:type="dxa" w:w="4873"/>
          </w:tcPr>
          <w:p>
            <w:r/>
            <w:r>
              <w:rPr>
                <w:b w:val="0"/>
              </w:rPr>
              <w:t>Non-compliant scheme entries</w:t>
            </w:r>
          </w:p>
        </w:tc>
        <w:tc>
          <w:tcPr>
            <w:tcW w:type="dxa" w:w="4873"/>
          </w:tcPr>
          <w:p>
            <w:r/>
            <w:r>
              <w:rPr>
                <w:b w:val="0"/>
              </w:rPr>
              <w:t>Doctor monthly-limit check enforced during scheme entry.</w:t>
            </w:r>
          </w:p>
        </w:tc>
      </w:tr>
    </w:tbl>
    <w:p/>
    <w:p>
      <w:pPr>
        <w:pStyle w:val="Heading1"/>
      </w:pPr>
      <w:r>
        <w:t>12. Deliverables</w:t>
      </w:r>
    </w:p>
    <w:p>
      <w:pPr>
        <w:pStyle w:val="ListBullet"/>
      </w:pPr>
      <w:r>
        <w:t>Working Reload Statements, delete/bulk delete, Repeat Request and archive export utilities.</w:t>
      </w:r>
    </w:p>
    <w:p>
      <w:pPr>
        <w:pStyle w:val="ListBullet"/>
      </w:pPr>
      <w:r>
        <w:t>Spreadsheet preview and the doctor monthly-limit check.</w:t>
      </w:r>
    </w:p>
    <w:p>
      <w:pPr>
        <w:pStyle w:val="ListBullet"/>
      </w:pPr>
      <w:r>
        <w:t>UAT sign-off of the utilities.</w:t>
      </w:r>
    </w:p>
    <w:p/>
    <w:p>
      <w:pPr>
        <w:pStyle w:val="Heading1"/>
      </w:pPr>
      <w:r>
        <w:t>13. Acceptance Criteria</w:t>
      </w:r>
    </w:p>
    <w:p>
      <w:pPr>
        <w:pStyle w:val="ListBullet"/>
      </w:pPr>
      <w:r>
        <w:t>Reload Statements recomputes totals correctly after a master change.</w:t>
      </w:r>
    </w:p>
    <w:p>
      <w:pPr>
        <w:pStyle w:val="ListBullet"/>
      </w:pPr>
      <w:r>
        <w:t>Delete and bulk delete require a reason and behave safely.</w:t>
      </w:r>
    </w:p>
    <w:p>
      <w:pPr>
        <w:pStyle w:val="ListBullet"/>
      </w:pPr>
      <w:r>
        <w:t>Repeat Request, archive export and the monthly-limit check work as expected.</w:t>
      </w:r>
    </w:p>
    <w:p/>
    <w:p>
      <w:pPr>
        <w:pStyle w:val="Heading1"/>
      </w:pPr>
      <w:r>
        <w:t>14. Approval &amp; Sign-off</w:t>
      </w:r>
    </w:p>
    <w:p>
      <w: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For Kodivian Technologies LLP</w:t>
            </w:r>
          </w:p>
        </w:tc>
        <w:tc>
          <w:tcPr>
            <w:tcW w:type="dxa" w:w="4873"/>
            <w:shd w:val="clear" w:color="auto" w:fill="1F4E79"/>
          </w:tcPr>
          <w:p>
            <w:r/>
            <w:r>
              <w:rPr>
                <w:b/>
                <w:color w:val="FFFFFF"/>
                <w:sz w:val="20"/>
              </w:rPr>
              <w:t>For Stedman Pharmaceuticals</w:t>
            </w:r>
          </w:p>
        </w:tc>
      </w:tr>
      <w:tr>
        <w:tc>
          <w:tcPr>
            <w:tcW w:type="dxa" w:w="4873"/>
          </w:tcPr>
          <w:p>
            <w:r/>
            <w:r>
              <w:rPr>
                <w:b w:val="0"/>
              </w:rPr>
              <w:t>Name: ____________________________</w:t>
            </w:r>
          </w:p>
        </w:tc>
        <w:tc>
          <w:tcPr>
            <w:tcW w:type="dxa" w:w="4873"/>
          </w:tcPr>
          <w:p>
            <w:r/>
            <w:r>
              <w:rPr>
                <w:b w:val="0"/>
              </w:rPr>
              <w:t>Name: ____________________________</w:t>
            </w:r>
          </w:p>
        </w:tc>
      </w:tr>
      <w:tr>
        <w:tc>
          <w:tcPr>
            <w:tcW w:type="dxa" w:w="4873"/>
          </w:tcPr>
          <w:p>
            <w:r/>
            <w:r>
              <w:rPr>
                <w:b w:val="0"/>
              </w:rPr>
              <w:t>Designation: ______________________</w:t>
            </w:r>
          </w:p>
        </w:tc>
        <w:tc>
          <w:tcPr>
            <w:tcW w:type="dxa" w:w="4873"/>
          </w:tcPr>
          <w:p>
            <w:r/>
            <w:r>
              <w:rPr>
                <w:b w:val="0"/>
              </w:rPr>
              <w:t>Designation: ______________________</w:t>
            </w:r>
          </w:p>
        </w:tc>
      </w:tr>
      <w:tr>
        <w:tc>
          <w:tcPr>
            <w:tcW w:type="dxa" w:w="4873"/>
          </w:tcPr>
          <w:p>
            <w:r/>
            <w:r>
              <w:rPr>
                <w:b w:val="0"/>
              </w:rPr>
              <w:t>Signature &amp; Date: __________________</w:t>
            </w:r>
          </w:p>
        </w:tc>
        <w:tc>
          <w:tcPr>
            <w:tcW w:type="dxa" w:w="4873"/>
          </w:tcPr>
          <w:p>
            <w:r/>
            <w:r>
              <w:rPr>
                <w:b w:val="0"/>
              </w:rPr>
              <w:t>Signature &amp; Date: __________________</w:t>
            </w:r>
          </w:p>
        </w:tc>
      </w:tr>
    </w:tbl>
    <w:p/>
    <w:p>
      <w:pPr>
        <w:spacing w:after="40"/>
        <w:jc w:val="center"/>
      </w:pPr>
      <w:r>
        <w:rPr>
          <w:b w:val="0"/>
          <w:color w:val="595959"/>
          <w:sz w:val="21"/>
        </w:rPr>
        <w:t>— End of Change Request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