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2E74B5"/>
          <w:sz w:val="26"/>
        </w:rPr>
        <w:t>KODIVIAN TECHNOLOGIES LLP</w:t>
      </w:r>
    </w:p>
    <w:p>
      <w:pPr>
        <w:spacing w:after="40"/>
        <w:jc w:val="center"/>
      </w:pPr>
      <w:r>
        <w:rPr>
          <w:b w:val="0"/>
          <w:color w:val="595959"/>
          <w:sz w:val="18"/>
        </w:rPr>
        <w:t>ISO 27001 Certified  |  A SS Group Company</w:t>
      </w:r>
    </w:p>
    <w:p/>
    <w:p>
      <w:pPr>
        <w:spacing w:after="40"/>
        <w:jc w:val="center"/>
      </w:pPr>
      <w:r>
        <w:rPr>
          <w:b/>
          <w:color w:val="1F4E79"/>
          <w:sz w:val="60"/>
        </w:rPr>
        <w:t>CHANGE REQUEST</w:t>
      </w:r>
    </w:p>
    <w:p>
      <w:pPr>
        <w:spacing w:after="40"/>
        <w:jc w:val="center"/>
      </w:pPr>
      <w:r>
        <w:rPr>
          <w:b/>
          <w:color w:val="2E74B5"/>
          <w:sz w:val="34"/>
        </w:rPr>
        <w:t>&amp; Implementation Proposal</w:t>
      </w:r>
    </w:p>
    <w:p>
      <w:pPr>
        <w:spacing w:after="40"/>
        <w:jc w:val="center"/>
      </w:pPr>
      <w:r>
        <w:rPr>
          <w:b/>
          <w:color w:val="222222"/>
          <w:sz w:val="26"/>
        </w:rPr>
        <w:t>Primary Sales Management – Record CRUD, Month Delete &amp; Export</w:t>
      </w:r>
    </w:p>
    <w:p>
      <w:pPr>
        <w:spacing w:after="40"/>
        <w:jc w:val="center"/>
      </w:pPr>
      <w:r>
        <w:rPr>
          <w:b w:val="0"/>
          <w:color w:val="595959"/>
          <w:sz w:val="23"/>
        </w:rPr>
        <w:t>Delivered Functional Scope beyond the approved SRS (Release 1.1)</w:t>
      </w:r>
    </w:p>
    <w:p>
      <w:pPr>
        <w:spacing w:after="40"/>
        <w:jc w:val="center"/>
      </w:pPr>
      <w:r>
        <w:rPr>
          <w:b w:val="0"/>
          <w:color w:val="595959"/>
          <w:sz w:val="21"/>
        </w:rPr>
        <w:t>Scheme Management System &amp; Stock Statement Entry Automation</w:t>
      </w:r>
    </w:p>
    <w:p/>
    <w:tbl>
      <w:tblPr>
        <w:tblStyle w:val="TableGrid"/>
        <w:tblW w:type="auto" w:w="0"/>
        <w:tblLook w:firstColumn="1" w:firstRow="1" w:lastColumn="0" w:lastRow="0" w:noHBand="0" w:noVBand="1" w:val="04A0"/>
      </w:tblPr>
      <w:tblGrid>
        <w:gridCol w:w="4873"/>
        <w:gridCol w:w="4873"/>
      </w:tblGrid>
      <w:tr>
        <w:tc>
          <w:tcPr>
            <w:tcW w:type="dxa" w:w="9746"/>
            <w:gridSpan w:val="2"/>
            <w:shd w:val="clear" w:color="auto" w:fill="1F4E79"/>
          </w:tcPr>
          <w:p>
            <w:r/>
            <w:r>
              <w:rPr>
                <w:b/>
                <w:color w:val="FFFFFF"/>
                <w:sz w:val="20"/>
              </w:rPr>
              <w:t>Document Control</w:t>
            </w:r>
          </w:p>
        </w:tc>
      </w:tr>
      <w:tr>
        <w:tc>
          <w:tcPr>
            <w:tcW w:type="dxa" w:w="4873"/>
            <w:shd w:val="clear" w:color="auto" w:fill="DCE6F1"/>
          </w:tcPr>
          <w:p>
            <w:r/>
            <w:r>
              <w:rPr>
                <w:b/>
              </w:rPr>
              <w:t>Document Name</w:t>
            </w:r>
          </w:p>
        </w:tc>
        <w:tc>
          <w:tcPr>
            <w:tcW w:type="dxa" w:w="4873"/>
          </w:tcPr>
          <w:p>
            <w:r/>
            <w:r>
              <w:rPr>
                <w:b w:val="0"/>
              </w:rPr>
              <w:t>Change Request – Primary Sales Management Screens</w:t>
            </w:r>
          </w:p>
        </w:tc>
      </w:tr>
      <w:tr>
        <w:tc>
          <w:tcPr>
            <w:tcW w:type="dxa" w:w="4873"/>
            <w:shd w:val="clear" w:color="auto" w:fill="DCE6F1"/>
          </w:tcPr>
          <w:p>
            <w:r/>
            <w:r>
              <w:rPr>
                <w:b/>
              </w:rPr>
              <w:t>CR Reference No.</w:t>
            </w:r>
          </w:p>
        </w:tc>
        <w:tc>
          <w:tcPr>
            <w:tcW w:type="dxa" w:w="4873"/>
          </w:tcPr>
          <w:p>
            <w:r/>
            <w:r>
              <w:rPr>
                <w:b w:val="0"/>
              </w:rPr>
              <w:t>KT/STED/CR-08</w:t>
            </w:r>
          </w:p>
        </w:tc>
      </w:tr>
      <w:tr>
        <w:tc>
          <w:tcPr>
            <w:tcW w:type="dxa" w:w="4873"/>
            <w:shd w:val="clear" w:color="auto" w:fill="DCE6F1"/>
          </w:tcPr>
          <w:p>
            <w:r/>
            <w:r>
              <w:rPr>
                <w:b/>
              </w:rPr>
              <w:t>CR Report Item</w:t>
            </w:r>
          </w:p>
        </w:tc>
        <w:tc>
          <w:tcPr>
            <w:tcW w:type="dxa" w:w="4873"/>
          </w:tcPr>
          <w:p>
            <w:r/>
            <w:r>
              <w:rPr>
                <w:b w:val="0"/>
              </w:rPr>
              <w:t>CR-08 (CR Report)</w:t>
            </w:r>
          </w:p>
        </w:tc>
      </w:tr>
      <w:tr>
        <w:tc>
          <w:tcPr>
            <w:tcW w:type="dxa" w:w="4873"/>
            <w:shd w:val="clear" w:color="auto" w:fill="DCE6F1"/>
          </w:tcPr>
          <w:p>
            <w:r/>
            <w:r>
              <w:rPr>
                <w:b/>
              </w:rPr>
              <w:t>Classification</w:t>
            </w:r>
          </w:p>
        </w:tc>
        <w:tc>
          <w:tcPr>
            <w:tcW w:type="dxa" w:w="4873"/>
          </w:tcPr>
          <w:p>
            <w:r/>
            <w:r>
              <w:rPr>
                <w:b w:val="0"/>
              </w:rPr>
              <w:t>Scope Expansion</w:t>
            </w:r>
          </w:p>
        </w:tc>
      </w:tr>
      <w:tr>
        <w:tc>
          <w:tcPr>
            <w:tcW w:type="dxa" w:w="4873"/>
            <w:shd w:val="clear" w:color="auto" w:fill="DCE6F1"/>
          </w:tcPr>
          <w:p>
            <w:r/>
            <w:r>
              <w:rPr>
                <w:b/>
              </w:rPr>
              <w:t>Release No.</w:t>
            </w:r>
          </w:p>
        </w:tc>
        <w:tc>
          <w:tcPr>
            <w:tcW w:type="dxa" w:w="4873"/>
          </w:tcPr>
          <w:p>
            <w:r/>
            <w:r>
              <w:rPr>
                <w:b w:val="0"/>
              </w:rPr>
              <w:t>1.0</w:t>
            </w:r>
          </w:p>
        </w:tc>
      </w:tr>
      <w:tr>
        <w:tc>
          <w:tcPr>
            <w:tcW w:type="dxa" w:w="4873"/>
            <w:shd w:val="clear" w:color="auto" w:fill="DCE6F1"/>
          </w:tcPr>
          <w:p>
            <w:r/>
            <w:r>
              <w:rPr>
                <w:b/>
              </w:rPr>
              <w:t>Date of Release</w:t>
            </w:r>
          </w:p>
        </w:tc>
        <w:tc>
          <w:tcPr>
            <w:tcW w:type="dxa" w:w="4873"/>
          </w:tcPr>
          <w:p>
            <w:r/>
            <w:r>
              <w:rPr>
                <w:b w:val="0"/>
              </w:rPr>
              <w:t>3rd July 2026</w:t>
            </w:r>
          </w:p>
        </w:tc>
      </w:tr>
      <w:tr>
        <w:tc>
          <w:tcPr>
            <w:tcW w:type="dxa" w:w="4873"/>
            <w:shd w:val="clear" w:color="auto" w:fill="DCE6F1"/>
          </w:tcPr>
          <w:p>
            <w:r/>
            <w:r>
              <w:rPr>
                <w:b/>
              </w:rPr>
              <w:t>Client</w:t>
            </w:r>
          </w:p>
        </w:tc>
        <w:tc>
          <w:tcPr>
            <w:tcW w:type="dxa" w:w="4873"/>
          </w:tcPr>
          <w:p>
            <w:r/>
            <w:r>
              <w:rPr>
                <w:b w:val="0"/>
              </w:rPr>
              <w:t>Stedman Pharmaceuticals</w:t>
            </w:r>
          </w:p>
        </w:tc>
      </w:tr>
      <w:tr>
        <w:tc>
          <w:tcPr>
            <w:tcW w:type="dxa" w:w="4873"/>
            <w:shd w:val="clear" w:color="auto" w:fill="DCE6F1"/>
          </w:tcPr>
          <w:p>
            <w:r/>
            <w:r>
              <w:rPr>
                <w:b/>
              </w:rPr>
              <w:t>Prepared By</w:t>
            </w:r>
          </w:p>
        </w:tc>
        <w:tc>
          <w:tcPr>
            <w:tcW w:type="dxa" w:w="4873"/>
          </w:tcPr>
          <w:p>
            <w:r/>
            <w:r>
              <w:rPr>
                <w:b w:val="0"/>
              </w:rPr>
              <w:t>Kodivian Technologies LLP</w:t>
            </w:r>
          </w:p>
        </w:tc>
      </w:tr>
      <w:tr>
        <w:tc>
          <w:tcPr>
            <w:tcW w:type="dxa" w:w="4873"/>
            <w:shd w:val="clear" w:color="auto" w:fill="DCE6F1"/>
          </w:tcPr>
          <w:p>
            <w:r/>
            <w:r>
              <w:rPr>
                <w:b/>
              </w:rPr>
              <w:t>Reviewed By</w:t>
            </w:r>
          </w:p>
        </w:tc>
        <w:tc>
          <w:tcPr>
            <w:tcW w:type="dxa" w:w="4873"/>
          </w:tcPr>
          <w:p>
            <w:r/>
            <w:r>
              <w:rPr>
                <w:b w:val="0"/>
              </w:rPr>
              <w:t>Vijay Sabari</w:t>
            </w:r>
          </w:p>
        </w:tc>
      </w:tr>
      <w:tr>
        <w:tc>
          <w:tcPr>
            <w:tcW w:type="dxa" w:w="4873"/>
            <w:shd w:val="clear" w:color="auto" w:fill="DCE6F1"/>
          </w:tcPr>
          <w:p>
            <w:r/>
            <w:r>
              <w:rPr>
                <w:b/>
              </w:rPr>
              <w:t>Approved By</w:t>
            </w:r>
          </w:p>
        </w:tc>
        <w:tc>
          <w:tcPr>
            <w:tcW w:type="dxa" w:w="4873"/>
          </w:tcPr>
          <w:p>
            <w:r/>
            <w:r>
              <w:rPr>
                <w:b w:val="0"/>
              </w:rPr>
              <w:t>________________________</w:t>
            </w:r>
          </w:p>
        </w:tc>
      </w:tr>
      <w:tr>
        <w:tc>
          <w:tcPr>
            <w:tcW w:type="dxa" w:w="4873"/>
            <w:shd w:val="clear" w:color="auto" w:fill="DCE6F1"/>
          </w:tcPr>
          <w:p>
            <w:r/>
            <w:r>
              <w:rPr>
                <w:b/>
              </w:rPr>
              <w:t>Approved Date</w:t>
            </w:r>
          </w:p>
        </w:tc>
        <w:tc>
          <w:tcPr>
            <w:tcW w:type="dxa" w:w="4873"/>
          </w:tcPr>
          <w:p>
            <w:r/>
            <w:r>
              <w:rPr>
                <w:b w:val="0"/>
              </w:rPr>
              <w:t>________________________</w:t>
            </w:r>
          </w:p>
        </w:tc>
      </w:tr>
    </w:tbl>
    <w:p/>
    <w:p>
      <w:pPr>
        <w:pStyle w:val="Heading1"/>
      </w:pPr>
      <w:r>
        <w:t>1. Purpose of this Change Request</w:t>
      </w:r>
    </w:p>
    <w:p>
      <w:r>
        <w:t>This Change Request is raised by Kodivian Technologies LLP for Stedman Pharmaceuticals to formally document, scope, estimate and obtain approval for the primary sales management screens delivered in the Scanify portal. This item corresponds to Change Item CR-08 in the CR Report.</w:t>
      </w:r>
    </w:p>
    <w:p>
      <w:r>
        <w:t>The SRS (Rel. 1.1) specified only bulk upload for primary sales data. The delivered portal adds full management screens over that data. This CR captures that expansion for formal re-baselining and commercial settlement.</w:t>
      </w:r>
    </w:p>
    <w:p/>
    <w:p>
      <w:pPr>
        <w:pStyle w:val="Heading1"/>
      </w:pPr>
      <w:r>
        <w:t>2. Background &amp; Context</w:t>
      </w:r>
    </w:p>
    <w:p>
      <w:r>
        <w:t>Primary sales data (Prima, Vektra, ASPR, Wellness, Other Sales) was, per the SRS, a one-way bulk upload with no ongoing management.</w:t>
      </w:r>
    </w:p>
    <w:p>
      <w:r>
        <w:t>The delivered portal lets users list, edit and correct individual primary-sales records, delete by month with an audit reason, export the data and view moving-trend analytics.</w:t>
      </w:r>
    </w:p>
    <w:p>
      <w:r>
        <w:t>SRS baseline vs. delivered capability:</w:t>
      </w:r>
    </w:p>
    <w:tbl>
      <w:tblPr>
        <w:tblStyle w:val="TableGrid"/>
        <w:tblW w:type="auto" w:w="0"/>
        <w:tblLook w:firstColumn="1" w:firstRow="1" w:lastColumn="0" w:lastRow="0" w:noHBand="0" w:noVBand="1" w:val="04A0"/>
      </w:tblPr>
      <w:tblGrid>
        <w:gridCol w:w="4873"/>
        <w:gridCol w:w="4873"/>
      </w:tblGrid>
      <w:tr>
        <w:tc>
          <w:tcPr>
            <w:tcW w:type="dxa" w:w="4873"/>
            <w:shd w:val="clear" w:color="auto" w:fill="1F4E79"/>
          </w:tcPr>
          <w:p>
            <w:r/>
            <w:r>
              <w:rPr>
                <w:b/>
                <w:color w:val="FFFFFF"/>
                <w:sz w:val="20"/>
              </w:rPr>
              <w:t>SRS Baseline (Rel. 1.1)</w:t>
            </w:r>
          </w:p>
        </w:tc>
        <w:tc>
          <w:tcPr>
            <w:tcW w:type="dxa" w:w="4873"/>
            <w:shd w:val="clear" w:color="auto" w:fill="1F4E79"/>
          </w:tcPr>
          <w:p>
            <w:r/>
            <w:r>
              <w:rPr>
                <w:b/>
                <w:color w:val="FFFFFF"/>
                <w:sz w:val="20"/>
              </w:rPr>
              <w:t>Delivered in the Portal</w:t>
            </w:r>
          </w:p>
        </w:tc>
      </w:tr>
      <w:tr>
        <w:tc>
          <w:tcPr>
            <w:tcW w:type="dxa" w:w="4873"/>
          </w:tcPr>
          <w:p>
            <w:r/>
            <w:r>
              <w:rPr>
                <w:b w:val="0"/>
              </w:rPr>
              <w:t>Bulk upload of primary sales data (Prima, Vektra, ASPR, Wellness, Other Sales) only.</w:t>
            </w:r>
          </w:p>
        </w:tc>
        <w:tc>
          <w:tcPr>
            <w:tcW w:type="dxa" w:w="4873"/>
          </w:tcPr>
          <w:p>
            <w:r/>
            <w:r>
              <w:rPr>
                <w:b w:val="0"/>
              </w:rPr>
              <w:t>A paginated Primary Sales Data list with inline edit / save / delete of individual records.</w:t>
            </w:r>
          </w:p>
        </w:tc>
      </w:tr>
      <w:tr>
        <w:tc>
          <w:tcPr>
            <w:tcW w:type="dxa" w:w="4873"/>
          </w:tcPr>
          <w:p>
            <w:r/>
            <w:r>
              <w:rPr>
                <w:b w:val="0"/>
              </w:rPr>
              <w:t>No record-level management.</w:t>
            </w:r>
          </w:p>
        </w:tc>
        <w:tc>
          <w:tcPr>
            <w:tcW w:type="dxa" w:w="4873"/>
          </w:tcPr>
          <w:p>
            <w:r/>
            <w:r>
              <w:rPr>
                <w:b w:val="0"/>
              </w:rPr>
              <w:t>Delete-by-month with mandatory reason capture.</w:t>
            </w:r>
          </w:p>
        </w:tc>
      </w:tr>
      <w:tr>
        <w:tc>
          <w:tcPr>
            <w:tcW w:type="dxa" w:w="4873"/>
          </w:tcPr>
          <w:p>
            <w:r/>
            <w:r>
              <w:rPr>
                <w:b w:val="0"/>
              </w:rPr>
              <w:t>No export or analytics on primary sales.</w:t>
            </w:r>
          </w:p>
        </w:tc>
        <w:tc>
          <w:tcPr>
            <w:tcW w:type="dxa" w:w="4873"/>
          </w:tcPr>
          <w:p>
            <w:r/>
            <w:r>
              <w:rPr>
                <w:b w:val="0"/>
              </w:rPr>
              <w:t>Primary-sales export and primary-sales moving-trend analytics.</w:t>
            </w:r>
          </w:p>
        </w:tc>
      </w:tr>
    </w:tbl>
    <w:p/>
    <w:p>
      <w:pPr>
        <w:pStyle w:val="Heading1"/>
      </w:pPr>
      <w:r>
        <w:t>3. Business Justification (Reason for Change)</w:t>
      </w:r>
    </w:p>
    <w:p>
      <w:r>
        <w:t>Granular management of primary sales data is needed to keep it correct and useful beyond a one-way upload:</w:t>
      </w:r>
    </w:p>
    <w:p>
      <w:pPr>
        <w:pStyle w:val="ListBullet"/>
      </w:pPr>
      <w:r>
        <w:t>Individual records can be corrected inline rather than re-uploading an entire file.</w:t>
      </w:r>
    </w:p>
    <w:p>
      <w:pPr>
        <w:pStyle w:val="ListBullet"/>
      </w:pPr>
      <w:r>
        <w:t>Delete-by-month with a mandatory reason gives safe, auditable correction of a whole period.</w:t>
      </w:r>
    </w:p>
    <w:p>
      <w:pPr>
        <w:pStyle w:val="ListBullet"/>
      </w:pPr>
      <w:r>
        <w:t>Export supports downstream reconciliation and sharing.</w:t>
      </w:r>
    </w:p>
    <w:p>
      <w:pPr>
        <w:pStyle w:val="ListBullet"/>
      </w:pPr>
      <w:r>
        <w:t>Moving-trend analytics turn raw primary-sales data into insight.</w:t>
      </w:r>
    </w:p>
    <w:p>
      <w:r>
        <w:t>Granular record management and analytics beyond a one-way bulk-upload utility exceed the SRS and are therefore raised as a formal scope expansion.</w:t>
      </w:r>
    </w:p>
    <w:p/>
    <w:p>
      <w:pPr>
        <w:pStyle w:val="Heading1"/>
      </w:pPr>
      <w:r>
        <w:t>4. Proposed Change – Delivered Capability</w:t>
      </w:r>
    </w:p>
    <w:p>
      <w:r>
        <w:t>The delivered primary sales management provides the following in the portal:</w:t>
      </w:r>
    </w:p>
    <w:tbl>
      <w:tblPr>
        <w:tblStyle w:val="TableGrid"/>
        <w:tblW w:type="auto" w:w="0"/>
        <w:tblLook w:firstColumn="1" w:firstRow="1" w:lastColumn="0" w:lastRow="0" w:noHBand="0" w:noVBand="1" w:val="04A0"/>
      </w:tblPr>
      <w:tblGrid>
        <w:gridCol w:w="4873"/>
        <w:gridCol w:w="4873"/>
      </w:tblGrid>
      <w:tr>
        <w:tc>
          <w:tcPr>
            <w:tcW w:type="dxa" w:w="4873"/>
            <w:shd w:val="clear" w:color="auto" w:fill="1F4E79"/>
          </w:tcPr>
          <w:p>
            <w:r/>
            <w:r>
              <w:rPr>
                <w:b/>
                <w:color w:val="FFFFFF"/>
                <w:sz w:val="20"/>
              </w:rPr>
              <w:t>Capability</w:t>
            </w:r>
          </w:p>
        </w:tc>
        <w:tc>
          <w:tcPr>
            <w:tcW w:type="dxa" w:w="4873"/>
            <w:shd w:val="clear" w:color="auto" w:fill="1F4E79"/>
          </w:tcPr>
          <w:p>
            <w:r/>
            <w:r>
              <w:rPr>
                <w:b/>
                <w:color w:val="FFFFFF"/>
                <w:sz w:val="20"/>
              </w:rPr>
              <w:t>Description</w:t>
            </w:r>
          </w:p>
        </w:tc>
      </w:tr>
      <w:tr>
        <w:tc>
          <w:tcPr>
            <w:tcW w:type="dxa" w:w="4873"/>
          </w:tcPr>
          <w:p>
            <w:r/>
            <w:r>
              <w:rPr>
                <w:b w:val="0"/>
              </w:rPr>
              <w:t>Record list &amp; CRUD</w:t>
            </w:r>
          </w:p>
        </w:tc>
        <w:tc>
          <w:tcPr>
            <w:tcW w:type="dxa" w:w="4873"/>
          </w:tcPr>
          <w:p>
            <w:r/>
            <w:r>
              <w:rPr>
                <w:b w:val="0"/>
              </w:rPr>
              <w:t>A paginated Primary Sales Data list with inline edit / save / delete of individual records.</w:t>
            </w:r>
          </w:p>
        </w:tc>
      </w:tr>
      <w:tr>
        <w:tc>
          <w:tcPr>
            <w:tcW w:type="dxa" w:w="4873"/>
          </w:tcPr>
          <w:p>
            <w:r/>
            <w:r>
              <w:rPr>
                <w:b w:val="0"/>
              </w:rPr>
              <w:t>Month delete</w:t>
            </w:r>
          </w:p>
        </w:tc>
        <w:tc>
          <w:tcPr>
            <w:tcW w:type="dxa" w:w="4873"/>
          </w:tcPr>
          <w:p>
            <w:r/>
            <w:r>
              <w:rPr>
                <w:b w:val="0"/>
              </w:rPr>
              <w:t>Delete-by-month with mandatory reason capture.</w:t>
            </w:r>
          </w:p>
        </w:tc>
      </w:tr>
      <w:tr>
        <w:tc>
          <w:tcPr>
            <w:tcW w:type="dxa" w:w="4873"/>
          </w:tcPr>
          <w:p>
            <w:r/>
            <w:r>
              <w:rPr>
                <w:b w:val="0"/>
              </w:rPr>
              <w:t>Export</w:t>
            </w:r>
          </w:p>
        </w:tc>
        <w:tc>
          <w:tcPr>
            <w:tcW w:type="dxa" w:w="4873"/>
          </w:tcPr>
          <w:p>
            <w:r/>
            <w:r>
              <w:rPr>
                <w:b w:val="0"/>
              </w:rPr>
              <w:t>Primary-sales export.</w:t>
            </w:r>
          </w:p>
        </w:tc>
      </w:tr>
      <w:tr>
        <w:tc>
          <w:tcPr>
            <w:tcW w:type="dxa" w:w="4873"/>
          </w:tcPr>
          <w:p>
            <w:r/>
            <w:r>
              <w:rPr>
                <w:b w:val="0"/>
              </w:rPr>
              <w:t>Analytics</w:t>
            </w:r>
          </w:p>
        </w:tc>
        <w:tc>
          <w:tcPr>
            <w:tcW w:type="dxa" w:w="4873"/>
          </w:tcPr>
          <w:p>
            <w:r/>
            <w:r>
              <w:rPr>
                <w:b w:val="0"/>
              </w:rPr>
              <w:t>Primary-sales moving-trend analytics.</w:t>
            </w:r>
          </w:p>
        </w:tc>
      </w:tr>
    </w:tbl>
    <w:p/>
    <w:p>
      <w:pPr>
        <w:pStyle w:val="Heading1"/>
      </w:pPr>
      <w:r>
        <w:t>5. Scope of Work</w:t>
      </w:r>
    </w:p>
    <w:p>
      <w:r>
        <w:t>5.1 In Scope</w:t>
      </w:r>
    </w:p>
    <w:p>
      <w:pPr>
        <w:pStyle w:val="ListBullet"/>
      </w:pPr>
      <w:r>
        <w:t>Paginated Primary Sales Data list.</w:t>
      </w:r>
    </w:p>
    <w:p>
      <w:pPr>
        <w:pStyle w:val="ListBullet"/>
      </w:pPr>
      <w:r>
        <w:t>Inline edit / save / delete of individual primary-sales records.</w:t>
      </w:r>
    </w:p>
    <w:p>
      <w:pPr>
        <w:pStyle w:val="ListBullet"/>
      </w:pPr>
      <w:r>
        <w:t>Delete-by-month with mandatory reason capture.</w:t>
      </w:r>
    </w:p>
    <w:p>
      <w:pPr>
        <w:pStyle w:val="ListBullet"/>
      </w:pPr>
      <w:r>
        <w:t>Primary-sales export.</w:t>
      </w:r>
    </w:p>
    <w:p>
      <w:pPr>
        <w:pStyle w:val="ListBullet"/>
      </w:pPr>
      <w:r>
        <w:t>Primary-sales moving-trend analytics.</w:t>
      </w:r>
    </w:p>
    <w:p>
      <w:pPr>
        <w:pStyle w:val="ListBullet"/>
      </w:pPr>
      <w:r>
        <w:t>Functional testing and UAT support.</w:t>
      </w:r>
    </w:p>
    <w:p>
      <w:r>
        <w:t>5.2 Out of Scope</w:t>
      </w:r>
    </w:p>
    <w:p>
      <w:pPr>
        <w:pStyle w:val="ListBullet"/>
      </w:pPr>
      <w:r>
        <w:t>Changes to the primary-sales bulk-upload intake beyond exposing the managed records.</w:t>
      </w:r>
    </w:p>
    <w:p>
      <w:pPr>
        <w:pStyle w:val="ListBullet"/>
      </w:pPr>
      <w:r>
        <w:t>Data cleansing or correction of pre-existing master/transactional data-quality issues.</w:t>
      </w:r>
    </w:p>
    <w:p>
      <w:pPr>
        <w:pStyle w:val="ListBullet"/>
      </w:pPr>
      <w:r>
        <w:t>Ongoing production support / AMC, which can be covered under a separate support agreement.</w:t>
      </w:r>
    </w:p>
    <w:p>
      <w:pPr>
        <w:pStyle w:val="ListBullet"/>
      </w:pPr>
      <w:r>
        <w:t>Any new functional change or scope expansion requested after sign-off, which will be raised as a separate CR.</w:t>
      </w:r>
    </w:p>
    <w:p/>
    <w:p>
      <w:pPr>
        <w:pStyle w:val="Heading1"/>
      </w:pPr>
      <w:r>
        <w:t>6. Delivery Approach &amp; Methodology</w:t>
      </w:r>
    </w:p>
    <w:p>
      <w:r>
        <w:t>The screens were delivered in a controlled, phased manner:</w:t>
      </w:r>
    </w:p>
    <w:tbl>
      <w:tblPr>
        <w:tblStyle w:val="TableGrid"/>
        <w:tblW w:type="auto" w:w="0"/>
        <w:tblLook w:firstColumn="1" w:firstRow="1" w:lastColumn="0" w:lastRow="0" w:noHBand="0" w:noVBand="1" w:val="04A0"/>
      </w:tblPr>
      <w:tblGrid>
        <w:gridCol w:w="4873"/>
        <w:gridCol w:w="4873"/>
      </w:tblGrid>
      <w:tr>
        <w:tc>
          <w:tcPr>
            <w:tcW w:type="dxa" w:w="4873"/>
            <w:shd w:val="clear" w:color="auto" w:fill="1F4E79"/>
          </w:tcPr>
          <w:p>
            <w:r/>
            <w:r>
              <w:rPr>
                <w:b/>
                <w:color w:val="FFFFFF"/>
                <w:sz w:val="20"/>
              </w:rPr>
              <w:t>Phase</w:t>
            </w:r>
          </w:p>
        </w:tc>
        <w:tc>
          <w:tcPr>
            <w:tcW w:type="dxa" w:w="4873"/>
            <w:shd w:val="clear" w:color="auto" w:fill="1F4E79"/>
          </w:tcPr>
          <w:p>
            <w:r/>
            <w:r>
              <w:rPr>
                <w:b/>
                <w:color w:val="FFFFFF"/>
                <w:sz w:val="20"/>
              </w:rPr>
              <w:t>Key Activities</w:t>
            </w:r>
          </w:p>
        </w:tc>
      </w:tr>
      <w:tr>
        <w:tc>
          <w:tcPr>
            <w:tcW w:type="dxa" w:w="4873"/>
          </w:tcPr>
          <w:p>
            <w:r/>
            <w:r>
              <w:rPr>
                <w:b w:val="0"/>
              </w:rPr>
              <w:t>Phase 1 – List &amp; CRUD</w:t>
            </w:r>
          </w:p>
        </w:tc>
        <w:tc>
          <w:tcPr>
            <w:tcW w:type="dxa" w:w="4873"/>
          </w:tcPr>
          <w:p>
            <w:r/>
            <w:r>
              <w:rPr>
                <w:b w:val="0"/>
              </w:rPr>
              <w:t>Paginated list with inline edit/save/delete of individual records.</w:t>
            </w:r>
          </w:p>
        </w:tc>
      </w:tr>
      <w:tr>
        <w:tc>
          <w:tcPr>
            <w:tcW w:type="dxa" w:w="4873"/>
          </w:tcPr>
          <w:p>
            <w:r/>
            <w:r>
              <w:rPr>
                <w:b w:val="0"/>
              </w:rPr>
              <w:t>Phase 2 – Month delete, export &amp; analytics</w:t>
            </w:r>
          </w:p>
        </w:tc>
        <w:tc>
          <w:tcPr>
            <w:tcW w:type="dxa" w:w="4873"/>
          </w:tcPr>
          <w:p>
            <w:r/>
            <w:r>
              <w:rPr>
                <w:b w:val="0"/>
              </w:rPr>
              <w:t>Delete-by-month with reason; export; moving-trend analytics.</w:t>
            </w:r>
          </w:p>
        </w:tc>
      </w:tr>
      <w:tr>
        <w:tc>
          <w:tcPr>
            <w:tcW w:type="dxa" w:w="4873"/>
          </w:tcPr>
          <w:p>
            <w:r/>
            <w:r>
              <w:rPr>
                <w:b w:val="0"/>
              </w:rPr>
              <w:t>Phase 3 – Validate</w:t>
            </w:r>
          </w:p>
        </w:tc>
        <w:tc>
          <w:tcPr>
            <w:tcW w:type="dxa" w:w="4873"/>
          </w:tcPr>
          <w:p>
            <w:r/>
            <w:r>
              <w:rPr>
                <w:b w:val="0"/>
              </w:rPr>
              <w:t>Functional testing and UAT support.</w:t>
            </w:r>
          </w:p>
        </w:tc>
      </w:tr>
    </w:tbl>
    <w:p/>
    <w:p>
      <w:pPr>
        <w:pStyle w:val="Heading1"/>
      </w:pPr>
      <w:r>
        <w:t>7. Detailed Effort Estimation</w:t>
      </w:r>
    </w:p>
    <w:p>
      <w:r>
        <w:t>The total estimated effort for this change is 3 (three) person-days. The breakdown is as follows: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1F4E79"/>
          </w:tcPr>
          <w:p>
            <w:r/>
            <w:r>
              <w:rPr>
                <w:b/>
                <w:color w:val="FFFFFF"/>
                <w:sz w:val="20"/>
              </w:rPr>
              <w:t>Stage</w:t>
            </w:r>
          </w:p>
        </w:tc>
        <w:tc>
          <w:tcPr>
            <w:tcW w:type="dxa" w:w="3249"/>
            <w:shd w:val="clear" w:color="auto" w:fill="1F4E79"/>
          </w:tcPr>
          <w:p>
            <w:r/>
            <w:r>
              <w:rPr>
                <w:b/>
                <w:color w:val="FFFFFF"/>
                <w:sz w:val="20"/>
              </w:rPr>
              <w:t>Focus</w:t>
            </w:r>
          </w:p>
        </w:tc>
        <w:tc>
          <w:tcPr>
            <w:tcW w:type="dxa" w:w="3249"/>
            <w:shd w:val="clear" w:color="auto" w:fill="1F4E79"/>
          </w:tcPr>
          <w:p>
            <w:r/>
            <w:r>
              <w:rPr>
                <w:b/>
                <w:color w:val="FFFFFF"/>
                <w:sz w:val="20"/>
              </w:rPr>
              <w:t>Activities</w:t>
            </w:r>
          </w:p>
        </w:tc>
      </w:tr>
      <w:tr>
        <w:tc>
          <w:tcPr>
            <w:tcW w:type="dxa" w:w="3249"/>
          </w:tcPr>
          <w:p>
            <w:r/>
            <w:r>
              <w:rPr>
                <w:b w:val="0"/>
              </w:rPr>
              <w:t>Day 1</w:t>
            </w:r>
          </w:p>
        </w:tc>
        <w:tc>
          <w:tcPr>
            <w:tcW w:type="dxa" w:w="3249"/>
          </w:tcPr>
          <w:p>
            <w:r/>
            <w:r>
              <w:rPr>
                <w:b w:val="0"/>
              </w:rPr>
              <w:t>List &amp; record CRUD</w:t>
            </w:r>
          </w:p>
        </w:tc>
        <w:tc>
          <w:tcPr>
            <w:tcW w:type="dxa" w:w="3249"/>
          </w:tcPr>
          <w:p>
            <w:r/>
            <w:r>
              <w:rPr>
                <w:b w:val="0"/>
              </w:rPr>
              <w:t>Paginated Primary Sales Data list; inline edit / save / delete of individual records.</w:t>
            </w:r>
          </w:p>
        </w:tc>
      </w:tr>
      <w:tr>
        <w:tc>
          <w:tcPr>
            <w:tcW w:type="dxa" w:w="3249"/>
          </w:tcPr>
          <w:p>
            <w:r/>
            <w:r>
              <w:rPr>
                <w:b w:val="0"/>
              </w:rPr>
              <w:t>Day 2</w:t>
            </w:r>
          </w:p>
        </w:tc>
        <w:tc>
          <w:tcPr>
            <w:tcW w:type="dxa" w:w="3249"/>
          </w:tcPr>
          <w:p>
            <w:r/>
            <w:r>
              <w:rPr>
                <w:b w:val="0"/>
              </w:rPr>
              <w:t>Month delete, export &amp; analytics</w:t>
            </w:r>
          </w:p>
        </w:tc>
        <w:tc>
          <w:tcPr>
            <w:tcW w:type="dxa" w:w="3249"/>
          </w:tcPr>
          <w:p>
            <w:r/>
            <w:r>
              <w:rPr>
                <w:b w:val="0"/>
              </w:rPr>
              <w:t>Delete-by-month with mandatory reason; primary-sales export; moving-trend analytics.</w:t>
            </w:r>
          </w:p>
        </w:tc>
      </w:tr>
      <w:tr>
        <w:tc>
          <w:tcPr>
            <w:tcW w:type="dxa" w:w="3249"/>
          </w:tcPr>
          <w:p>
            <w:r/>
            <w:r>
              <w:rPr>
                <w:b w:val="0"/>
              </w:rPr>
              <w:t>Day 3</w:t>
            </w:r>
          </w:p>
        </w:tc>
        <w:tc>
          <w:tcPr>
            <w:tcW w:type="dxa" w:w="3249"/>
          </w:tcPr>
          <w:p>
            <w:r/>
            <w:r>
              <w:rPr>
                <w:b w:val="0"/>
              </w:rPr>
              <w:t>Testing &amp; handover</w:t>
            </w:r>
          </w:p>
        </w:tc>
        <w:tc>
          <w:tcPr>
            <w:tcW w:type="dxa" w:w="3249"/>
          </w:tcPr>
          <w:p>
            <w:r/>
            <w:r>
              <w:rPr>
                <w:b w:val="0"/>
              </w:rPr>
              <w:t>Functional testing, UAT support and handover.</w:t>
            </w:r>
          </w:p>
        </w:tc>
      </w:tr>
    </w:tbl>
    <w:p>
      <w:r>
        <w:t>Total Effort: 3 person-days.</w:t>
      </w:r>
    </w:p>
    <w:p>
      <w:r>
        <w:t>Effort is expressed in person-days of dedicated engineering work and reflects the design-and-build effort delivered beyond the SRS baseline, presented here for formal approval and commercial settlement.</w:t>
      </w:r>
    </w:p>
    <w:p/>
    <w:p>
      <w:pPr>
        <w:pStyle w:val="Heading1"/>
      </w:pPr>
      <w:r>
        <w:t>8. Indicative Timeline</w:t>
      </w:r>
    </w:p>
    <w:p>
      <w:r>
        <w:t>Subject to written approval of this CR, the effort is represented as a continuous 3 working-day engagement.</w:t>
      </w:r>
    </w:p>
    <w:tbl>
      <w:tblPr>
        <w:tblStyle w:val="TableGrid"/>
        <w:tblW w:type="auto" w:w="0"/>
        <w:tblLook w:firstColumn="1" w:firstRow="1" w:lastColumn="0" w:lastRow="0" w:noHBand="0" w:noVBand="1" w:val="04A0"/>
      </w:tblPr>
      <w:tblGrid>
        <w:gridCol w:w="4873"/>
        <w:gridCol w:w="4873"/>
      </w:tblGrid>
      <w:tr>
        <w:tc>
          <w:tcPr>
            <w:tcW w:type="dxa" w:w="4873"/>
            <w:shd w:val="clear" w:color="auto" w:fill="1F4E79"/>
          </w:tcPr>
          <w:p>
            <w:r/>
            <w:r>
              <w:rPr>
                <w:b/>
                <w:color w:val="FFFFFF"/>
                <w:sz w:val="20"/>
              </w:rPr>
              <w:t>Milestone</w:t>
            </w:r>
          </w:p>
        </w:tc>
        <w:tc>
          <w:tcPr>
            <w:tcW w:type="dxa" w:w="4873"/>
            <w:shd w:val="clear" w:color="auto" w:fill="1F4E79"/>
          </w:tcPr>
          <w:p>
            <w:r/>
            <w:r>
              <w:rPr>
                <w:b/>
                <w:color w:val="FFFFFF"/>
                <w:sz w:val="20"/>
              </w:rPr>
              <w:t>Target</w:t>
            </w:r>
          </w:p>
        </w:tc>
      </w:tr>
      <w:tr>
        <w:tc>
          <w:tcPr>
            <w:tcW w:type="dxa" w:w="4873"/>
          </w:tcPr>
          <w:p>
            <w:r/>
            <w:r>
              <w:rPr>
                <w:b w:val="0"/>
              </w:rPr>
              <w:t>CR approval &amp; inputs received</w:t>
            </w:r>
          </w:p>
        </w:tc>
        <w:tc>
          <w:tcPr>
            <w:tcW w:type="dxa" w:w="4873"/>
          </w:tcPr>
          <w:p>
            <w:r/>
            <w:r>
              <w:rPr>
                <w:b w:val="0"/>
              </w:rPr>
              <w:t>Day 0</w:t>
            </w:r>
          </w:p>
        </w:tc>
      </w:tr>
      <w:tr>
        <w:tc>
          <w:tcPr>
            <w:tcW w:type="dxa" w:w="4873"/>
          </w:tcPr>
          <w:p>
            <w:r/>
            <w:r>
              <w:rPr>
                <w:b w:val="0"/>
              </w:rPr>
              <w:t>List &amp; record CRUD available</w:t>
            </w:r>
          </w:p>
        </w:tc>
        <w:tc>
          <w:tcPr>
            <w:tcW w:type="dxa" w:w="4873"/>
          </w:tcPr>
          <w:p>
            <w:r/>
            <w:r>
              <w:rPr>
                <w:b w:val="0"/>
              </w:rPr>
              <w:t>End of Day 1</w:t>
            </w:r>
          </w:p>
        </w:tc>
      </w:tr>
      <w:tr>
        <w:tc>
          <w:tcPr>
            <w:tcW w:type="dxa" w:w="4873"/>
          </w:tcPr>
          <w:p>
            <w:r/>
            <w:r>
              <w:rPr>
                <w:b w:val="0"/>
              </w:rPr>
              <w:t>Month delete, export &amp; analytics complete</w:t>
            </w:r>
          </w:p>
        </w:tc>
        <w:tc>
          <w:tcPr>
            <w:tcW w:type="dxa" w:w="4873"/>
          </w:tcPr>
          <w:p>
            <w:r/>
            <w:r>
              <w:rPr>
                <w:b w:val="0"/>
              </w:rPr>
              <w:t>End of Day 2</w:t>
            </w:r>
          </w:p>
        </w:tc>
      </w:tr>
      <w:tr>
        <w:tc>
          <w:tcPr>
            <w:tcW w:type="dxa" w:w="4873"/>
          </w:tcPr>
          <w:p>
            <w:r/>
            <w:r>
              <w:rPr>
                <w:b w:val="0"/>
              </w:rPr>
              <w:t>Testing, UAT &amp; sign-off</w:t>
            </w:r>
          </w:p>
        </w:tc>
        <w:tc>
          <w:tcPr>
            <w:tcW w:type="dxa" w:w="4873"/>
          </w:tcPr>
          <w:p>
            <w:r/>
            <w:r>
              <w:rPr>
                <w:b w:val="0"/>
              </w:rPr>
              <w:t>End of Day 3</w:t>
            </w:r>
          </w:p>
        </w:tc>
      </w:tr>
    </w:tbl>
    <w:p/>
    <w:p>
      <w:pPr>
        <w:pStyle w:val="Heading1"/>
      </w:pPr>
      <w:r>
        <w:t>9. Commercials – Implementation Fee</w:t>
      </w:r>
    </w:p>
    <w:p>
      <w:r>
        <w:t>This is a one-time change request with an associated implementation fee for the 3 person-days of design and build effort described above.</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1F4E79"/>
          </w:tcPr>
          <w:p>
            <w:r/>
            <w:r>
              <w:rPr>
                <w:b/>
                <w:color w:val="FFFFFF"/>
                <w:sz w:val="20"/>
              </w:rPr>
              <w:t>#</w:t>
            </w:r>
          </w:p>
        </w:tc>
        <w:tc>
          <w:tcPr>
            <w:tcW w:type="dxa" w:w="2436"/>
            <w:shd w:val="clear" w:color="auto" w:fill="1F4E79"/>
          </w:tcPr>
          <w:p>
            <w:r/>
            <w:r>
              <w:rPr>
                <w:b/>
                <w:color w:val="FFFFFF"/>
                <w:sz w:val="20"/>
              </w:rPr>
              <w:t>Description</w:t>
            </w:r>
          </w:p>
        </w:tc>
        <w:tc>
          <w:tcPr>
            <w:tcW w:type="dxa" w:w="2436"/>
            <w:shd w:val="clear" w:color="auto" w:fill="1F4E79"/>
          </w:tcPr>
          <w:p>
            <w:r/>
            <w:r>
              <w:rPr>
                <w:b/>
                <w:color w:val="FFFFFF"/>
                <w:sz w:val="20"/>
              </w:rPr>
              <w:t>Effort</w:t>
            </w:r>
          </w:p>
        </w:tc>
        <w:tc>
          <w:tcPr>
            <w:tcW w:type="dxa" w:w="2436"/>
            <w:shd w:val="clear" w:color="auto" w:fill="1F4E79"/>
          </w:tcPr>
          <w:p>
            <w:r/>
            <w:r>
              <w:rPr>
                <w:b/>
                <w:color w:val="FFFFFF"/>
                <w:sz w:val="20"/>
              </w:rPr>
              <w:t>Amount</w:t>
            </w:r>
          </w:p>
        </w:tc>
      </w:tr>
      <w:tr>
        <w:tc>
          <w:tcPr>
            <w:tcW w:type="dxa" w:w="2436"/>
          </w:tcPr>
          <w:p>
            <w:r/>
            <w:r>
              <w:rPr>
                <w:b w:val="0"/>
              </w:rPr>
              <w:t>1</w:t>
            </w:r>
          </w:p>
        </w:tc>
        <w:tc>
          <w:tcPr>
            <w:tcW w:type="dxa" w:w="2436"/>
          </w:tcPr>
          <w:p>
            <w:r/>
            <w:r>
              <w:rPr>
                <w:b w:val="0"/>
              </w:rPr>
              <w:t>Design and delivery of the primary sales management screens (paginated list with record CRUD, delete-by-month with reason, export and moving-trend analytics).</w:t>
            </w:r>
          </w:p>
        </w:tc>
        <w:tc>
          <w:tcPr>
            <w:tcW w:type="dxa" w:w="2436"/>
          </w:tcPr>
          <w:p>
            <w:r/>
            <w:r>
              <w:rPr>
                <w:b w:val="0"/>
              </w:rPr>
              <w:t>3 person-days</w:t>
            </w:r>
          </w:p>
        </w:tc>
        <w:tc>
          <w:tcPr>
            <w:tcW w:type="dxa" w:w="2436"/>
          </w:tcPr>
          <w:p>
            <w:r/>
            <w:r>
              <w:rPr>
                <w:b w:val="0"/>
              </w:rPr>
              <w:t>₹ ____________</w:t>
            </w:r>
          </w:p>
        </w:tc>
      </w:tr>
      <w:tr>
        <w:tc>
          <w:tcPr>
            <w:tcW w:type="dxa" w:w="2436"/>
          </w:tcPr>
          <w:p>
            <w:r/>
            <w:r>
              <w:rPr>
                <w:b w:val="0"/>
              </w:rPr>
            </w:r>
          </w:p>
        </w:tc>
        <w:tc>
          <w:tcPr>
            <w:tcW w:type="dxa" w:w="2436"/>
          </w:tcPr>
          <w:p>
            <w:r/>
            <w:r>
              <w:rPr>
                <w:b w:val="0"/>
              </w:rPr>
              <w:t>One-time Implementation Fee (Total)</w:t>
            </w:r>
          </w:p>
        </w:tc>
        <w:tc>
          <w:tcPr>
            <w:tcW w:type="dxa" w:w="2436"/>
          </w:tcPr>
          <w:p>
            <w:r/>
            <w:r>
              <w:rPr>
                <w:b w:val="0"/>
              </w:rPr>
              <w:t>3 person-days</w:t>
            </w:r>
          </w:p>
        </w:tc>
        <w:tc>
          <w:tcPr>
            <w:tcW w:type="dxa" w:w="2436"/>
          </w:tcPr>
          <w:p>
            <w:r/>
            <w:r>
              <w:rPr>
                <w:b w:val="0"/>
              </w:rPr>
              <w:t>₹ ____________</w:t>
            </w:r>
          </w:p>
        </w:tc>
      </w:tr>
    </w:tbl>
    <w:p>
      <w:pPr>
        <w:pStyle w:val="ListBullet"/>
      </w:pPr>
      <w:r>
        <w:t>Amounts are to be finalised and are shown as placeholders pending commercial confirmation.</w:t>
      </w:r>
    </w:p>
    <w:p>
      <w:pPr>
        <w:pStyle w:val="ListBullet"/>
      </w:pPr>
      <w:r>
        <w:t>Taxes (GST) as applicable will be charged additionally.</w:t>
      </w:r>
    </w:p>
    <w:p>
      <w:pPr>
        <w:pStyle w:val="ListBullet"/>
      </w:pPr>
      <w:r>
        <w:t>This capability has already been designed and delivered in the portal; this CR formalises and re-baselines it in line with the CR Report recommendation.</w:t>
      </w:r>
    </w:p>
    <w:p/>
    <w:p>
      <w:pPr>
        <w:pStyle w:val="Heading1"/>
      </w:pPr>
      <w:r>
        <w:t>10. Assumptions &amp; Client Dependencies</w:t>
      </w:r>
    </w:p>
    <w:p>
      <w:pPr>
        <w:pStyle w:val="ListBullet"/>
      </w:pPr>
      <w:r>
        <w:t>The capability described has been reviewed against the delivered portal and the CR Report (Delivered Scope vs. SRS).</w:t>
      </w:r>
    </w:p>
    <w:p>
      <w:pPr>
        <w:pStyle w:val="ListBullet"/>
      </w:pPr>
      <w:r>
        <w:t>Client-side stakeholders are available to review the delivered functionality and provide sign-off.</w:t>
      </w:r>
    </w:p>
    <w:p>
      <w:pPr>
        <w:pStyle w:val="ListBullet"/>
      </w:pPr>
      <w:r>
        <w:t>No further functional change or scope expansion is introduced under this CR beyond what is already delivered.</w:t>
      </w:r>
    </w:p>
    <w:p>
      <w:pPr>
        <w:pStyle w:val="ListBullet"/>
      </w:pPr>
      <w:r>
        <w:t>Existing master and transactional data required by this capability is available and reasonably clean.</w:t>
      </w:r>
    </w:p>
    <w:p>
      <w:pPr>
        <w:pStyle w:val="ListBullet"/>
      </w:pPr>
      <w:r>
        <w:t>Primary sales data has been uploaded and is available for management and analytics.</w:t>
      </w:r>
    </w:p>
    <w:p/>
    <w:p>
      <w:pPr>
        <w:pStyle w:val="Heading1"/>
      </w:pPr>
      <w:r>
        <w:t>11. Risks &amp; Mitigation</w:t>
      </w:r>
    </w:p>
    <w:tbl>
      <w:tblPr>
        <w:tblStyle w:val="TableGrid"/>
        <w:tblW w:type="auto" w:w="0"/>
        <w:tblLook w:firstColumn="1" w:firstRow="1" w:lastColumn="0" w:lastRow="0" w:noHBand="0" w:noVBand="1" w:val="04A0"/>
      </w:tblPr>
      <w:tblGrid>
        <w:gridCol w:w="4873"/>
        <w:gridCol w:w="4873"/>
      </w:tblGrid>
      <w:tr>
        <w:tc>
          <w:tcPr>
            <w:tcW w:type="dxa" w:w="4873"/>
            <w:shd w:val="clear" w:color="auto" w:fill="1F4E79"/>
          </w:tcPr>
          <w:p>
            <w:r/>
            <w:r>
              <w:rPr>
                <w:b/>
                <w:color w:val="FFFFFF"/>
                <w:sz w:val="20"/>
              </w:rPr>
              <w:t>Risk</w:t>
            </w:r>
          </w:p>
        </w:tc>
        <w:tc>
          <w:tcPr>
            <w:tcW w:type="dxa" w:w="4873"/>
            <w:shd w:val="clear" w:color="auto" w:fill="1F4E79"/>
          </w:tcPr>
          <w:p>
            <w:r/>
            <w:r>
              <w:rPr>
                <w:b/>
                <w:color w:val="FFFFFF"/>
                <w:sz w:val="20"/>
              </w:rPr>
              <w:t>Mitigation</w:t>
            </w:r>
          </w:p>
        </w:tc>
      </w:tr>
      <w:tr>
        <w:tc>
          <w:tcPr>
            <w:tcW w:type="dxa" w:w="4873"/>
          </w:tcPr>
          <w:p>
            <w:r/>
            <w:r>
              <w:rPr>
                <w:b w:val="0"/>
              </w:rPr>
              <w:t>Accidental record or month deletion</w:t>
            </w:r>
          </w:p>
        </w:tc>
        <w:tc>
          <w:tcPr>
            <w:tcW w:type="dxa" w:w="4873"/>
          </w:tcPr>
          <w:p>
            <w:r/>
            <w:r>
              <w:rPr>
                <w:b w:val="0"/>
              </w:rPr>
              <w:t>Mandatory reason capture on record and month deletion; auditable actions.</w:t>
            </w:r>
          </w:p>
        </w:tc>
      </w:tr>
      <w:tr>
        <w:tc>
          <w:tcPr>
            <w:tcW w:type="dxa" w:w="4873"/>
          </w:tcPr>
          <w:p>
            <w:r/>
            <w:r>
              <w:rPr>
                <w:b w:val="0"/>
              </w:rPr>
              <w:t>Inconsistent edits</w:t>
            </w:r>
          </w:p>
        </w:tc>
        <w:tc>
          <w:tcPr>
            <w:tcW w:type="dxa" w:w="4873"/>
          </w:tcPr>
          <w:p>
            <w:r/>
            <w:r>
              <w:rPr>
                <w:b w:val="0"/>
              </w:rPr>
              <w:t>Inline validation on edit/save; verified at UAT.</w:t>
            </w:r>
          </w:p>
        </w:tc>
      </w:tr>
      <w:tr>
        <w:tc>
          <w:tcPr>
            <w:tcW w:type="dxa" w:w="4873"/>
          </w:tcPr>
          <w:p>
            <w:r/>
            <w:r>
              <w:rPr>
                <w:b w:val="0"/>
              </w:rPr>
              <w:t>Export mismatches</w:t>
            </w:r>
          </w:p>
        </w:tc>
        <w:tc>
          <w:tcPr>
            <w:tcW w:type="dxa" w:w="4873"/>
          </w:tcPr>
          <w:p>
            <w:r/>
            <w:r>
              <w:rPr>
                <w:b w:val="0"/>
              </w:rPr>
              <w:t>Export validated against the managed records at UAT.</w:t>
            </w:r>
          </w:p>
        </w:tc>
      </w:tr>
    </w:tbl>
    <w:p/>
    <w:p>
      <w:pPr>
        <w:pStyle w:val="Heading1"/>
      </w:pPr>
      <w:r>
        <w:t>12. Deliverables</w:t>
      </w:r>
    </w:p>
    <w:p>
      <w:pPr>
        <w:pStyle w:val="ListBullet"/>
      </w:pPr>
      <w:r>
        <w:t>A working paginated Primary Sales Data list with inline record CRUD.</w:t>
      </w:r>
    </w:p>
    <w:p>
      <w:pPr>
        <w:pStyle w:val="ListBullet"/>
      </w:pPr>
      <w:r>
        <w:t>Delete-by-month with mandatory reason, export and moving-trend analytics.</w:t>
      </w:r>
    </w:p>
    <w:p>
      <w:pPr>
        <w:pStyle w:val="ListBullet"/>
      </w:pPr>
      <w:r>
        <w:t>UAT sign-off of the primary sales management screens.</w:t>
      </w:r>
    </w:p>
    <w:p/>
    <w:p>
      <w:pPr>
        <w:pStyle w:val="Heading1"/>
      </w:pPr>
      <w:r>
        <w:t>13. Acceptance Criteria</w:t>
      </w:r>
    </w:p>
    <w:p>
      <w:pPr>
        <w:pStyle w:val="ListBullet"/>
      </w:pPr>
      <w:r>
        <w:t>Individual primary-sales records can be listed, edited, saved and deleted with pagination.</w:t>
      </w:r>
    </w:p>
    <w:p>
      <w:pPr>
        <w:pStyle w:val="ListBullet"/>
      </w:pPr>
      <w:r>
        <w:t>Delete-by-month requires a reason and removes the correct period.</w:t>
      </w:r>
    </w:p>
    <w:p>
      <w:pPr>
        <w:pStyle w:val="ListBullet"/>
      </w:pPr>
      <w:r>
        <w:t>Export and moving-trend analytics produce correct output.</w:t>
      </w:r>
    </w:p>
    <w:p/>
    <w:p>
      <w:pPr>
        <w:pStyle w:val="Heading1"/>
      </w:pPr>
      <w:r>
        <w:t>14. Approval &amp; Sign-off</w:t>
      </w:r>
    </w:p>
    <w:p>
      <w:r>
        <w:t>By signing below, both parties agree to the scope, effort and commercial terms set out in this Change Request.</w:t>
      </w:r>
    </w:p>
    <w:tbl>
      <w:tblPr>
        <w:tblStyle w:val="TableGrid"/>
        <w:tblW w:type="auto" w:w="0"/>
        <w:tblLook w:firstColumn="1" w:firstRow="1" w:lastColumn="0" w:lastRow="0" w:noHBand="0" w:noVBand="1" w:val="04A0"/>
      </w:tblPr>
      <w:tblGrid>
        <w:gridCol w:w="4873"/>
        <w:gridCol w:w="4873"/>
      </w:tblGrid>
      <w:tr>
        <w:tc>
          <w:tcPr>
            <w:tcW w:type="dxa" w:w="4873"/>
            <w:shd w:val="clear" w:color="auto" w:fill="1F4E79"/>
          </w:tcPr>
          <w:p>
            <w:r/>
            <w:r>
              <w:rPr>
                <w:b/>
                <w:color w:val="FFFFFF"/>
                <w:sz w:val="20"/>
              </w:rPr>
              <w:t>For Kodivian Technologies LLP</w:t>
            </w:r>
          </w:p>
        </w:tc>
        <w:tc>
          <w:tcPr>
            <w:tcW w:type="dxa" w:w="4873"/>
            <w:shd w:val="clear" w:color="auto" w:fill="1F4E79"/>
          </w:tcPr>
          <w:p>
            <w:r/>
            <w:r>
              <w:rPr>
                <w:b/>
                <w:color w:val="FFFFFF"/>
                <w:sz w:val="20"/>
              </w:rPr>
              <w:t>For Stedman Pharmaceuticals</w:t>
            </w:r>
          </w:p>
        </w:tc>
      </w:tr>
      <w:tr>
        <w:tc>
          <w:tcPr>
            <w:tcW w:type="dxa" w:w="4873"/>
          </w:tcPr>
          <w:p>
            <w:r/>
            <w:r>
              <w:rPr>
                <w:b w:val="0"/>
              </w:rPr>
              <w:t>Name: ____________________________</w:t>
            </w:r>
          </w:p>
        </w:tc>
        <w:tc>
          <w:tcPr>
            <w:tcW w:type="dxa" w:w="4873"/>
          </w:tcPr>
          <w:p>
            <w:r/>
            <w:r>
              <w:rPr>
                <w:b w:val="0"/>
              </w:rPr>
              <w:t>Name: ____________________________</w:t>
            </w:r>
          </w:p>
        </w:tc>
      </w:tr>
      <w:tr>
        <w:tc>
          <w:tcPr>
            <w:tcW w:type="dxa" w:w="4873"/>
          </w:tcPr>
          <w:p>
            <w:r/>
            <w:r>
              <w:rPr>
                <w:b w:val="0"/>
              </w:rPr>
              <w:t>Designation: ______________________</w:t>
            </w:r>
          </w:p>
        </w:tc>
        <w:tc>
          <w:tcPr>
            <w:tcW w:type="dxa" w:w="4873"/>
          </w:tcPr>
          <w:p>
            <w:r/>
            <w:r>
              <w:rPr>
                <w:b w:val="0"/>
              </w:rPr>
              <w:t>Designation: ______________________</w:t>
            </w:r>
          </w:p>
        </w:tc>
      </w:tr>
      <w:tr>
        <w:tc>
          <w:tcPr>
            <w:tcW w:type="dxa" w:w="4873"/>
          </w:tcPr>
          <w:p>
            <w:r/>
            <w:r>
              <w:rPr>
                <w:b w:val="0"/>
              </w:rPr>
              <w:t>Signature &amp; Date: __________________</w:t>
            </w:r>
          </w:p>
        </w:tc>
        <w:tc>
          <w:tcPr>
            <w:tcW w:type="dxa" w:w="4873"/>
          </w:tcPr>
          <w:p>
            <w:r/>
            <w:r>
              <w:rPr>
                <w:b w:val="0"/>
              </w:rPr>
              <w:t>Signature &amp; Date: __________________</w:t>
            </w:r>
          </w:p>
        </w:tc>
      </w:tr>
    </w:tbl>
    <w:p/>
    <w:p>
      <w:pPr>
        <w:spacing w:after="40"/>
        <w:jc w:val="center"/>
      </w:pPr>
      <w:r>
        <w:rPr>
          <w:b w:val="0"/>
          <w:color w:val="595959"/>
          <w:sz w:val="21"/>
        </w:rPr>
        <w:t>— End of Change Request —</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Kodivian Technologies LLP  |  Confidential  –  Prepared for Stedman Pharmaceuticals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74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