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2E74B5"/>
          <w:sz w:val="26"/>
        </w:rPr>
        <w:t>KODIVIAN TECHNOLOGIES LLP</w:t>
      </w:r>
    </w:p>
    <w:p>
      <w:pPr>
        <w:spacing w:after="40"/>
        <w:jc w:val="center"/>
      </w:pPr>
      <w:r>
        <w:rPr>
          <w:b w:val="0"/>
          <w:color w:val="595959"/>
          <w:sz w:val="18"/>
        </w:rPr>
        <w:t>ISO 27001 Certified  |  A SS Group Company</w:t>
      </w:r>
    </w:p>
    <w:p/>
    <w:p>
      <w:pPr>
        <w:spacing w:after="40"/>
        <w:jc w:val="center"/>
      </w:pPr>
      <w:r>
        <w:rPr>
          <w:b/>
          <w:color w:val="1F4E79"/>
          <w:sz w:val="60"/>
        </w:rPr>
        <w:t>CHANGE REQUEST</w:t>
      </w:r>
    </w:p>
    <w:p>
      <w:pPr>
        <w:spacing w:after="40"/>
        <w:jc w:val="center"/>
      </w:pPr>
      <w:r>
        <w:rPr>
          <w:b/>
          <w:color w:val="2E74B5"/>
          <w:sz w:val="34"/>
        </w:rPr>
        <w:t>&amp; Implementation Proposal</w:t>
      </w:r>
    </w:p>
    <w:p>
      <w:pPr>
        <w:spacing w:after="40"/>
        <w:jc w:val="center"/>
      </w:pPr>
      <w:r>
        <w:rPr>
          <w:b/>
          <w:color w:val="222222"/>
          <w:sz w:val="26"/>
        </w:rPr>
        <w:t>AI Analytics Chatbot – Natural-Language Insights over Sales, Schemes &amp; Stock</w:t>
      </w:r>
    </w:p>
    <w:p>
      <w:pPr>
        <w:spacing w:after="40"/>
        <w:jc w:val="center"/>
      </w:pPr>
      <w:r>
        <w:rPr>
          <w:b w:val="0"/>
          <w:color w:val="595959"/>
          <w:sz w:val="23"/>
        </w:rPr>
        <w:t>Delivered Capability held separate from the CR Report (beyond SRS Release 1.1)</w:t>
      </w:r>
    </w:p>
    <w:p>
      <w:pPr>
        <w:spacing w:after="40"/>
        <w:jc w:val="center"/>
      </w:pPr>
      <w:r>
        <w:rPr>
          <w:b w:val="0"/>
          <w:color w:val="595959"/>
          <w:sz w:val="21"/>
        </w:rPr>
        <w:t>Scheme Management System &amp; Stock Statement Entry Automation</w:t>
      </w:r>
    </w:p>
    <w:p/>
    <w:tbl>
      <w:tblPr>
        <w:tblStyle w:val="TableGrid"/>
        <w:tblW w:type="auto" w:w="0"/>
        <w:tblLook w:firstColumn="1" w:firstRow="1" w:lastColumn="0" w:lastRow="0" w:noHBand="0" w:noVBand="1" w:val="04A0"/>
      </w:tblPr>
      <w:tblGrid>
        <w:gridCol w:w="4873"/>
        <w:gridCol w:w="4873"/>
      </w:tblGrid>
      <w:tr>
        <w:tc>
          <w:tcPr>
            <w:tcW w:type="dxa" w:w="9746"/>
            <w:gridSpan w:val="2"/>
            <w:shd w:val="clear" w:color="auto" w:fill="1F4E79"/>
          </w:tcPr>
          <w:p>
            <w:r/>
            <w:r>
              <w:rPr>
                <w:b/>
                <w:color w:val="FFFFFF"/>
                <w:sz w:val="20"/>
              </w:rPr>
              <w:t>Document Control</w:t>
            </w:r>
          </w:p>
        </w:tc>
      </w:tr>
      <w:tr>
        <w:tc>
          <w:tcPr>
            <w:tcW w:type="dxa" w:w="4873"/>
            <w:shd w:val="clear" w:color="auto" w:fill="DCE6F1"/>
          </w:tcPr>
          <w:p>
            <w:r/>
            <w:r>
              <w:rPr>
                <w:b/>
              </w:rPr>
              <w:t>Document Name</w:t>
            </w:r>
          </w:p>
        </w:tc>
        <w:tc>
          <w:tcPr>
            <w:tcW w:type="dxa" w:w="4873"/>
          </w:tcPr>
          <w:p>
            <w:r/>
            <w:r>
              <w:rPr>
                <w:b w:val="0"/>
              </w:rPr>
              <w:t>Change Request – AI Analytics Chatbot</w:t>
            </w:r>
          </w:p>
        </w:tc>
      </w:tr>
      <w:tr>
        <w:tc>
          <w:tcPr>
            <w:tcW w:type="dxa" w:w="4873"/>
            <w:shd w:val="clear" w:color="auto" w:fill="DCE6F1"/>
          </w:tcPr>
          <w:p>
            <w:r/>
            <w:r>
              <w:rPr>
                <w:b/>
              </w:rPr>
              <w:t>CR Reference No.</w:t>
            </w:r>
          </w:p>
        </w:tc>
        <w:tc>
          <w:tcPr>
            <w:tcW w:type="dxa" w:w="4873"/>
          </w:tcPr>
          <w:p>
            <w:r/>
            <w:r>
              <w:rPr>
                <w:b w:val="0"/>
              </w:rPr>
              <w:t>KT/STED/CR-09</w:t>
            </w:r>
          </w:p>
        </w:tc>
      </w:tr>
      <w:tr>
        <w:tc>
          <w:tcPr>
            <w:tcW w:type="dxa" w:w="4873"/>
            <w:shd w:val="clear" w:color="auto" w:fill="DCE6F1"/>
          </w:tcPr>
          <w:p>
            <w:r/>
            <w:r>
              <w:rPr>
                <w:b/>
              </w:rPr>
              <w:t>CR Report Item</w:t>
            </w:r>
          </w:p>
        </w:tc>
        <w:tc>
          <w:tcPr>
            <w:tcW w:type="dxa" w:w="4873"/>
          </w:tcPr>
          <w:p>
            <w:r/>
            <w:r>
              <w:rPr>
                <w:b w:val="0"/>
              </w:rPr>
              <w:t>Analytics Chatbot (held separate in the CR Report)</w:t>
            </w:r>
          </w:p>
        </w:tc>
      </w:tr>
      <w:tr>
        <w:tc>
          <w:tcPr>
            <w:tcW w:type="dxa" w:w="4873"/>
            <w:shd w:val="clear" w:color="auto" w:fill="DCE6F1"/>
          </w:tcPr>
          <w:p>
            <w:r/>
            <w:r>
              <w:rPr>
                <w:b/>
              </w:rPr>
              <w:t>Classification</w:t>
            </w:r>
          </w:p>
        </w:tc>
        <w:tc>
          <w:tcPr>
            <w:tcW w:type="dxa" w:w="4873"/>
          </w:tcPr>
          <w:p>
            <w:r/>
            <w:r>
              <w:rPr>
                <w:b w:val="0"/>
              </w:rPr>
              <w:t>New Module – AI Assistant</w:t>
            </w:r>
          </w:p>
        </w:tc>
      </w:tr>
      <w:tr>
        <w:tc>
          <w:tcPr>
            <w:tcW w:type="dxa" w:w="4873"/>
            <w:shd w:val="clear" w:color="auto" w:fill="DCE6F1"/>
          </w:tcPr>
          <w:p>
            <w:r/>
            <w:r>
              <w:rPr>
                <w:b/>
              </w:rPr>
              <w:t>Release No.</w:t>
            </w:r>
          </w:p>
        </w:tc>
        <w:tc>
          <w:tcPr>
            <w:tcW w:type="dxa" w:w="4873"/>
          </w:tcPr>
          <w:p>
            <w:r/>
            <w:r>
              <w:rPr>
                <w:b w:val="0"/>
              </w:rPr>
              <w:t>1.0</w:t>
            </w:r>
          </w:p>
        </w:tc>
      </w:tr>
      <w:tr>
        <w:tc>
          <w:tcPr>
            <w:tcW w:type="dxa" w:w="4873"/>
            <w:shd w:val="clear" w:color="auto" w:fill="DCE6F1"/>
          </w:tcPr>
          <w:p>
            <w:r/>
            <w:r>
              <w:rPr>
                <w:b/>
              </w:rPr>
              <w:t>Date of Release</w:t>
            </w:r>
          </w:p>
        </w:tc>
        <w:tc>
          <w:tcPr>
            <w:tcW w:type="dxa" w:w="4873"/>
          </w:tcPr>
          <w:p>
            <w:r/>
            <w:r>
              <w:rPr>
                <w:b w:val="0"/>
              </w:rPr>
              <w:t>3rd July 2026</w:t>
            </w:r>
          </w:p>
        </w:tc>
      </w:tr>
      <w:tr>
        <w:tc>
          <w:tcPr>
            <w:tcW w:type="dxa" w:w="4873"/>
            <w:shd w:val="clear" w:color="auto" w:fill="DCE6F1"/>
          </w:tcPr>
          <w:p>
            <w:r/>
            <w:r>
              <w:rPr>
                <w:b/>
              </w:rPr>
              <w:t>Client</w:t>
            </w:r>
          </w:p>
        </w:tc>
        <w:tc>
          <w:tcPr>
            <w:tcW w:type="dxa" w:w="4873"/>
          </w:tcPr>
          <w:p>
            <w:r/>
            <w:r>
              <w:rPr>
                <w:b w:val="0"/>
              </w:rPr>
              <w:t>Stedman Pharmaceuticals</w:t>
            </w:r>
          </w:p>
        </w:tc>
      </w:tr>
      <w:tr>
        <w:tc>
          <w:tcPr>
            <w:tcW w:type="dxa" w:w="4873"/>
            <w:shd w:val="clear" w:color="auto" w:fill="DCE6F1"/>
          </w:tcPr>
          <w:p>
            <w:r/>
            <w:r>
              <w:rPr>
                <w:b/>
              </w:rPr>
              <w:t>Prepared By</w:t>
            </w:r>
          </w:p>
        </w:tc>
        <w:tc>
          <w:tcPr>
            <w:tcW w:type="dxa" w:w="4873"/>
          </w:tcPr>
          <w:p>
            <w:r/>
            <w:r>
              <w:rPr>
                <w:b w:val="0"/>
              </w:rPr>
              <w:t>Kodivian Technologies LLP</w:t>
            </w:r>
          </w:p>
        </w:tc>
      </w:tr>
      <w:tr>
        <w:tc>
          <w:tcPr>
            <w:tcW w:type="dxa" w:w="4873"/>
            <w:shd w:val="clear" w:color="auto" w:fill="DCE6F1"/>
          </w:tcPr>
          <w:p>
            <w:r/>
            <w:r>
              <w:rPr>
                <w:b/>
              </w:rPr>
              <w:t>Reviewed By</w:t>
            </w:r>
          </w:p>
        </w:tc>
        <w:tc>
          <w:tcPr>
            <w:tcW w:type="dxa" w:w="4873"/>
          </w:tcPr>
          <w:p>
            <w:r/>
            <w:r>
              <w:rPr>
                <w:b w:val="0"/>
              </w:rPr>
              <w:t>Vijay Sabari</w:t>
            </w:r>
          </w:p>
        </w:tc>
      </w:tr>
      <w:tr>
        <w:tc>
          <w:tcPr>
            <w:tcW w:type="dxa" w:w="4873"/>
            <w:shd w:val="clear" w:color="auto" w:fill="DCE6F1"/>
          </w:tcPr>
          <w:p>
            <w:r/>
            <w:r>
              <w:rPr>
                <w:b/>
              </w:rPr>
              <w:t>Approved By</w:t>
            </w:r>
          </w:p>
        </w:tc>
        <w:tc>
          <w:tcPr>
            <w:tcW w:type="dxa" w:w="4873"/>
          </w:tcPr>
          <w:p>
            <w:r/>
            <w:r>
              <w:rPr>
                <w:b w:val="0"/>
              </w:rPr>
              <w:t>________________________</w:t>
            </w:r>
          </w:p>
        </w:tc>
      </w:tr>
      <w:tr>
        <w:tc>
          <w:tcPr>
            <w:tcW w:type="dxa" w:w="4873"/>
            <w:shd w:val="clear" w:color="auto" w:fill="DCE6F1"/>
          </w:tcPr>
          <w:p>
            <w:r/>
            <w:r>
              <w:rPr>
                <w:b/>
              </w:rPr>
              <w:t>Approved Date</w:t>
            </w:r>
          </w:p>
        </w:tc>
        <w:tc>
          <w:tcPr>
            <w:tcW w:type="dxa" w:w="4873"/>
          </w:tcPr>
          <w:p>
            <w:r/>
            <w:r>
              <w:rPr>
                <w:b w:val="0"/>
              </w:rPr>
              <w:t>________________________</w:t>
            </w:r>
          </w:p>
        </w:tc>
      </w:tr>
    </w:tbl>
    <w:p/>
    <w:p>
      <w:pPr>
        <w:pStyle w:val="Heading1"/>
      </w:pPr>
      <w:r>
        <w:t>1. Purpose of this Change Request</w:t>
      </w:r>
    </w:p>
    <w:p>
      <w:r>
        <w:t>This Change Request is raised by Kodivian Technologies LLP for Stedman Pharmaceuticals to formally document, scope, estimate and obtain approval for the AI Analytics Chatbot delivered in the Scanify portal. In the CR Report this analytics chatbot is explicitly held separate from the functional CR items and covered here.</w:t>
      </w:r>
    </w:p>
    <w:p>
      <w:r>
        <w:t>The SRS (Rel. 1.1) did not include any conversational analytics assistant. The delivered portal adds an AI-driven natural-language assistant that answers business questions over the platform’s sales, scheme, stock, deduction and target data, respecting the division-controlled access and the Division → Zone → Region → Team → HQ hierarchy. This CR captures that module for formal re-baselining and commercial settlement.</w:t>
      </w:r>
    </w:p>
    <w:p/>
    <w:p>
      <w:pPr>
        <w:pStyle w:val="Heading1"/>
      </w:pPr>
      <w:r>
        <w:t>2. Background &amp; Context</w:t>
      </w:r>
    </w:p>
    <w:p>
      <w:r>
        <w:t>The Scanify platform holds rich transactional and master data – schemes, statements, deductions, targets, primary and secondary sales, stockists, products, doctors and HQs. Reading it today means navigating specific reports and screens.</w:t>
      </w:r>
    </w:p>
    <w:p>
      <w:r>
        <w:t>The delivered AI Analytics Chatbot lets a user simply ask, in natural language, for the numbers and insights they need. It interprets the question, resolves the referenced entities to the correct masters, retrieves and computes the answer from governed data, and replies in plain language with supporting figures – all within the asking user’s division and hierarchy scope. It is an AI assistant grounded in the application’s own data rather than a generic chatbot.</w:t>
      </w:r>
    </w:p>
    <w:p>
      <w:r>
        <w:t>SRS baseline vs. delivered capability:</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SRS Baseline (Rel. 1.1)</w:t>
            </w:r>
          </w:p>
        </w:tc>
        <w:tc>
          <w:tcPr>
            <w:tcW w:type="dxa" w:w="4873"/>
            <w:shd w:val="clear" w:color="auto" w:fill="1F4E79"/>
          </w:tcPr>
          <w:p>
            <w:r/>
            <w:r>
              <w:rPr>
                <w:b/>
                <w:color w:val="FFFFFF"/>
                <w:sz w:val="20"/>
              </w:rPr>
              <w:t>Delivered in the Portal</w:t>
            </w:r>
          </w:p>
        </w:tc>
      </w:tr>
      <w:tr>
        <w:tc>
          <w:tcPr>
            <w:tcW w:type="dxa" w:w="4873"/>
          </w:tcPr>
          <w:p>
            <w:r/>
            <w:r>
              <w:rPr>
                <w:b w:val="0"/>
              </w:rPr>
              <w:t>No conversational or natural-language capability in the SRS.</w:t>
            </w:r>
          </w:p>
        </w:tc>
        <w:tc>
          <w:tcPr>
            <w:tcW w:type="dxa" w:w="4873"/>
          </w:tcPr>
          <w:p>
            <w:r/>
            <w:r>
              <w:rPr>
                <w:b w:val="0"/>
              </w:rPr>
              <w:t>An AI assistant that answers natural-language questions over sales, schemes, stock, deductions and targets.</w:t>
            </w:r>
          </w:p>
        </w:tc>
      </w:tr>
      <w:tr>
        <w:tc>
          <w:tcPr>
            <w:tcW w:type="dxa" w:w="4873"/>
          </w:tcPr>
          <w:p>
            <w:r/>
            <w:r>
              <w:rPr>
                <w:b w:val="0"/>
              </w:rPr>
              <w:t>Insight available only by navigating specific reports/screens.</w:t>
            </w:r>
          </w:p>
        </w:tc>
        <w:tc>
          <w:tcPr>
            <w:tcW w:type="dxa" w:w="4873"/>
          </w:tcPr>
          <w:p>
            <w:r/>
            <w:r>
              <w:rPr>
                <w:b w:val="0"/>
              </w:rPr>
              <w:t>Ask-and-answer access to the same figures, with entity resolution to stockist, product, region, HQ, doctor and financial year.</w:t>
            </w:r>
          </w:p>
        </w:tc>
      </w:tr>
      <w:tr>
        <w:tc>
          <w:tcPr>
            <w:tcW w:type="dxa" w:w="4873"/>
          </w:tcPr>
          <w:p>
            <w:r/>
            <w:r>
              <w:rPr>
                <w:b w:val="0"/>
              </w:rPr>
              <w:t>Access governed per screen.</w:t>
            </w:r>
          </w:p>
        </w:tc>
        <w:tc>
          <w:tcPr>
            <w:tcW w:type="dxa" w:w="4873"/>
          </w:tcPr>
          <w:p>
            <w:r/>
            <w:r>
              <w:rPr>
                <w:b w:val="0"/>
              </w:rPr>
              <w:t>Division-controlled access and the Division → Zone → Region → Team → HQ hierarchy enforced on every answer.</w:t>
            </w:r>
          </w:p>
        </w:tc>
      </w:tr>
      <w:tr>
        <w:tc>
          <w:tcPr>
            <w:tcW w:type="dxa" w:w="4873"/>
          </w:tcPr>
          <w:p>
            <w:r/>
            <w:r>
              <w:rPr>
                <w:b w:val="0"/>
              </w:rPr>
              <w:t>Static exports only.</w:t>
            </w:r>
          </w:p>
        </w:tc>
        <w:tc>
          <w:tcPr>
            <w:tcW w:type="dxa" w:w="4873"/>
          </w:tcPr>
          <w:p>
            <w:r/>
            <w:r>
              <w:rPr>
                <w:b w:val="0"/>
              </w:rPr>
              <w:t>Conversational results with follow-up context, suggested prompts and exportable tables.</w:t>
            </w:r>
          </w:p>
        </w:tc>
      </w:tr>
    </w:tbl>
    <w:p/>
    <w:p>
      <w:pPr>
        <w:pStyle w:val="Heading1"/>
      </w:pPr>
      <w:r>
        <w:t>3. Business Justification (Reason for Change)</w:t>
      </w:r>
    </w:p>
    <w:p>
      <w:r>
        <w:t>A grounded natural-language assistant materially lowers the effort of getting to an answer and widens who can self-serve insight:</w:t>
      </w:r>
    </w:p>
    <w:p>
      <w:pPr>
        <w:pStyle w:val="ListBullet"/>
      </w:pPr>
      <w:r>
        <w:t>Field and office users across the hierarchy can ask for figures directly instead of hunting through reports.</w:t>
      </w:r>
    </w:p>
    <w:p>
      <w:pPr>
        <w:pStyle w:val="ListBullet"/>
      </w:pPr>
      <w:r>
        <w:t>Answers are grounded in the platform’s own governed data, so the numbers reconcile with the reports.</w:t>
      </w:r>
    </w:p>
    <w:p>
      <w:pPr>
        <w:pStyle w:val="ListBullet"/>
      </w:pPr>
      <w:r>
        <w:t>Every answer respects the asking user’s division and Division → Zone → Region → Team → HQ scope, so data governance is preserved.</w:t>
      </w:r>
    </w:p>
    <w:p>
      <w:pPr>
        <w:pStyle w:val="ListBullet"/>
      </w:pPr>
      <w:r>
        <w:t>Entity resolution (stockist, product, region, HQ, doctor, financial year) and before/after-deduction awareness keep answers precise.</w:t>
      </w:r>
    </w:p>
    <w:p>
      <w:pPr>
        <w:pStyle w:val="ListBullet"/>
      </w:pPr>
      <w:r>
        <w:t>Follow-up context and suggested prompts make analysis fast and approachable for non-technical users.</w:t>
      </w:r>
    </w:p>
    <w:p>
      <w:r>
        <w:t>A conversational, data-grounded analytics assistant is a substantial net-new AI module well beyond the SRS and is therefore raised as a formal change request.</w:t>
      </w:r>
    </w:p>
    <w:p/>
    <w:p>
      <w:pPr>
        <w:pStyle w:val="Heading1"/>
      </w:pPr>
      <w:r>
        <w:t>4. Proposed Change – Delivered Capability</w:t>
      </w:r>
    </w:p>
    <w:p>
      <w:r>
        <w:t>The delivered AI Analytics Chatbot provides the following capabilities in the portal:</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Capability</w:t>
            </w:r>
          </w:p>
        </w:tc>
        <w:tc>
          <w:tcPr>
            <w:tcW w:type="dxa" w:w="4873"/>
            <w:shd w:val="clear" w:color="auto" w:fill="1F4E79"/>
          </w:tcPr>
          <w:p>
            <w:r/>
            <w:r>
              <w:rPr>
                <w:b/>
                <w:color w:val="FFFFFF"/>
                <w:sz w:val="20"/>
              </w:rPr>
              <w:t>Description</w:t>
            </w:r>
          </w:p>
        </w:tc>
      </w:tr>
      <w:tr>
        <w:tc>
          <w:tcPr>
            <w:tcW w:type="dxa" w:w="4873"/>
          </w:tcPr>
          <w:p>
            <w:r/>
            <w:r>
              <w:rPr>
                <w:b w:val="0"/>
              </w:rPr>
              <w:t>Natural-language understanding</w:t>
            </w:r>
          </w:p>
        </w:tc>
        <w:tc>
          <w:tcPr>
            <w:tcW w:type="dxa" w:w="4873"/>
          </w:tcPr>
          <w:p>
            <w:r/>
            <w:r>
              <w:rPr>
                <w:b w:val="0"/>
              </w:rPr>
              <w:t>Interpret business questions and map them to supported analytics intents (sales, schemes, deductions, targets, stock, rankings).</w:t>
            </w:r>
          </w:p>
        </w:tc>
      </w:tr>
      <w:tr>
        <w:tc>
          <w:tcPr>
            <w:tcW w:type="dxa" w:w="4873"/>
          </w:tcPr>
          <w:p>
            <w:r/>
            <w:r>
              <w:rPr>
                <w:b w:val="0"/>
              </w:rPr>
              <w:t>Entity resolution</w:t>
            </w:r>
          </w:p>
        </w:tc>
        <w:tc>
          <w:tcPr>
            <w:tcW w:type="dxa" w:w="4873"/>
          </w:tcPr>
          <w:p>
            <w:r/>
            <w:r>
              <w:rPr>
                <w:b w:val="0"/>
              </w:rPr>
              <w:t>Resolve referenced entities to the correct masters – stockist code, product code, region code, HQ, doctor and financial year – with disambiguation where needed.</w:t>
            </w:r>
          </w:p>
        </w:tc>
      </w:tr>
      <w:tr>
        <w:tc>
          <w:tcPr>
            <w:tcW w:type="dxa" w:w="4873"/>
          </w:tcPr>
          <w:p>
            <w:r/>
            <w:r>
              <w:rPr>
                <w:b w:val="0"/>
              </w:rPr>
              <w:t>Governed data access</w:t>
            </w:r>
          </w:p>
        </w:tc>
        <w:tc>
          <w:tcPr>
            <w:tcW w:type="dxa" w:w="4873"/>
          </w:tcPr>
          <w:p>
            <w:r/>
            <w:r>
              <w:rPr>
                <w:b w:val="0"/>
              </w:rPr>
              <w:t>A semantic/query layer over transactional and master data with the division and hierarchy filters enforced on every answer.</w:t>
            </w:r>
          </w:p>
        </w:tc>
      </w:tr>
      <w:tr>
        <w:tc>
          <w:tcPr>
            <w:tcW w:type="dxa" w:w="4873"/>
          </w:tcPr>
          <w:p>
            <w:r/>
            <w:r>
              <w:rPr>
                <w:b w:val="0"/>
              </w:rPr>
              <w:t>Answer composition</w:t>
            </w:r>
          </w:p>
        </w:tc>
        <w:tc>
          <w:tcPr>
            <w:tcW w:type="dxa" w:w="4873"/>
          </w:tcPr>
          <w:p>
            <w:r/>
            <w:r>
              <w:rPr>
                <w:b w:val="0"/>
              </w:rPr>
              <w:t>Retrieve and compute the relevant figures and reply in plain language with supporting tables and values, including before/after-deduction awareness.</w:t>
            </w:r>
          </w:p>
        </w:tc>
      </w:tr>
      <w:tr>
        <w:tc>
          <w:tcPr>
            <w:tcW w:type="dxa" w:w="4873"/>
          </w:tcPr>
          <w:p>
            <w:r/>
            <w:r>
              <w:rPr>
                <w:b w:val="0"/>
              </w:rPr>
              <w:t>Conversational UI</w:t>
            </w:r>
          </w:p>
        </w:tc>
        <w:tc>
          <w:tcPr>
            <w:tcW w:type="dxa" w:w="4873"/>
          </w:tcPr>
          <w:p>
            <w:r/>
            <w:r>
              <w:rPr>
                <w:b w:val="0"/>
              </w:rPr>
              <w:t>A chat panel in the portal tied to the session division switcher, with message history, follow-up context, suggested prompts and exportable results.</w:t>
            </w:r>
          </w:p>
        </w:tc>
      </w:tr>
      <w:tr>
        <w:tc>
          <w:tcPr>
            <w:tcW w:type="dxa" w:w="4873"/>
          </w:tcPr>
          <w:p>
            <w:r/>
            <w:r>
              <w:rPr>
                <w:b w:val="0"/>
              </w:rPr>
              <w:t>Guardrails &amp; governance</w:t>
            </w:r>
          </w:p>
        </w:tc>
        <w:tc>
          <w:tcPr>
            <w:tcW w:type="dxa" w:w="4873"/>
          </w:tcPr>
          <w:p>
            <w:r/>
            <w:r>
              <w:rPr>
                <w:b w:val="0"/>
              </w:rPr>
              <w:t>Grounding to actual data (no fabricated figures), access-control enforcement, out-of-scope handling, confidence behaviour and query audit logging.</w:t>
            </w:r>
          </w:p>
        </w:tc>
      </w:tr>
    </w:tbl>
    <w:p/>
    <w:p>
      <w:pPr>
        <w:pStyle w:val="Heading1"/>
      </w:pPr>
      <w:r>
        <w:t>5. Scope of Work</w:t>
      </w:r>
    </w:p>
    <w:p>
      <w:r>
        <w:t>5.1 In Scope</w:t>
      </w:r>
    </w:p>
    <w:p>
      <w:pPr>
        <w:pStyle w:val="ListBullet"/>
      </w:pPr>
      <w:r>
        <w:t>Discovery of the questions the sales hierarchy asks and definition of the supported analytics intents and conversation flows.</w:t>
      </w:r>
    </w:p>
    <w:p>
      <w:pPr>
        <w:pStyle w:val="ListBullet"/>
      </w:pPr>
      <w:r>
        <w:t>A governed semantic/query layer over schemes, statements, deductions, targets, primary/secondary sales, stockists, products, doctors and HQ.</w:t>
      </w:r>
    </w:p>
    <w:p>
      <w:pPr>
        <w:pStyle w:val="ListBullet"/>
      </w:pPr>
      <w:r>
        <w:t>AI-driven natural-language understanding and safe, parameterised query generation with entity resolution and disambiguation.</w:t>
      </w:r>
    </w:p>
    <w:p>
      <w:pPr>
        <w:pStyle w:val="ListBullet"/>
      </w:pPr>
      <w:r>
        <w:t>Retrieval and answer composition with supporting figures, period/financial-year handling and before/after-deduction awareness.</w:t>
      </w:r>
    </w:p>
    <w:p>
      <w:pPr>
        <w:pStyle w:val="ListBullet"/>
      </w:pPr>
      <w:r>
        <w:t>A conversational UI in the portal integrated with the session division switcher and hierarchy scope.</w:t>
      </w:r>
    </w:p>
    <w:p>
      <w:pPr>
        <w:pStyle w:val="ListBullet"/>
      </w:pPr>
      <w:r>
        <w:t>Guardrails: grounding to real data, access-control enforcement, out-of-scope and ‘don’t know’ behaviour, and query audit logging.</w:t>
      </w:r>
    </w:p>
    <w:p>
      <w:pPr>
        <w:pStyle w:val="ListBullet"/>
      </w:pPr>
      <w:r>
        <w:t>An evaluation set of real questions, accuracy measurement, prompt/intent tuning and performance/latency tuning.</w:t>
      </w:r>
    </w:p>
    <w:p>
      <w:pPr>
        <w:pStyle w:val="ListBullet"/>
      </w:pPr>
      <w:r>
        <w:t>End-to-end UAT, security review, user and prompt guides, deployment and handover.</w:t>
      </w:r>
    </w:p>
    <w:p>
      <w:r>
        <w:t>5.2 Out of Scope</w:t>
      </w:r>
    </w:p>
    <w:p>
      <w:pPr>
        <w:pStyle w:val="ListBullet"/>
      </w:pPr>
      <w:r>
        <w:t>New transactional actions initiated from the chatbot (it answers and analyses; it does not create or approve transactions).</w:t>
      </w:r>
    </w:p>
    <w:p>
      <w:pPr>
        <w:pStyle w:val="ListBullet"/>
      </w:pPr>
      <w:r>
        <w:t>Analytics over data sources outside the Scanify platform.</w:t>
      </w:r>
    </w:p>
    <w:p>
      <w:pPr>
        <w:pStyle w:val="ListBullet"/>
      </w:pPr>
      <w:r>
        <w:t>Data cleansing or correction of pre-existing master/transactional data-quality issues.</w:t>
      </w:r>
    </w:p>
    <w:p>
      <w:pPr>
        <w:pStyle w:val="ListBullet"/>
      </w:pPr>
      <w:r>
        <w:t>Ongoing production support / AMC, which can be covered under a separate support agreement.</w:t>
      </w:r>
    </w:p>
    <w:p>
      <w:pPr>
        <w:pStyle w:val="ListBullet"/>
      </w:pPr>
      <w:r>
        <w:t>Any new functional change or scope expansion requested after sign-off, which will be raised as a separate CR.</w:t>
      </w:r>
    </w:p>
    <w:p/>
    <w:p>
      <w:pPr>
        <w:pStyle w:val="Heading1"/>
      </w:pPr>
      <w:r>
        <w:t>6. Delivery Approach &amp; Methodology</w:t>
      </w:r>
    </w:p>
    <w:p>
      <w:r>
        <w:t>The module was delivered in a controlled, phased manner over the 45-day engagement:</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Phase</w:t>
            </w:r>
          </w:p>
        </w:tc>
        <w:tc>
          <w:tcPr>
            <w:tcW w:type="dxa" w:w="4873"/>
            <w:shd w:val="clear" w:color="auto" w:fill="1F4E79"/>
          </w:tcPr>
          <w:p>
            <w:r/>
            <w:r>
              <w:rPr>
                <w:b/>
                <w:color w:val="FFFFFF"/>
                <w:sz w:val="20"/>
              </w:rPr>
              <w:t>Key Activities</w:t>
            </w:r>
          </w:p>
        </w:tc>
      </w:tr>
      <w:tr>
        <w:tc>
          <w:tcPr>
            <w:tcW w:type="dxa" w:w="4873"/>
          </w:tcPr>
          <w:p>
            <w:r/>
            <w:r>
              <w:rPr>
                <w:b w:val="0"/>
              </w:rPr>
              <w:t>Phase 1 – Discovery &amp; design</w:t>
            </w:r>
          </w:p>
        </w:tc>
        <w:tc>
          <w:tcPr>
            <w:tcW w:type="dxa" w:w="4873"/>
          </w:tcPr>
          <w:p>
            <w:r/>
            <w:r>
              <w:rPr>
                <w:b w:val="0"/>
              </w:rPr>
              <w:t>Catalogue the questions asked across the hierarchy; define supported intents and conversation flows; define the division-scoped answer contract.</w:t>
            </w:r>
          </w:p>
        </w:tc>
      </w:tr>
      <w:tr>
        <w:tc>
          <w:tcPr>
            <w:tcW w:type="dxa" w:w="4873"/>
          </w:tcPr>
          <w:p>
            <w:r/>
            <w:r>
              <w:rPr>
                <w:b w:val="0"/>
              </w:rPr>
              <w:t>Phase 2 – Data &amp; semantic layer</w:t>
            </w:r>
          </w:p>
        </w:tc>
        <w:tc>
          <w:tcPr>
            <w:tcW w:type="dxa" w:w="4873"/>
          </w:tcPr>
          <w:p>
            <w:r/>
            <w:r>
              <w:rPr>
                <w:b w:val="0"/>
              </w:rPr>
              <w:t>Build a governed semantic/query layer over transactional and master data with division and hierarchy filters enforced on every answer.</w:t>
            </w:r>
          </w:p>
        </w:tc>
      </w:tr>
      <w:tr>
        <w:tc>
          <w:tcPr>
            <w:tcW w:type="dxa" w:w="4873"/>
          </w:tcPr>
          <w:p>
            <w:r/>
            <w:r>
              <w:rPr>
                <w:b w:val="0"/>
              </w:rPr>
              <w:t>Phase 3 – NLU &amp; query generation</w:t>
            </w:r>
          </w:p>
        </w:tc>
        <w:tc>
          <w:tcPr>
            <w:tcW w:type="dxa" w:w="4873"/>
          </w:tcPr>
          <w:p>
            <w:r/>
            <w:r>
              <w:rPr>
                <w:b w:val="0"/>
              </w:rPr>
              <w:t>AI interpretation of questions into safe, parameterised queries; entity resolution to masters; disambiguation prompts.</w:t>
            </w:r>
          </w:p>
        </w:tc>
      </w:tr>
      <w:tr>
        <w:tc>
          <w:tcPr>
            <w:tcW w:type="dxa" w:w="4873"/>
          </w:tcPr>
          <w:p>
            <w:r/>
            <w:r>
              <w:rPr>
                <w:b w:val="0"/>
              </w:rPr>
              <w:t>Phase 4 – Retrieval &amp; answers</w:t>
            </w:r>
          </w:p>
        </w:tc>
        <w:tc>
          <w:tcPr>
            <w:tcW w:type="dxa" w:w="4873"/>
          </w:tcPr>
          <w:p>
            <w:r/>
            <w:r>
              <w:rPr>
                <w:b w:val="0"/>
              </w:rPr>
              <w:t>Retrieve records/metrics, compute figures and compose natural-language answers with tables; period/FY and before/after-deduction handling.</w:t>
            </w:r>
          </w:p>
        </w:tc>
      </w:tr>
      <w:tr>
        <w:tc>
          <w:tcPr>
            <w:tcW w:type="dxa" w:w="4873"/>
          </w:tcPr>
          <w:p>
            <w:r/>
            <w:r>
              <w:rPr>
                <w:b w:val="0"/>
              </w:rPr>
              <w:t>Phase 5 – Conversational UI</w:t>
            </w:r>
          </w:p>
        </w:tc>
        <w:tc>
          <w:tcPr>
            <w:tcW w:type="dxa" w:w="4873"/>
          </w:tcPr>
          <w:p>
            <w:r/>
            <w:r>
              <w:rPr>
                <w:b w:val="0"/>
              </w:rPr>
              <w:t>Chat panel integrated with the division switcher/session; history, follow-up context, suggested prompts, exportable results.</w:t>
            </w:r>
          </w:p>
        </w:tc>
      </w:tr>
      <w:tr>
        <w:tc>
          <w:tcPr>
            <w:tcW w:type="dxa" w:w="4873"/>
          </w:tcPr>
          <w:p>
            <w:r/>
            <w:r>
              <w:rPr>
                <w:b w:val="0"/>
              </w:rPr>
              <w:t>Phase 6 – Guardrails &amp; governance</w:t>
            </w:r>
          </w:p>
        </w:tc>
        <w:tc>
          <w:tcPr>
            <w:tcW w:type="dxa" w:w="4873"/>
          </w:tcPr>
          <w:p>
            <w:r/>
            <w:r>
              <w:rPr>
                <w:b w:val="0"/>
              </w:rPr>
              <w:t>Grounding, access-control enforcement, out-of-scope handling, confidence behaviour and query audit logging.</w:t>
            </w:r>
          </w:p>
        </w:tc>
      </w:tr>
      <w:tr>
        <w:tc>
          <w:tcPr>
            <w:tcW w:type="dxa" w:w="4873"/>
          </w:tcPr>
          <w:p>
            <w:r/>
            <w:r>
              <w:rPr>
                <w:b w:val="0"/>
              </w:rPr>
              <w:t>Phase 7 – Evaluation &amp; tuning</w:t>
            </w:r>
          </w:p>
        </w:tc>
        <w:tc>
          <w:tcPr>
            <w:tcW w:type="dxa" w:w="4873"/>
          </w:tcPr>
          <w:p>
            <w:r/>
            <w:r>
              <w:rPr>
                <w:b w:val="0"/>
              </w:rPr>
              <w:t>Evaluation set of real questions; accuracy measurement; intent/entity/prompt tuning; performance and caching.</w:t>
            </w:r>
          </w:p>
        </w:tc>
      </w:tr>
      <w:tr>
        <w:tc>
          <w:tcPr>
            <w:tcW w:type="dxa" w:w="4873"/>
          </w:tcPr>
          <w:p>
            <w:r/>
            <w:r>
              <w:rPr>
                <w:b w:val="0"/>
              </w:rPr>
              <w:t>Phase 8 – UAT &amp; go-live</w:t>
            </w:r>
          </w:p>
        </w:tc>
        <w:tc>
          <w:tcPr>
            <w:tcW w:type="dxa" w:w="4873"/>
          </w:tcPr>
          <w:p>
            <w:r/>
            <w:r>
              <w:rPr>
                <w:b w:val="0"/>
              </w:rPr>
              <w:t>End-to-end UAT, security review, documentation, deployment and handover.</w:t>
            </w:r>
          </w:p>
        </w:tc>
      </w:tr>
    </w:tbl>
    <w:p/>
    <w:p>
      <w:pPr>
        <w:pStyle w:val="Heading1"/>
      </w:pPr>
      <w:r>
        <w:t>7. Detailed Effort Estimation</w:t>
      </w:r>
    </w:p>
    <w:p>
      <w:r>
        <w:t>The total estimated effort for this change is 45 (forty-five) person-days. The breakdown is as follows: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F4E79"/>
          </w:tcPr>
          <w:p>
            <w:r/>
            <w:r>
              <w:rPr>
                <w:b/>
                <w:color w:val="FFFFFF"/>
                <w:sz w:val="20"/>
              </w:rPr>
              <w:t>Stage</w:t>
            </w:r>
          </w:p>
        </w:tc>
        <w:tc>
          <w:tcPr>
            <w:tcW w:type="dxa" w:w="3249"/>
            <w:shd w:val="clear" w:color="auto" w:fill="1F4E79"/>
          </w:tcPr>
          <w:p>
            <w:r/>
            <w:r>
              <w:rPr>
                <w:b/>
                <w:color w:val="FFFFFF"/>
                <w:sz w:val="20"/>
              </w:rPr>
              <w:t>Focus</w:t>
            </w:r>
          </w:p>
        </w:tc>
        <w:tc>
          <w:tcPr>
            <w:tcW w:type="dxa" w:w="3249"/>
            <w:shd w:val="clear" w:color="auto" w:fill="1F4E79"/>
          </w:tcPr>
          <w:p>
            <w:r/>
            <w:r>
              <w:rPr>
                <w:b/>
                <w:color w:val="FFFFFF"/>
                <w:sz w:val="20"/>
              </w:rPr>
              <w:t>Activities</w:t>
            </w:r>
          </w:p>
        </w:tc>
      </w:tr>
      <w:tr>
        <w:tc>
          <w:tcPr>
            <w:tcW w:type="dxa" w:w="3249"/>
          </w:tcPr>
          <w:p>
            <w:r/>
            <w:r>
              <w:rPr>
                <w:b w:val="0"/>
              </w:rPr>
              <w:t>Days 1–4</w:t>
            </w:r>
          </w:p>
        </w:tc>
        <w:tc>
          <w:tcPr>
            <w:tcW w:type="dxa" w:w="3249"/>
          </w:tcPr>
          <w:p>
            <w:r/>
            <w:r>
              <w:rPr>
                <w:b w:val="0"/>
              </w:rPr>
              <w:t>Discovery &amp; conversation design</w:t>
            </w:r>
          </w:p>
        </w:tc>
        <w:tc>
          <w:tcPr>
            <w:tcW w:type="dxa" w:w="3249"/>
          </w:tcPr>
          <w:p>
            <w:r/>
            <w:r>
              <w:rPr>
                <w:b w:val="0"/>
              </w:rPr>
              <w:t>Catalogue hierarchy questions; define supported intents (sales, schemes, deductions, targets, stock, rankings); design flows and the division-scoped answer contract.</w:t>
            </w:r>
          </w:p>
        </w:tc>
      </w:tr>
      <w:tr>
        <w:tc>
          <w:tcPr>
            <w:tcW w:type="dxa" w:w="3249"/>
          </w:tcPr>
          <w:p>
            <w:r/>
            <w:r>
              <w:rPr>
                <w:b w:val="0"/>
              </w:rPr>
              <w:t>Days 5–10</w:t>
            </w:r>
          </w:p>
        </w:tc>
        <w:tc>
          <w:tcPr>
            <w:tcW w:type="dxa" w:w="3249"/>
          </w:tcPr>
          <w:p>
            <w:r/>
            <w:r>
              <w:rPr>
                <w:b w:val="0"/>
              </w:rPr>
              <w:t>Data &amp; semantic layer</w:t>
            </w:r>
          </w:p>
        </w:tc>
        <w:tc>
          <w:tcPr>
            <w:tcW w:type="dxa" w:w="3249"/>
          </w:tcPr>
          <w:p>
            <w:r/>
            <w:r>
              <w:rPr>
                <w:b w:val="0"/>
              </w:rPr>
              <w:t>Governed semantic/query layer over schemes, statements, deductions, targets, sales, stockists, products, doctors, HQ; enforce Division → Zone → Region → Team → HQ filters.</w:t>
            </w:r>
          </w:p>
        </w:tc>
      </w:tr>
      <w:tr>
        <w:tc>
          <w:tcPr>
            <w:tcW w:type="dxa" w:w="3249"/>
          </w:tcPr>
          <w:p>
            <w:r/>
            <w:r>
              <w:rPr>
                <w:b w:val="0"/>
              </w:rPr>
              <w:t>Days 11–18</w:t>
            </w:r>
          </w:p>
        </w:tc>
        <w:tc>
          <w:tcPr>
            <w:tcW w:type="dxa" w:w="3249"/>
          </w:tcPr>
          <w:p>
            <w:r/>
            <w:r>
              <w:rPr>
                <w:b w:val="0"/>
              </w:rPr>
              <w:t>NLU &amp; query generation</w:t>
            </w:r>
          </w:p>
        </w:tc>
        <w:tc>
          <w:tcPr>
            <w:tcW w:type="dxa" w:w="3249"/>
          </w:tcPr>
          <w:p>
            <w:r/>
            <w:r>
              <w:rPr>
                <w:b w:val="0"/>
              </w:rPr>
              <w:t>AI interpretation of questions into safe parameterised queries; entity resolution (stockist/product/region/HQ/doctor/FY); disambiguation.</w:t>
            </w:r>
          </w:p>
        </w:tc>
      </w:tr>
      <w:tr>
        <w:tc>
          <w:tcPr>
            <w:tcW w:type="dxa" w:w="3249"/>
          </w:tcPr>
          <w:p>
            <w:r/>
            <w:r>
              <w:rPr>
                <w:b w:val="0"/>
              </w:rPr>
              <w:t>Days 19–25</w:t>
            </w:r>
          </w:p>
        </w:tc>
        <w:tc>
          <w:tcPr>
            <w:tcW w:type="dxa" w:w="3249"/>
          </w:tcPr>
          <w:p>
            <w:r/>
            <w:r>
              <w:rPr>
                <w:b w:val="0"/>
              </w:rPr>
              <w:t>Retrieval &amp; answer composition</w:t>
            </w:r>
          </w:p>
        </w:tc>
        <w:tc>
          <w:tcPr>
            <w:tcW w:type="dxa" w:w="3249"/>
          </w:tcPr>
          <w:p>
            <w:r/>
            <w:r>
              <w:rPr>
                <w:b w:val="0"/>
              </w:rPr>
              <w:t>Retrieve records/metrics, compute figures, compose natural-language answers with tables; period/FY and before/after-deduction handling.</w:t>
            </w:r>
          </w:p>
        </w:tc>
      </w:tr>
      <w:tr>
        <w:tc>
          <w:tcPr>
            <w:tcW w:type="dxa" w:w="3249"/>
          </w:tcPr>
          <w:p>
            <w:r/>
            <w:r>
              <w:rPr>
                <w:b w:val="0"/>
              </w:rPr>
              <w:t>Days 26–30</w:t>
            </w:r>
          </w:p>
        </w:tc>
        <w:tc>
          <w:tcPr>
            <w:tcW w:type="dxa" w:w="3249"/>
          </w:tcPr>
          <w:p>
            <w:r/>
            <w:r>
              <w:rPr>
                <w:b w:val="0"/>
              </w:rPr>
              <w:t>Conversational UI</w:t>
            </w:r>
          </w:p>
        </w:tc>
        <w:tc>
          <w:tcPr>
            <w:tcW w:type="dxa" w:w="3249"/>
          </w:tcPr>
          <w:p>
            <w:r/>
            <w:r>
              <w:rPr>
                <w:b w:val="0"/>
              </w:rPr>
              <w:t>Portal chat panel tied to the division switcher/session; message history, follow-up context, suggested prompts, exportable results.</w:t>
            </w:r>
          </w:p>
        </w:tc>
      </w:tr>
      <w:tr>
        <w:tc>
          <w:tcPr>
            <w:tcW w:type="dxa" w:w="3249"/>
          </w:tcPr>
          <w:p>
            <w:r/>
            <w:r>
              <w:rPr>
                <w:b w:val="0"/>
              </w:rPr>
              <w:t>Days 31–35</w:t>
            </w:r>
          </w:p>
        </w:tc>
        <w:tc>
          <w:tcPr>
            <w:tcW w:type="dxa" w:w="3249"/>
          </w:tcPr>
          <w:p>
            <w:r/>
            <w:r>
              <w:rPr>
                <w:b w:val="0"/>
              </w:rPr>
              <w:t>Guardrails &amp; governance</w:t>
            </w:r>
          </w:p>
        </w:tc>
        <w:tc>
          <w:tcPr>
            <w:tcW w:type="dxa" w:w="3249"/>
          </w:tcPr>
          <w:p>
            <w:r/>
            <w:r>
              <w:rPr>
                <w:b w:val="0"/>
              </w:rPr>
              <w:t>Grounding to real data (no fabricated numbers); access-control enforcement; out-of-scope and ‘don’t know’ behaviour; query audit logging.</w:t>
            </w:r>
          </w:p>
        </w:tc>
      </w:tr>
      <w:tr>
        <w:tc>
          <w:tcPr>
            <w:tcW w:type="dxa" w:w="3249"/>
          </w:tcPr>
          <w:p>
            <w:r/>
            <w:r>
              <w:rPr>
                <w:b w:val="0"/>
              </w:rPr>
              <w:t>Days 36–40</w:t>
            </w:r>
          </w:p>
        </w:tc>
        <w:tc>
          <w:tcPr>
            <w:tcW w:type="dxa" w:w="3249"/>
          </w:tcPr>
          <w:p>
            <w:r/>
            <w:r>
              <w:rPr>
                <w:b w:val="0"/>
              </w:rPr>
              <w:t>Evaluation &amp; tuning</w:t>
            </w:r>
          </w:p>
        </w:tc>
        <w:tc>
          <w:tcPr>
            <w:tcW w:type="dxa" w:w="3249"/>
          </w:tcPr>
          <w:p>
            <w:r/>
            <w:r>
              <w:rPr>
                <w:b w:val="0"/>
              </w:rPr>
              <w:t>Evaluation set of real questions; accuracy measurement; intent/entity/prompt tuning; performance/latency tuning and caching.</w:t>
            </w:r>
          </w:p>
        </w:tc>
      </w:tr>
      <w:tr>
        <w:tc>
          <w:tcPr>
            <w:tcW w:type="dxa" w:w="3249"/>
          </w:tcPr>
          <w:p>
            <w:r/>
            <w:r>
              <w:rPr>
                <w:b w:val="0"/>
              </w:rPr>
              <w:t>Days 41–45</w:t>
            </w:r>
          </w:p>
        </w:tc>
        <w:tc>
          <w:tcPr>
            <w:tcW w:type="dxa" w:w="3249"/>
          </w:tcPr>
          <w:p>
            <w:r/>
            <w:r>
              <w:rPr>
                <w:b w:val="0"/>
              </w:rPr>
              <w:t>UAT, hardening &amp; go-live</w:t>
            </w:r>
          </w:p>
        </w:tc>
        <w:tc>
          <w:tcPr>
            <w:tcW w:type="dxa" w:w="3249"/>
          </w:tcPr>
          <w:p>
            <w:r/>
            <w:r>
              <w:rPr>
                <w:b w:val="0"/>
              </w:rPr>
              <w:t>End-to-end UAT with business users; security review; user and prompt guides; deployment and handover.</w:t>
            </w:r>
          </w:p>
        </w:tc>
      </w:tr>
    </w:tbl>
    <w:p>
      <w:r>
        <w:t>Total Effort: 45 person-days.</w:t>
      </w:r>
    </w:p>
    <w:p>
      <w:r>
        <w:t>Effort is expressed in person-days of dedicated engineering work and reflects the design-and-build effort delivered beyond the SRS baseline, presented here for formal approval and commercial settlement.</w:t>
      </w:r>
    </w:p>
    <w:p/>
    <w:p>
      <w:pPr>
        <w:pStyle w:val="Heading1"/>
      </w:pPr>
      <w:r>
        <w:t>8. Indicative Timeline</w:t>
      </w:r>
    </w:p>
    <w:p>
      <w:r>
        <w:t>Subject to written approval of this CR, the effort is represented as a continuous 45 working-day engagement across eight phases.</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Milestone</w:t>
            </w:r>
          </w:p>
        </w:tc>
        <w:tc>
          <w:tcPr>
            <w:tcW w:type="dxa" w:w="4873"/>
            <w:shd w:val="clear" w:color="auto" w:fill="1F4E79"/>
          </w:tcPr>
          <w:p>
            <w:r/>
            <w:r>
              <w:rPr>
                <w:b/>
                <w:color w:val="FFFFFF"/>
                <w:sz w:val="20"/>
              </w:rPr>
              <w:t>Target</w:t>
            </w:r>
          </w:p>
        </w:tc>
      </w:tr>
      <w:tr>
        <w:tc>
          <w:tcPr>
            <w:tcW w:type="dxa" w:w="4873"/>
          </w:tcPr>
          <w:p>
            <w:r/>
            <w:r>
              <w:rPr>
                <w:b w:val="0"/>
              </w:rPr>
              <w:t>CR approval &amp; inputs received</w:t>
            </w:r>
          </w:p>
        </w:tc>
        <w:tc>
          <w:tcPr>
            <w:tcW w:type="dxa" w:w="4873"/>
          </w:tcPr>
          <w:p>
            <w:r/>
            <w:r>
              <w:rPr>
                <w:b w:val="0"/>
              </w:rPr>
              <w:t>Day 0</w:t>
            </w:r>
          </w:p>
        </w:tc>
      </w:tr>
      <w:tr>
        <w:tc>
          <w:tcPr>
            <w:tcW w:type="dxa" w:w="4873"/>
          </w:tcPr>
          <w:p>
            <w:r/>
            <w:r>
              <w:rPr>
                <w:b w:val="0"/>
              </w:rPr>
              <w:t>Discovery &amp; conversation design complete</w:t>
            </w:r>
          </w:p>
        </w:tc>
        <w:tc>
          <w:tcPr>
            <w:tcW w:type="dxa" w:w="4873"/>
          </w:tcPr>
          <w:p>
            <w:r/>
            <w:r>
              <w:rPr>
                <w:b w:val="0"/>
              </w:rPr>
              <w:t>End of Day 4</w:t>
            </w:r>
          </w:p>
        </w:tc>
      </w:tr>
      <w:tr>
        <w:tc>
          <w:tcPr>
            <w:tcW w:type="dxa" w:w="4873"/>
          </w:tcPr>
          <w:p>
            <w:r/>
            <w:r>
              <w:rPr>
                <w:b w:val="0"/>
              </w:rPr>
              <w:t>Data &amp; semantic layer ready</w:t>
            </w:r>
          </w:p>
        </w:tc>
        <w:tc>
          <w:tcPr>
            <w:tcW w:type="dxa" w:w="4873"/>
          </w:tcPr>
          <w:p>
            <w:r/>
            <w:r>
              <w:rPr>
                <w:b w:val="0"/>
              </w:rPr>
              <w:t>End of Day 10</w:t>
            </w:r>
          </w:p>
        </w:tc>
      </w:tr>
      <w:tr>
        <w:tc>
          <w:tcPr>
            <w:tcW w:type="dxa" w:w="4873"/>
          </w:tcPr>
          <w:p>
            <w:r/>
            <w:r>
              <w:rPr>
                <w:b w:val="0"/>
              </w:rPr>
              <w:t>NLU &amp; query generation ready</w:t>
            </w:r>
          </w:p>
        </w:tc>
        <w:tc>
          <w:tcPr>
            <w:tcW w:type="dxa" w:w="4873"/>
          </w:tcPr>
          <w:p>
            <w:r/>
            <w:r>
              <w:rPr>
                <w:b w:val="0"/>
              </w:rPr>
              <w:t>End of Day 18</w:t>
            </w:r>
          </w:p>
        </w:tc>
      </w:tr>
      <w:tr>
        <w:tc>
          <w:tcPr>
            <w:tcW w:type="dxa" w:w="4873"/>
          </w:tcPr>
          <w:p>
            <w:r/>
            <w:r>
              <w:rPr>
                <w:b w:val="0"/>
              </w:rPr>
              <w:t>Retrieval &amp; answer composition ready</w:t>
            </w:r>
          </w:p>
        </w:tc>
        <w:tc>
          <w:tcPr>
            <w:tcW w:type="dxa" w:w="4873"/>
          </w:tcPr>
          <w:p>
            <w:r/>
            <w:r>
              <w:rPr>
                <w:b w:val="0"/>
              </w:rPr>
              <w:t>End of Day 25</w:t>
            </w:r>
          </w:p>
        </w:tc>
      </w:tr>
      <w:tr>
        <w:tc>
          <w:tcPr>
            <w:tcW w:type="dxa" w:w="4873"/>
          </w:tcPr>
          <w:p>
            <w:r/>
            <w:r>
              <w:rPr>
                <w:b w:val="0"/>
              </w:rPr>
              <w:t>Conversational UI ready</w:t>
            </w:r>
          </w:p>
        </w:tc>
        <w:tc>
          <w:tcPr>
            <w:tcW w:type="dxa" w:w="4873"/>
          </w:tcPr>
          <w:p>
            <w:r/>
            <w:r>
              <w:rPr>
                <w:b w:val="0"/>
              </w:rPr>
              <w:t>End of Day 30</w:t>
            </w:r>
          </w:p>
        </w:tc>
      </w:tr>
      <w:tr>
        <w:tc>
          <w:tcPr>
            <w:tcW w:type="dxa" w:w="4873"/>
          </w:tcPr>
          <w:p>
            <w:r/>
            <w:r>
              <w:rPr>
                <w:b w:val="0"/>
              </w:rPr>
              <w:t>Guardrails &amp; governance complete</w:t>
            </w:r>
          </w:p>
        </w:tc>
        <w:tc>
          <w:tcPr>
            <w:tcW w:type="dxa" w:w="4873"/>
          </w:tcPr>
          <w:p>
            <w:r/>
            <w:r>
              <w:rPr>
                <w:b w:val="0"/>
              </w:rPr>
              <w:t>End of Day 35</w:t>
            </w:r>
          </w:p>
        </w:tc>
      </w:tr>
      <w:tr>
        <w:tc>
          <w:tcPr>
            <w:tcW w:type="dxa" w:w="4873"/>
          </w:tcPr>
          <w:p>
            <w:r/>
            <w:r>
              <w:rPr>
                <w:b w:val="0"/>
              </w:rPr>
              <w:t>Evaluation &amp; tuning complete</w:t>
            </w:r>
          </w:p>
        </w:tc>
        <w:tc>
          <w:tcPr>
            <w:tcW w:type="dxa" w:w="4873"/>
          </w:tcPr>
          <w:p>
            <w:r/>
            <w:r>
              <w:rPr>
                <w:b w:val="0"/>
              </w:rPr>
              <w:t>End of Day 40</w:t>
            </w:r>
          </w:p>
        </w:tc>
      </w:tr>
      <w:tr>
        <w:tc>
          <w:tcPr>
            <w:tcW w:type="dxa" w:w="4873"/>
          </w:tcPr>
          <w:p>
            <w:r/>
            <w:r>
              <w:rPr>
                <w:b w:val="0"/>
              </w:rPr>
              <w:t>UAT, security review &amp; go-live</w:t>
            </w:r>
          </w:p>
        </w:tc>
        <w:tc>
          <w:tcPr>
            <w:tcW w:type="dxa" w:w="4873"/>
          </w:tcPr>
          <w:p>
            <w:r/>
            <w:r>
              <w:rPr>
                <w:b w:val="0"/>
              </w:rPr>
              <w:t>End of Day 45</w:t>
            </w:r>
          </w:p>
        </w:tc>
      </w:tr>
    </w:tbl>
    <w:p/>
    <w:p>
      <w:pPr>
        <w:pStyle w:val="Heading1"/>
      </w:pPr>
      <w:r>
        <w:t>9. Commercials – Implementation Fee</w:t>
      </w:r>
    </w:p>
    <w:p>
      <w:r>
        <w:t>This is a one-time change request with an associated implementation fee for the 45 person-days of design and build effort described above.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F4E79"/>
          </w:tcPr>
          <w:p>
            <w:r/>
            <w:r>
              <w:rPr>
                <w:b/>
                <w:color w:val="FFFFFF"/>
                <w:sz w:val="20"/>
              </w:rPr>
              <w:t>#</w:t>
            </w:r>
          </w:p>
        </w:tc>
        <w:tc>
          <w:tcPr>
            <w:tcW w:type="dxa" w:w="2436"/>
            <w:shd w:val="clear" w:color="auto" w:fill="1F4E79"/>
          </w:tcPr>
          <w:p>
            <w:r/>
            <w:r>
              <w:rPr>
                <w:b/>
                <w:color w:val="FFFFFF"/>
                <w:sz w:val="20"/>
              </w:rPr>
              <w:t>Description</w:t>
            </w:r>
          </w:p>
        </w:tc>
        <w:tc>
          <w:tcPr>
            <w:tcW w:type="dxa" w:w="2436"/>
            <w:shd w:val="clear" w:color="auto" w:fill="1F4E79"/>
          </w:tcPr>
          <w:p>
            <w:r/>
            <w:r>
              <w:rPr>
                <w:b/>
                <w:color w:val="FFFFFF"/>
                <w:sz w:val="20"/>
              </w:rPr>
              <w:t>Effort</w:t>
            </w:r>
          </w:p>
        </w:tc>
        <w:tc>
          <w:tcPr>
            <w:tcW w:type="dxa" w:w="2436"/>
            <w:shd w:val="clear" w:color="auto" w:fill="1F4E79"/>
          </w:tcPr>
          <w:p>
            <w:r/>
            <w:r>
              <w:rPr>
                <w:b/>
                <w:color w:val="FFFFFF"/>
                <w:sz w:val="20"/>
              </w:rPr>
              <w:t>Amount</w:t>
            </w:r>
          </w:p>
        </w:tc>
      </w:tr>
      <w:tr>
        <w:tc>
          <w:tcPr>
            <w:tcW w:type="dxa" w:w="2436"/>
          </w:tcPr>
          <w:p>
            <w:r/>
            <w:r>
              <w:rPr>
                <w:b w:val="0"/>
              </w:rPr>
              <w:t>1</w:t>
            </w:r>
          </w:p>
        </w:tc>
        <w:tc>
          <w:tcPr>
            <w:tcW w:type="dxa" w:w="2436"/>
          </w:tcPr>
          <w:p>
            <w:r/>
            <w:r>
              <w:rPr>
                <w:b w:val="0"/>
              </w:rPr>
              <w:t>Design and delivery of the AI Analytics Chatbot – natural-language understanding, governed data/semantic layer, entity resolution, retrieval and answer composition, conversational UI, guardrails, evaluation/tuning and go-live.</w:t>
            </w:r>
          </w:p>
        </w:tc>
        <w:tc>
          <w:tcPr>
            <w:tcW w:type="dxa" w:w="2436"/>
          </w:tcPr>
          <w:p>
            <w:r/>
            <w:r>
              <w:rPr>
                <w:b w:val="0"/>
              </w:rPr>
              <w:t>45 person-days</w:t>
            </w:r>
          </w:p>
        </w:tc>
        <w:tc>
          <w:tcPr>
            <w:tcW w:type="dxa" w:w="2436"/>
          </w:tcPr>
          <w:p>
            <w:r/>
            <w:r>
              <w:rPr>
                <w:b w:val="0"/>
              </w:rPr>
              <w:t>₹ ____________</w:t>
            </w:r>
          </w:p>
        </w:tc>
      </w:tr>
      <w:tr>
        <w:tc>
          <w:tcPr>
            <w:tcW w:type="dxa" w:w="2436"/>
          </w:tcPr>
          <w:p>
            <w:r/>
            <w:r>
              <w:rPr>
                <w:b w:val="0"/>
              </w:rPr>
            </w:r>
          </w:p>
        </w:tc>
        <w:tc>
          <w:tcPr>
            <w:tcW w:type="dxa" w:w="2436"/>
          </w:tcPr>
          <w:p>
            <w:r/>
            <w:r>
              <w:rPr>
                <w:b w:val="0"/>
              </w:rPr>
              <w:t>One-time Implementation Fee (Total)</w:t>
            </w:r>
          </w:p>
        </w:tc>
        <w:tc>
          <w:tcPr>
            <w:tcW w:type="dxa" w:w="2436"/>
          </w:tcPr>
          <w:p>
            <w:r/>
            <w:r>
              <w:rPr>
                <w:b w:val="0"/>
              </w:rPr>
              <w:t>45 person-days</w:t>
            </w:r>
          </w:p>
        </w:tc>
        <w:tc>
          <w:tcPr>
            <w:tcW w:type="dxa" w:w="2436"/>
          </w:tcPr>
          <w:p>
            <w:r/>
            <w:r>
              <w:rPr>
                <w:b w:val="0"/>
              </w:rPr>
              <w:t>₹ ____________</w:t>
            </w:r>
          </w:p>
        </w:tc>
      </w:tr>
    </w:tbl>
    <w:p>
      <w:pPr>
        <w:pStyle w:val="ListBullet"/>
      </w:pPr>
      <w:r>
        <w:t>Amounts are to be finalised and are shown as placeholders pending commercial confirmation.</w:t>
      </w:r>
    </w:p>
    <w:p>
      <w:pPr>
        <w:pStyle w:val="ListBullet"/>
      </w:pPr>
      <w:r>
        <w:t>Taxes (GST) as applicable will be charged additionally.</w:t>
      </w:r>
    </w:p>
    <w:p>
      <w:pPr>
        <w:pStyle w:val="ListBullet"/>
      </w:pPr>
      <w:r>
        <w:t>This capability has already been designed and delivered in the portal; this CR formalises and re-baselines it in line with the CR Report recommendation.</w:t>
      </w:r>
    </w:p>
    <w:p/>
    <w:p>
      <w:pPr>
        <w:pStyle w:val="Heading1"/>
      </w:pPr>
      <w:r>
        <w:t>10. Assumptions &amp; Client Dependencies</w:t>
      </w:r>
    </w:p>
    <w:p>
      <w:pPr>
        <w:pStyle w:val="ListBullet"/>
      </w:pPr>
      <w:r>
        <w:t>The capability described has been reviewed against the delivered portal and the CR Report (Delivered Scope vs. SRS).</w:t>
      </w:r>
    </w:p>
    <w:p>
      <w:pPr>
        <w:pStyle w:val="ListBullet"/>
      </w:pPr>
      <w:r>
        <w:t>Client-side stakeholders are available to review the delivered functionality and provide sign-off.</w:t>
      </w:r>
    </w:p>
    <w:p>
      <w:pPr>
        <w:pStyle w:val="ListBullet"/>
      </w:pPr>
      <w:r>
        <w:t>No further functional change or scope expansion is introduced under this CR beyond what is already delivered.</w:t>
      </w:r>
    </w:p>
    <w:p>
      <w:pPr>
        <w:pStyle w:val="ListBullet"/>
      </w:pPr>
      <w:r>
        <w:t>Existing master and transactional data required by this capability is available and reasonably clean.</w:t>
      </w:r>
    </w:p>
    <w:p>
      <w:pPr>
        <w:pStyle w:val="ListBullet"/>
      </w:pPr>
      <w:r>
        <w:t>The transactional and master data required to answer questions is available, reasonably clean and access-scoped by division and hierarchy.</w:t>
      </w:r>
    </w:p>
    <w:p>
      <w:pPr>
        <w:pStyle w:val="ListBullet"/>
      </w:pPr>
      <w:r>
        <w:t>Representative business questions are provided to build the evaluation set and tune accuracy.</w:t>
      </w:r>
    </w:p>
    <w:p>
      <w:pPr>
        <w:pStyle w:val="ListBullet"/>
      </w:pPr>
      <w:r>
        <w:t>The AI service/keys required to run the assistant are available in the target environment.</w:t>
      </w:r>
    </w:p>
    <w:p/>
    <w:p>
      <w:pPr>
        <w:pStyle w:val="Heading1"/>
      </w:pPr>
      <w:r>
        <w:t>11. Risks &amp; Mitigation</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Risk</w:t>
            </w:r>
          </w:p>
        </w:tc>
        <w:tc>
          <w:tcPr>
            <w:tcW w:type="dxa" w:w="4873"/>
            <w:shd w:val="clear" w:color="auto" w:fill="1F4E79"/>
          </w:tcPr>
          <w:p>
            <w:r/>
            <w:r>
              <w:rPr>
                <w:b/>
                <w:color w:val="FFFFFF"/>
                <w:sz w:val="20"/>
              </w:rPr>
              <w:t>Mitigation</w:t>
            </w:r>
          </w:p>
        </w:tc>
      </w:tr>
      <w:tr>
        <w:tc>
          <w:tcPr>
            <w:tcW w:type="dxa" w:w="4873"/>
          </w:tcPr>
          <w:p>
            <w:r/>
            <w:r>
              <w:rPr>
                <w:b w:val="0"/>
              </w:rPr>
              <w:t>Inaccurate or fabricated figures</w:t>
            </w:r>
          </w:p>
        </w:tc>
        <w:tc>
          <w:tcPr>
            <w:tcW w:type="dxa" w:w="4873"/>
          </w:tcPr>
          <w:p>
            <w:r/>
            <w:r>
              <w:rPr>
                <w:b w:val="0"/>
              </w:rPr>
              <w:t>Answers are grounded strictly in governed platform data; an evaluation set measures accuracy; ‘don’t know’ behaviour instead of guessing.</w:t>
            </w:r>
          </w:p>
        </w:tc>
      </w:tr>
      <w:tr>
        <w:tc>
          <w:tcPr>
            <w:tcW w:type="dxa" w:w="4873"/>
          </w:tcPr>
          <w:p>
            <w:r/>
            <w:r>
              <w:rPr>
                <w:b w:val="0"/>
              </w:rPr>
              <w:t>Data-access leakage across divisions/hierarchy</w:t>
            </w:r>
          </w:p>
        </w:tc>
        <w:tc>
          <w:tcPr>
            <w:tcW w:type="dxa" w:w="4873"/>
          </w:tcPr>
          <w:p>
            <w:r/>
            <w:r>
              <w:rPr>
                <w:b w:val="0"/>
              </w:rPr>
              <w:t>Division and Division → Zone → Region → Team → HQ filters enforced on every answer; query audit logging.</w:t>
            </w:r>
          </w:p>
        </w:tc>
      </w:tr>
      <w:tr>
        <w:tc>
          <w:tcPr>
            <w:tcW w:type="dxa" w:w="4873"/>
          </w:tcPr>
          <w:p>
            <w:r/>
            <w:r>
              <w:rPr>
                <w:b w:val="0"/>
              </w:rPr>
              <w:t>Misunderstood questions</w:t>
            </w:r>
          </w:p>
        </w:tc>
        <w:tc>
          <w:tcPr>
            <w:tcW w:type="dxa" w:w="4873"/>
          </w:tcPr>
          <w:p>
            <w:r/>
            <w:r>
              <w:rPr>
                <w:b w:val="0"/>
              </w:rPr>
              <w:t>Entity resolution with disambiguation prompts; suggested prompts to steer users; intent tuning against real questions.</w:t>
            </w:r>
          </w:p>
        </w:tc>
      </w:tr>
      <w:tr>
        <w:tc>
          <w:tcPr>
            <w:tcW w:type="dxa" w:w="4873"/>
          </w:tcPr>
          <w:p>
            <w:r/>
            <w:r>
              <w:rPr>
                <w:b w:val="0"/>
              </w:rPr>
              <w:t>Latency on heavy queries</w:t>
            </w:r>
          </w:p>
        </w:tc>
        <w:tc>
          <w:tcPr>
            <w:tcW w:type="dxa" w:w="4873"/>
          </w:tcPr>
          <w:p>
            <w:r/>
            <w:r>
              <w:rPr>
                <w:b w:val="0"/>
              </w:rPr>
              <w:t>Query-layer optimisation, caching and performance tuning; scoped result sizes.</w:t>
            </w:r>
          </w:p>
        </w:tc>
      </w:tr>
      <w:tr>
        <w:tc>
          <w:tcPr>
            <w:tcW w:type="dxa" w:w="4873"/>
          </w:tcPr>
          <w:p>
            <w:r/>
            <w:r>
              <w:rPr>
                <w:b w:val="0"/>
              </w:rPr>
              <w:t>Scope creep into transactional actions</w:t>
            </w:r>
          </w:p>
        </w:tc>
        <w:tc>
          <w:tcPr>
            <w:tcW w:type="dxa" w:w="4873"/>
          </w:tcPr>
          <w:p>
            <w:r/>
            <w:r>
              <w:rPr>
                <w:b w:val="0"/>
              </w:rPr>
              <w:t>The assistant is read/answer-only by design; transactional actions remain in their existing screens.</w:t>
            </w:r>
          </w:p>
        </w:tc>
      </w:tr>
    </w:tbl>
    <w:p/>
    <w:p>
      <w:pPr>
        <w:pStyle w:val="Heading1"/>
      </w:pPr>
      <w:r>
        <w:t>12. Deliverables</w:t>
      </w:r>
    </w:p>
    <w:p>
      <w:pPr>
        <w:pStyle w:val="ListBullet"/>
      </w:pPr>
      <w:r>
        <w:t>A working AI Analytics Chatbot in the portal, grounded in the platform’s governed data.</w:t>
      </w:r>
    </w:p>
    <w:p>
      <w:pPr>
        <w:pStyle w:val="ListBullet"/>
      </w:pPr>
      <w:r>
        <w:t>Natural-language understanding, entity resolution and safe query generation across sales, schemes, deductions, targets and stock.</w:t>
      </w:r>
    </w:p>
    <w:p>
      <w:pPr>
        <w:pStyle w:val="ListBullet"/>
      </w:pPr>
      <w:r>
        <w:t>A conversational UI tied to the division switcher with history, follow-up context, suggested prompts and exportable results.</w:t>
      </w:r>
    </w:p>
    <w:p>
      <w:pPr>
        <w:pStyle w:val="ListBullet"/>
      </w:pPr>
      <w:r>
        <w:t>Guardrails (grounding, access control, out-of-scope handling) and query audit logging.</w:t>
      </w:r>
    </w:p>
    <w:p>
      <w:pPr>
        <w:pStyle w:val="ListBullet"/>
      </w:pPr>
      <w:r>
        <w:t>An evaluation set with measured answer accuracy, plus user and prompt guides.</w:t>
      </w:r>
    </w:p>
    <w:p>
      <w:pPr>
        <w:pStyle w:val="ListBullet"/>
      </w:pPr>
      <w:r>
        <w:t>UAT sign-off, security review and go-live of the assistant.</w:t>
      </w:r>
    </w:p>
    <w:p/>
    <w:p>
      <w:pPr>
        <w:pStyle w:val="Heading1"/>
      </w:pPr>
      <w:r>
        <w:t>13. Acceptance Criteria</w:t>
      </w:r>
    </w:p>
    <w:p>
      <w:pPr>
        <w:pStyle w:val="ListBullet"/>
      </w:pPr>
      <w:r>
        <w:t>The assistant answers representative natural-language questions with figures that reconcile with the reports.</w:t>
      </w:r>
    </w:p>
    <w:p>
      <w:pPr>
        <w:pStyle w:val="ListBullet"/>
      </w:pPr>
      <w:r>
        <w:t>Every answer respects the asking user’s division and Division → Zone → Region → Team → HQ scope.</w:t>
      </w:r>
    </w:p>
    <w:p>
      <w:pPr>
        <w:pStyle w:val="ListBullet"/>
      </w:pPr>
      <w:r>
        <w:t>Entities (stockist, product, region, HQ, doctor, financial year) resolve correctly, with disambiguation where needed.</w:t>
      </w:r>
    </w:p>
    <w:p>
      <w:pPr>
        <w:pStyle w:val="ListBullet"/>
      </w:pPr>
      <w:r>
        <w:t>The assistant declines or asks for clarification instead of fabricating when it cannot answer.</w:t>
      </w:r>
    </w:p>
    <w:p>
      <w:pPr>
        <w:pStyle w:val="ListBullet"/>
      </w:pPr>
      <w:r>
        <w:t>Measured accuracy on the evaluation set meets the agreed threshold and query audit logging is in place.</w:t>
      </w:r>
    </w:p>
    <w:p/>
    <w:p>
      <w:pPr>
        <w:pStyle w:val="Heading1"/>
      </w:pPr>
      <w:r>
        <w:t>14. Approval &amp; Sign-off</w:t>
      </w:r>
    </w:p>
    <w:p>
      <w:r>
        <w:t>By signing below, both parties agree to the scope, effort and commercial terms set out in this Change Request.</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For Kodivian Technologies LLP</w:t>
            </w:r>
          </w:p>
        </w:tc>
        <w:tc>
          <w:tcPr>
            <w:tcW w:type="dxa" w:w="4873"/>
            <w:shd w:val="clear" w:color="auto" w:fill="1F4E79"/>
          </w:tcPr>
          <w:p>
            <w:r/>
            <w:r>
              <w:rPr>
                <w:b/>
                <w:color w:val="FFFFFF"/>
                <w:sz w:val="20"/>
              </w:rPr>
              <w:t>For Stedman Pharmaceuticals</w:t>
            </w:r>
          </w:p>
        </w:tc>
      </w:tr>
      <w:tr>
        <w:tc>
          <w:tcPr>
            <w:tcW w:type="dxa" w:w="4873"/>
          </w:tcPr>
          <w:p>
            <w:r/>
            <w:r>
              <w:rPr>
                <w:b w:val="0"/>
              </w:rPr>
              <w:t>Name: ____________________________</w:t>
            </w:r>
          </w:p>
        </w:tc>
        <w:tc>
          <w:tcPr>
            <w:tcW w:type="dxa" w:w="4873"/>
          </w:tcPr>
          <w:p>
            <w:r/>
            <w:r>
              <w:rPr>
                <w:b w:val="0"/>
              </w:rPr>
              <w:t>Name: ____________________________</w:t>
            </w:r>
          </w:p>
        </w:tc>
      </w:tr>
      <w:tr>
        <w:tc>
          <w:tcPr>
            <w:tcW w:type="dxa" w:w="4873"/>
          </w:tcPr>
          <w:p>
            <w:r/>
            <w:r>
              <w:rPr>
                <w:b w:val="0"/>
              </w:rPr>
              <w:t>Designation: ______________________</w:t>
            </w:r>
          </w:p>
        </w:tc>
        <w:tc>
          <w:tcPr>
            <w:tcW w:type="dxa" w:w="4873"/>
          </w:tcPr>
          <w:p>
            <w:r/>
            <w:r>
              <w:rPr>
                <w:b w:val="0"/>
              </w:rPr>
              <w:t>Designation: ______________________</w:t>
            </w:r>
          </w:p>
        </w:tc>
      </w:tr>
      <w:tr>
        <w:tc>
          <w:tcPr>
            <w:tcW w:type="dxa" w:w="4873"/>
          </w:tcPr>
          <w:p>
            <w:r/>
            <w:r>
              <w:rPr>
                <w:b w:val="0"/>
              </w:rPr>
              <w:t>Signature &amp; Date: __________________</w:t>
            </w:r>
          </w:p>
        </w:tc>
        <w:tc>
          <w:tcPr>
            <w:tcW w:type="dxa" w:w="4873"/>
          </w:tcPr>
          <w:p>
            <w:r/>
            <w:r>
              <w:rPr>
                <w:b w:val="0"/>
              </w:rPr>
              <w:t>Signature &amp; Date: __________________</w:t>
            </w:r>
          </w:p>
        </w:tc>
      </w:tr>
    </w:tbl>
    <w:p/>
    <w:p>
      <w:pPr>
        <w:spacing w:after="40"/>
        <w:jc w:val="center"/>
      </w:pPr>
      <w:r>
        <w:rPr>
          <w:b w:val="0"/>
          <w:color w:val="595959"/>
          <w:sz w:val="21"/>
        </w:rPr>
        <w:t>— End of Change Request —</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Kodivian Technologies LLP  |  Confidential  –  Prepared for Stedman Pharmaceuticals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