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53439"/>
        </w:rPr>
        <w:t>MASTER README — every folder, every subfolder</w:t>
      </w:r>
    </w:p>
    <w:p>
      <w:pPr>
        <w:ind w:left="340"/>
      </w:pPr>
      <w:r>
        <w:rPr>
          <w:b/>
          <w:i/>
          <w:sz w:val="19"/>
        </w:rPr>
        <w:t>The two map files, and the difference between them</w:t>
      </w:r>
    </w:p>
    <w:p>
      <w:pPr>
        <w:jc w:val="both"/>
      </w:pPr>
      <w:r>
        <w:rPr>
          <w:sz w:val="20"/>
        </w:rPr>
        <w:t>&gt;</w:t>
      </w:r>
    </w:p>
    <w:p>
      <w:pPr>
        <w:ind w:left="340"/>
      </w:pPr>
      <w:r>
        <w:rPr>
          <w:i/>
          <w:sz w:val="19"/>
        </w:rPr>
        <w:t xml:space="preserve">- </w:t>
      </w:r>
      <w:r>
        <w:rPr>
          <w:b/>
          <w:i/>
          <w:sz w:val="19"/>
        </w:rPr>
        <w:t>MASTER README</w:t>
      </w:r>
      <w:r>
        <w:rPr>
          <w:i/>
          <w:sz w:val="19"/>
        </w:rPr>
        <w:t xml:space="preserve"> (this file) describes </w:t>
      </w:r>
      <w:r>
        <w:rPr>
          <w:b/>
          <w:i/>
          <w:sz w:val="19"/>
        </w:rPr>
        <w:t>every folder and every subfolder</w:t>
      </w:r>
      <w:r>
        <w:rPr>
          <w:i/>
          <w:sz w:val="19"/>
        </w:rPr>
        <w:t>, branch by</w:t>
      </w:r>
    </w:p>
    <w:p>
      <w:pPr>
        <w:ind w:left="340"/>
      </w:pPr>
      <w:r>
        <w:rPr>
          <w:i/>
          <w:sz w:val="19"/>
        </w:rPr>
        <w:t xml:space="preserve">  branch, all the way down. Read it to find a specific file.</w:t>
      </w:r>
    </w:p>
    <w:p>
      <w:pPr>
        <w:ind w:left="340"/>
      </w:pPr>
      <w:r>
        <w:rPr>
          <w:i/>
          <w:sz w:val="19"/>
        </w:rPr>
        <w:t xml:space="preserve">- </w:t>
      </w:r>
      <w:r>
        <w:rPr>
          <w:b/>
          <w:i/>
          <w:sz w:val="19"/>
        </w:rPr>
        <w:t>LOCAL README</w:t>
      </w:r>
      <w:r>
        <w:rPr>
          <w:i/>
          <w:sz w:val="19"/>
        </w:rPr>
        <w:t xml:space="preserve"> (</w:t>
      </w:r>
      <w:r>
        <w:rPr>
          <w:i/>
          <w:color w:val="1F6FB2"/>
          <w:sz w:val="19"/>
          <w:u w:val="single"/>
        </w:rPr>
        <w:t>`LOCAL_README.md`</w:t>
      </w:r>
      <w:r>
        <w:rPr>
          <w:i/>
          <w:sz w:val="19"/>
        </w:rPr>
        <w:t>) describes **only the folders at</w:t>
      </w:r>
    </w:p>
    <w:p>
      <w:pPr>
        <w:ind w:left="340"/>
      </w:pPr>
      <w:r>
        <w:rPr>
          <w:i/>
          <w:sz w:val="19"/>
        </w:rPr>
        <w:t xml:space="preserve">  the top level**. One line each, no going inside them. Read it to find out which door to</w:t>
      </w:r>
    </w:p>
    <w:p>
      <w:pPr>
        <w:ind w:left="340"/>
      </w:pPr>
      <w:r>
        <w:rPr>
          <w:i/>
          <w:sz w:val="19"/>
        </w:rPr>
        <w:t xml:space="preserve">  open.</w:t>
      </w:r>
    </w:p>
    <w:p>
      <w:pPr>
        <w:jc w:val="both"/>
      </w:pPr>
      <w:r>
        <w:rPr>
          <w:sz w:val="20"/>
        </w:rPr>
        <w:t>&gt;</w:t>
      </w:r>
    </w:p>
    <w:p>
      <w:pPr>
        <w:ind w:left="340"/>
      </w:pPr>
      <w:r>
        <w:rPr>
          <w:i/>
          <w:sz w:val="19"/>
        </w:rPr>
        <w:t xml:space="preserve">A third file, </w:t>
      </w:r>
      <w:r>
        <w:rPr>
          <w:i/>
          <w:color w:val="1F6FB2"/>
          <w:sz w:val="19"/>
          <w:u w:val="single"/>
        </w:rPr>
        <w:t>`PROJECT_OVERVIEW.md`</w:t>
      </w:r>
      <w:r>
        <w:rPr>
          <w:i/>
          <w:sz w:val="19"/>
        </w:rPr>
        <w:t>, is not a map: it describes the</w:t>
      </w:r>
    </w:p>
    <w:p>
      <w:pPr>
        <w:ind w:left="340"/>
      </w:pPr>
      <w:r>
        <w:rPr>
          <w:i/>
          <w:sz w:val="19"/>
        </w:rPr>
        <w:t>machine itself — what it is, the firmware, the bills of material, the DIC channel, and how</w:t>
      </w:r>
    </w:p>
    <w:p>
      <w:pPr>
        <w:ind w:left="340"/>
      </w:pPr>
      <w:r>
        <w:rPr>
          <w:i/>
          <w:sz w:val="19"/>
        </w:rPr>
        <w:t>to get the software running.</w:t>
      </w:r>
    </w:p>
    <w:p>
      <w:pPr>
        <w:jc w:val="both"/>
      </w:pPr>
      <w:r>
        <w:rPr>
          <w:sz w:val="20"/>
        </w:rPr>
        <w:t>**The final report is at</w:t>
      </w:r>
    </w:p>
    <w:p>
      <w:pPr>
        <w:jc w:val="both"/>
      </w:pPr>
      <w:r>
        <w:rPr>
          <w:color w:val="1F6FB2"/>
          <w:sz w:val="20"/>
          <w:u w:val="single"/>
        </w:rPr>
        <w:t>`Documentation/Final Report/UTM_DIC_Report.pdf`</w:t>
      </w:r>
      <w:r>
        <w:rPr>
          <w:b/>
          <w:sz w:val="20"/>
        </w:rPr>
      </w:r>
    </w:p>
    <w:p>
      <w:pPr>
        <w:jc w:val="both"/>
      </w:pPr>
      <w:r>
        <w:rPr>
          <w:sz w:val="20"/>
        </w:rPr>
        <w:t xml:space="preserve">— 99 pages, with the editable </w:t>
      </w:r>
      <w:r>
        <w:rPr>
          <w:rFonts w:ascii="Consolas" w:hAnsi="Consolas"/>
          <w:color w:val="1F6FB2"/>
          <w:sz w:val="20"/>
        </w:rPr>
        <w:t>UTM_DIC_Report.docx</w:t>
      </w:r>
      <w:r>
        <w:rPr>
          <w:sz w:val="20"/>
        </w:rPr>
        <w:t xml:space="preserve"> beside it.</w:t>
      </w:r>
    </w:p>
    <w:p>
      <w:pPr>
        <w:jc w:val="both"/>
      </w:pPr>
      <w:r>
        <w:rPr>
          <w:sz w:val="20"/>
        </w:rPr>
        <w:t>The project: a 1-D digital image correlation strain channel built onto the Department of</w:t>
      </w:r>
    </w:p>
    <w:p>
      <w:pPr>
        <w:jc w:val="both"/>
      </w:pPr>
      <w:r>
        <w:rPr>
          <w:sz w:val="20"/>
        </w:rPr>
        <w:t>Product Development, Production and Design's desktop universal testing machine at Jönköping</w:t>
      </w:r>
    </w:p>
    <w:p>
      <w:pPr>
        <w:jc w:val="both"/>
      </w:pPr>
      <w:r>
        <w:rPr>
          <w:sz w:val="20"/>
        </w:rPr>
        <w:t>University's School of Engineering, validated against a certified video extensometer and</w:t>
      </w:r>
    </w:p>
    <w:p>
      <w:pPr>
        <w:jc w:val="both"/>
      </w:pPr>
      <w:r>
        <w:rPr>
          <w:sz w:val="20"/>
        </w:rPr>
        <w:t>applied to PLA, PETG and TPU. February – September 2026.</w:t>
      </w:r>
    </w:p>
    <w:p/>
    <w:p>
      <w:r>
        <w:br w:type="page"/>
      </w:r>
    </w:p>
    <w:p>
      <w:pPr>
        <w:pStyle w:val="Heading2"/>
      </w:pPr>
      <w:r>
        <w:rPr>
          <w:color w:val="253439"/>
        </w:rPr>
        <w:t>The folder tree</w:t>
      </w:r>
    </w:p>
    <w:p>
      <w:r>
        <w:rPr>
          <w:sz w:val="20"/>
        </w:rPr>
        <w:t xml:space="preserve">Drawn from the directory tree itself by </w:t>
      </w:r>
      <w:r>
        <w:rPr>
          <w:rFonts w:ascii="Consolas" w:hAnsi="Consolas"/>
          <w:color w:val="1F6FB2"/>
          <w:sz w:val="20"/>
        </w:rPr>
        <w:t>Documentation/Scripts/master_readme_pdf.py</w:t>
      </w:r>
      <w:r>
        <w:rPr>
          <w:sz w:val="20"/>
        </w:rPr>
        <w:t>, so it cannot drift from the repository. The number after each folder is how many files sit directly in it.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842429" cy="53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tree_repo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2429" cy="5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36B"/>
          <w:sz w:val="18"/>
        </w:rPr>
        <w:t>Figure 1 — The repository, two levels deep (1 of 2)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95139" cy="53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tree_repo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139" cy="5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36B"/>
          <w:sz w:val="18"/>
        </w:rPr>
        <w:t>Figure 2 — The repository, two levels deep (2 of 2)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842429" cy="53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tree_documentati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2429" cy="5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36B"/>
          <w:sz w:val="18"/>
        </w:rPr>
        <w:t>Figure 3 — Documentation/, expanded (1 of 2)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704012" cy="5363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tree_documentation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04012" cy="536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36B"/>
          <w:sz w:val="18"/>
        </w:rPr>
        <w:t>Figure 4 — Documentation/, expanded (2 of 2)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784000" cy="50494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tree_softw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84000" cy="504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36B"/>
          <w:sz w:val="18"/>
        </w:rPr>
        <w:t>Figure 5 — Software/, expanded</w:t>
      </w:r>
    </w:p>
    <w:p>
      <w:r>
        <w:br w:type="page"/>
      </w:r>
    </w:p>
    <w:p>
      <w:pPr>
        <w:pStyle w:val="Heading2"/>
      </w:pPr>
      <w:r>
        <w:rPr>
          <w:rFonts w:ascii="Consolas" w:hAnsi="Consolas"/>
          <w:color w:val="253439"/>
          <w:sz w:val="18"/>
        </w:rPr>
        <w:t>CAD/</w:t>
      </w:r>
      <w:r>
        <w:rPr>
          <w:color w:val="253439"/>
        </w:rPr>
        <w:t xml:space="preserve"> — everything designed for the rig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 assembly/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rig as a whole: SolidWorks parts and assemblies, STEP and STL exports. The largest folder here — the frame, grips, base and mounts.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Camera Mount/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camera carriage and its rail: parts, assemblies and DXF profiles. The rib and rail-profile studies in the report come from these.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Buck converter enclosure/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electronics box that holds the buck converter, with STEP exports.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Light mount/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printed uprights and diffuser mount for the LED strip.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Specimen/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tensile specimen models and the marker-template assemblies.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Fastners/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Bought-in fasteners and inserts, kept as models so assemblies resolve.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Pictures/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Photographs of the printed and assembled parts.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3D print/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What was actually sent to the printer — </w:t>
            </w:r>
            <w:r>
              <w:rPr>
                <w:rFonts w:ascii="Consolas" w:hAnsi="Consolas"/>
                <w:color w:val="1F6FB2"/>
                <w:sz w:val="17"/>
              </w:rPr>
              <w:t>Stl/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Gcode/</w:t>
            </w:r>
            <w:r>
              <w:rPr>
                <w:sz w:val="17"/>
              </w:rPr>
              <w:t xml:space="preserve">, plus a </w:t>
            </w:r>
            <w:r>
              <w:rPr>
                <w:rFonts w:ascii="Consolas" w:hAnsi="Consolas"/>
                <w:color w:val="1F6FB2"/>
                <w:sz w:val="17"/>
              </w:rPr>
              <w:t>Laptop stand/</w:t>
            </w:r>
            <w:r>
              <w:rPr>
                <w:sz w:val="17"/>
              </w:rPr>
              <w:t xml:space="preserve"> side print.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onsolas" w:hAnsi="Consolas"/>
          <w:color w:val="253439"/>
          <w:sz w:val="18"/>
        </w:rPr>
        <w:t>Conferences-Seminars/</w:t>
      </w:r>
      <w:r>
        <w:rPr>
          <w:color w:val="253439"/>
        </w:rPr>
        <w:t xml:space="preserve"> — seminars and department days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AI franework in research/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Slides and notes from the AI-in-research seminar.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Communication and feedback/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Seminar material on communication and feedback.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Time managment/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Seminar material on time management.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sz w:val="20"/>
        </w:rPr>
        <w:t>A department-days PDF sits at the folder root. Nothing here feeds the rig or the report.</w:t>
      </w:r>
    </w:p>
    <w:p>
      <w:pPr>
        <w:pStyle w:val="Heading2"/>
      </w:pPr>
      <w:r>
        <w:rPr>
          <w:rFonts w:ascii="Consolas" w:hAnsi="Consolas"/>
          <w:color w:val="253439"/>
          <w:sz w:val="18"/>
        </w:rPr>
        <w:t>D32_Firmware/</w:t>
      </w:r>
      <w:r>
        <w:rPr>
          <w:color w:val="253439"/>
        </w:rPr>
        <w:t xml:space="preserve"> — the ESP32 firmware</w:t>
      </w:r>
    </w:p>
    <w:p>
      <w:pPr>
        <w:jc w:val="both"/>
      </w:pPr>
      <w:r>
        <w:rPr>
          <w:sz w:val="20"/>
        </w:rPr>
        <w:t xml:space="preserve">A PlatformIO project. </w:t>
      </w:r>
      <w:r>
        <w:rPr>
          <w:rFonts w:ascii="Consolas" w:hAnsi="Consolas"/>
          <w:color w:val="1F6FB2"/>
          <w:sz w:val="20"/>
        </w:rPr>
        <w:t>platformio.ini</w:t>
      </w:r>
      <w:r>
        <w:rPr>
          <w:sz w:val="20"/>
        </w:rPr>
        <w:t xml:space="preserve"> at the root, and: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src/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firmware itself: C++ sources and headers — HX711 load-cell polling at 10 Hz, two TMC2160 drivers on one control signal, AS5600 encoders on the motor shafts.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backup/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previous Arduino-sketch version, kept for reference.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.vscode/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Editor and build configuration for the firmware project.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onsolas" w:hAnsi="Consolas"/>
          <w:color w:val="253439"/>
          <w:sz w:val="18"/>
        </w:rPr>
        <w:t>Documentation/</w:t>
      </w:r>
      <w:r>
        <w:rPr>
          <w:color w:val="253439"/>
        </w:rPr>
        <w:t xml:space="preserve"> — everything written or drawn about the project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README.md</w:t>
      </w:r>
      <w:r>
        <w:rPr>
          <w:sz w:val="20"/>
        </w:rPr>
        <w:t xml:space="preserve"> at the root of this folder is its own local map.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Final Report/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report. See the breakdown below.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Decks/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presentation decks. See the breakdown below.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Figures/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Every figure any deck, poster or the report reads or writes. See the breakdown below.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Scripts/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110 Python files: the deck builders, the poster builder, the report-figure and deck-surgery scripts, and the data and plot modules they import. Run them </w:t>
            </w:r>
            <w:r>
              <w:rPr>
                <w:b/>
                <w:sz w:val="17"/>
              </w:rPr>
              <w:t>from the repository root</w:t>
            </w:r>
            <w:r>
              <w:rPr>
                <w:sz w:val="17"/>
              </w:rPr>
              <w:t xml:space="preserve"> — every path inside is written relative to it.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Data/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computed caches the builders read: </w:t>
            </w:r>
            <w:r>
              <w:rPr>
                <w:rFonts w:ascii="Consolas" w:hAnsi="Consolas"/>
                <w:color w:val="1F6FB2"/>
                <w:sz w:val="17"/>
              </w:rPr>
              <w:t>estimator_measurements.json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mot_postproc_compare.json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pxmm_reasoning.json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mot_matched_points.csv</w:t>
            </w:r>
            <w:r>
              <w:rPr>
                <w:sz w:val="17"/>
              </w:rPr>
              <w:t xml:space="preserve">. Written by </w:t>
            </w:r>
            <w:r>
              <w:rPr>
                <w:rFonts w:ascii="Consolas" w:hAnsi="Consolas"/>
                <w:color w:val="1F6FB2"/>
                <w:sz w:val="17"/>
              </w:rPr>
              <w:t>mot_postproc_compare.py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estimator_data.py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1F6FB2"/>
                <w:sz w:val="17"/>
              </w:rPr>
              <w:t>pxmm_data.py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Posters/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Smart_UTM_poster_A0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Smart_UTM_poster_A4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1F6FB2"/>
                <w:sz w:val="17"/>
              </w:rPr>
              <w:t>Smart_UTM_progress_A4</w:t>
            </w:r>
            <w:r>
              <w:rPr>
                <w:sz w:val="17"/>
              </w:rPr>
              <w:t xml:space="preserve">, each as </w:t>
            </w:r>
            <w:r>
              <w:rPr>
                <w:rFonts w:ascii="Consolas" w:hAnsi="Consolas"/>
                <w:color w:val="1F6FB2"/>
                <w:sz w:val="17"/>
              </w:rPr>
              <w:t>.pptx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1F6FB2"/>
                <w:sz w:val="17"/>
              </w:rPr>
              <w:t>.pdf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Reference documents/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literature read during the project: the iDICs *Good Practices Guide* Edition 2 (</w:t>
            </w:r>
            <w:r>
              <w:rPr>
                <w:rFonts w:ascii="Consolas" w:hAnsi="Consolas"/>
                <w:color w:val="1F6FB2"/>
                <w:sz w:val="17"/>
              </w:rPr>
              <w:t>GPG_Ed2_251104.pdf</w:t>
            </w:r>
            <w:r>
              <w:rPr>
                <w:sz w:val="17"/>
              </w:rPr>
              <w:t>), the predecessor thesis (</w:t>
            </w:r>
            <w:r>
              <w:rPr>
                <w:rFonts w:ascii="Consolas" w:hAnsi="Consolas"/>
                <w:color w:val="1F6FB2"/>
                <w:sz w:val="17"/>
              </w:rPr>
              <w:t>FULLTEXT01.pdf</w:t>
            </w:r>
            <w:r>
              <w:rPr>
                <w:sz w:val="17"/>
              </w:rPr>
              <w:t xml:space="preserve">), the individual design report, a DIC study guide, plus </w:t>
            </w:r>
            <w:r>
              <w:rPr>
                <w:rFonts w:ascii="Consolas" w:hAnsi="Consolas"/>
                <w:color w:val="1F6FB2"/>
                <w:sz w:val="17"/>
              </w:rPr>
              <w:t>Literature/</w:t>
            </w:r>
            <w:r>
              <w:rPr>
                <w:sz w:val="17"/>
              </w:rPr>
              <w:t xml:space="preserve"> (papers) and </w:t>
            </w:r>
            <w:r>
              <w:rPr>
                <w:rFonts w:ascii="Consolas" w:hAnsi="Consolas"/>
                <w:color w:val="1F6FB2"/>
                <w:sz w:val="17"/>
              </w:rPr>
              <w:t>AL profiles/</w:t>
            </w:r>
            <w:r>
              <w:rPr>
                <w:sz w:val="17"/>
              </w:rPr>
              <w:t xml:space="preserve"> (supplier photographs of the aluminium profile).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Todo md files/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Project-level documents: </w:t>
            </w:r>
            <w:r>
              <w:rPr>
                <w:rFonts w:ascii="Consolas" w:hAnsi="Consolas"/>
                <w:color w:val="1F6FB2"/>
                <w:sz w:val="17"/>
              </w:rPr>
              <w:t>TODO.md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Starting_TODO.md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PROJECT_REQUIREMENTS.md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VERSIONING.md</w:t>
            </w:r>
            <w:r>
              <w:rPr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253439"/>
          <w:sz w:val="18"/>
        </w:rPr>
        <w:t>Documentation/Final Report/</w:t>
      </w:r>
    </w:p>
    <w:p>
      <w:pPr>
        <w:jc w:val="both"/>
      </w:pPr>
      <w:r>
        <w:rPr>
          <w:sz w:val="20"/>
        </w:rPr>
        <w:t xml:space="preserve">The two deliverables sit alone at the root — </w:t>
      </w:r>
      <w:r>
        <w:rPr>
          <w:rFonts w:ascii="Consolas" w:hAnsi="Consolas"/>
          <w:color w:val="1F6FB2"/>
          <w:sz w:val="20"/>
        </w:rPr>
        <w:t>UTM_DIC_Report.docx</w:t>
      </w:r>
      <w:r>
        <w:rPr>
          <w:sz w:val="20"/>
        </w:rPr>
        <w:t xml:space="preserve"> and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UTM_DIC_Report.pdf</w:t>
      </w:r>
      <w:r>
        <w:rPr>
          <w:sz w:val="20"/>
        </w:rPr>
        <w:t xml:space="preserve"> (99 pages).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generator/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generator: </w:t>
            </w:r>
            <w:r>
              <w:rPr>
                <w:rFonts w:ascii="Consolas" w:hAnsi="Consolas"/>
                <w:color w:val="1F6FB2"/>
                <w:sz w:val="17"/>
              </w:rPr>
              <w:t>build_report.py</w:t>
            </w:r>
            <w:r>
              <w:rPr>
                <w:sz w:val="17"/>
              </w:rPr>
              <w:t xml:space="preserve"> (two-pass compose, then Word COM for the PDF), </w:t>
            </w:r>
            <w:r>
              <w:rPr>
                <w:rFonts w:ascii="Consolas" w:hAnsi="Consolas"/>
                <w:color w:val="1F6FB2"/>
                <w:sz w:val="17"/>
              </w:rPr>
              <w:t>rp.py</w:t>
            </w:r>
            <w:r>
              <w:rPr>
                <w:sz w:val="17"/>
              </w:rPr>
              <w:t xml:space="preserve"> (the document plumbing — headings, figures, tables, cross-references, citations), </w:t>
            </w:r>
            <w:r>
              <w:rPr>
                <w:rFonts w:ascii="Consolas" w:hAnsi="Consolas"/>
                <w:color w:val="1F6FB2"/>
                <w:sz w:val="17"/>
              </w:rPr>
              <w:t>refs.py</w:t>
            </w:r>
            <w:r>
              <w:rPr>
                <w:sz w:val="17"/>
              </w:rPr>
              <w:t xml:space="preserve"> (the bibliography, 57 entries), </w:t>
            </w:r>
            <w:r>
              <w:rPr>
                <w:rFonts w:ascii="Consolas" w:hAnsi="Consolas"/>
                <w:color w:val="1F6FB2"/>
                <w:sz w:val="17"/>
              </w:rPr>
              <w:t>harvest_refs.py</w:t>
            </w:r>
            <w:r>
              <w:rPr>
                <w:sz w:val="17"/>
              </w:rPr>
              <w:t xml:space="preserve"> (pulls the links out of the decks), and </w:t>
            </w:r>
            <w:r>
              <w:rPr>
                <w:rFonts w:ascii="Consolas" w:hAnsi="Consolas"/>
                <w:color w:val="1F6FB2"/>
                <w:sz w:val="17"/>
              </w:rPr>
              <w:t>ch/</w:t>
            </w:r>
            <w:r>
              <w:rPr>
                <w:sz w:val="17"/>
              </w:rPr>
              <w:t xml:space="preserve"> — one module per chapter plus the front matter and appendices. Rebuild with </w:t>
            </w:r>
            <w:r>
              <w:rPr>
                <w:rFonts w:ascii="Consolas" w:hAnsi="Consolas"/>
                <w:color w:val="1F6FB2"/>
                <w:sz w:val="17"/>
              </w:rPr>
              <w:t>cd "Documentation/Final Report/generator" &amp;&amp; python build_report.py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pages/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One PNG per page of the built PDF, for reviewing layout.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sheets/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Contact sheets — the same pages tiled, for a whole-document glance.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harvest/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Artifacts, not inputs: </w:t>
            </w:r>
            <w:r>
              <w:rPr>
                <w:rFonts w:ascii="Consolas" w:hAnsi="Consolas"/>
                <w:color w:val="1F6FB2"/>
                <w:sz w:val="17"/>
              </w:rPr>
              <w:t>refs_harvest.json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refs_harvest.md</w:t>
            </w:r>
            <w:r>
              <w:rPr>
                <w:sz w:val="17"/>
              </w:rPr>
              <w:t xml:space="preserve">, and </w:t>
            </w:r>
            <w:r>
              <w:rPr>
                <w:rFonts w:ascii="Consolas" w:hAnsi="Consolas"/>
                <w:color w:val="1F6FB2"/>
                <w:sz w:val="17"/>
              </w:rPr>
              <w:t>registry_snapshot.json</w:t>
            </w:r>
            <w:r>
              <w:rPr>
                <w:sz w:val="17"/>
              </w:rPr>
              <w:t xml:space="preserve"> (the test registry as it stood when the report was built; the appendix's specimen register reads it).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notes/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REPORT_PLAN.md</w:t>
            </w:r>
            <w:r>
              <w:rPr>
                <w:sz w:val="17"/>
              </w:rPr>
              <w:t xml:space="preserve"> — the plan the report was written against.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253439"/>
          <w:sz w:val="18"/>
        </w:rPr>
        <w:t>Documentation/Decks/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Weekly progress updated.pptx</w:t>
      </w:r>
      <w:r>
        <w:rPr>
          <w:sz w:val="20"/>
        </w:rPr>
        <w:t xml:space="preserve"> is the live progress diary (397 slides) and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PPD_Final_Presentation.pptx</w:t>
      </w:r>
      <w:r>
        <w:rPr>
          <w:sz w:val="20"/>
        </w:rPr>
        <w:t xml:space="preserve"> is the final departmental presentation.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small decks/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single-topic decks: </w:t>
            </w:r>
            <w:r>
              <w:rPr>
                <w:rFonts w:ascii="Consolas" w:hAnsi="Consolas"/>
                <w:color w:val="1F6FB2"/>
                <w:sz w:val="17"/>
              </w:rPr>
              <w:t>Learnings.pptx</w:t>
            </w:r>
            <w:r>
              <w:rPr>
                <w:sz w:val="17"/>
              </w:rPr>
              <w:t xml:space="preserve"> (the pre-study digest of the DIC guide), the V4/V5/V5abc/V6a test-series decks, </w:t>
            </w:r>
            <w:r>
              <w:rPr>
                <w:rFonts w:ascii="Consolas" w:hAnsi="Consolas"/>
                <w:color w:val="1F6FB2"/>
                <w:sz w:val="17"/>
              </w:rPr>
              <w:t>V2_capture_validation.pptx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UTM DIC Implementation.pptx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E_modulus_explained</w:t>
            </w:r>
            <w:r>
              <w:rPr>
                <w:sz w:val="17"/>
              </w:rPr>
              <w:t>, and the MOT and S25/S26 reference packs.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deck_png_gauge/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Slide renders kept for measuring text fit before a deck edit.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253439"/>
          <w:sz w:val="18"/>
        </w:rPr>
        <w:t>Documentation/Figures/</w:t>
      </w:r>
    </w:p>
    <w:p>
      <w:pPr>
        <w:jc w:val="both"/>
      </w:pPr>
      <w:r>
        <w:rPr>
          <w:sz w:val="20"/>
        </w:rPr>
        <w:t>158 PNGs and 9 JPGs at the root — everything the report and the current decks read, written</w:t>
      </w:r>
    </w:p>
    <w:p>
      <w:pPr>
        <w:jc w:val="both"/>
      </w:pPr>
      <w:r>
        <w:rPr>
          <w:sz w:val="20"/>
        </w:rPr>
        <w:t xml:space="preserve">by the scripts in </w:t>
      </w:r>
      <w:r>
        <w:rPr>
          <w:rFonts w:ascii="Consolas" w:hAnsi="Consolas"/>
          <w:color w:val="1F6FB2"/>
          <w:sz w:val="20"/>
        </w:rPr>
        <w:t>Documentation/Scripts/</w:t>
      </w:r>
      <w:r>
        <w:rPr>
          <w:sz w:val="20"/>
        </w:rPr>
        <w:t xml:space="preserve">. </w:t>
      </w:r>
      <w:r>
        <w:rPr>
          <w:rFonts w:ascii="Consolas" w:hAnsi="Consolas"/>
          <w:color w:val="1F6FB2"/>
          <w:sz w:val="20"/>
        </w:rPr>
        <w:t>README.md</w:t>
      </w:r>
      <w:r>
        <w:rPr>
          <w:sz w:val="20"/>
        </w:rPr>
        <w:t xml:space="preserve"> here explains the naming.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cad/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Design figures extracted from the deck for the report's CAD chapter.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V4/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V5/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V6/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V6a/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test-series plots, by series: staircase and linearity (V4), tensile-to-failure and the V5a/b/c set (V5), the V6 quintet (V6), and the 100 % infill series (V6a).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features/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rFonts w:ascii="Consolas" w:hAnsi="Consolas"/>
                <w:color w:val="1F6FB2"/>
                <w:sz w:val="17"/>
              </w:rPr>
              <w:t>feat_*</w:t>
            </w:r>
            <w:r>
              <w:rPr>
                <w:sz w:val="17"/>
              </w:rPr>
              <w:t xml:space="preserve"> proof figures for the twenty smart features, plus the UI screenshots.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 rig/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Hardware and UI: the GUI, the rig schematic, the dimensioned drawing, the enclosure CAD render. Embedded in </w:t>
            </w:r>
            <w:r>
              <w:rPr>
                <w:rFonts w:ascii="Consolas" w:hAnsi="Consolas"/>
                <w:color w:val="1F6FB2"/>
                <w:sz w:val="17"/>
              </w:rPr>
              <w:t>PROJECT_OVERVIEW.md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1F6FB2"/>
                <w:sz w:val="17"/>
              </w:rPr>
              <w:t>PROJECT_REQUIREMENTS.md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wk_specimens/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Specimen photographs used across the weekly deck.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thresholding/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rFonts w:ascii="Consolas" w:hAnsi="Consolas"/>
                <w:color w:val="1F6FB2"/>
                <w:sz w:val="17"/>
              </w:rPr>
              <w:t>binary_*.png</w:t>
            </w:r>
            <w:r>
              <w:rPr>
                <w:sz w:val="17"/>
              </w:rPr>
              <w:t xml:space="preserve"> threshold sweep — the same frame at six threshold values.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JTH Black/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Jönköping University logos, in EPS, SVG, PNG and JPG.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onsolas" w:hAnsi="Consolas"/>
          <w:color w:val="253439"/>
          <w:sz w:val="18"/>
        </w:rPr>
        <w:t>MOT Validation docs/</w:t>
      </w:r>
      <w:r>
        <w:rPr>
          <w:color w:val="253439"/>
        </w:rPr>
        <w:t xml:space="preserve"> — the external validation</w:t>
      </w:r>
    </w:p>
    <w:p>
      <w:pPr>
        <w:jc w:val="both"/>
      </w:pPr>
      <w:r>
        <w:rPr>
          <w:sz w:val="20"/>
        </w:rPr>
        <w:t>The two sessions on the certified Zwick/Roell Z100 with the XT-205 video extensometer, on</w:t>
      </w:r>
    </w:p>
    <w:p>
      <w:pPr>
        <w:jc w:val="both"/>
      </w:pPr>
      <w:r>
        <w:rPr>
          <w:sz w:val="20"/>
        </w:rPr>
        <w:t>which the whole validation chapter rests.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MOT Test 1/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first session (80 mm gauge). </w:t>
            </w:r>
            <w:r>
              <w:rPr>
                <w:rFonts w:ascii="Consolas" w:hAnsi="Consolas"/>
                <w:color w:val="1F6FB2"/>
                <w:sz w:val="17"/>
              </w:rPr>
              <w:t>README.txt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registry.json</w:t>
            </w:r>
            <w:r>
              <w:rPr>
                <w:sz w:val="17"/>
              </w:rPr>
              <w:t xml:space="preserve">, plus </w:t>
            </w:r>
            <w:r>
              <w:rPr>
                <w:rFonts w:ascii="Consolas" w:hAnsi="Consolas"/>
                <w:color w:val="1F6FB2"/>
                <w:sz w:val="17"/>
              </w:rPr>
              <w:t>Videoextesometer MOT/</w:t>
            </w:r>
            <w:r>
              <w:rPr>
                <w:sz w:val="17"/>
              </w:rPr>
              <w:t xml:space="preserve"> (the laboratory's own record and footage), </w:t>
            </w:r>
            <w:r>
              <w:rPr>
                <w:rFonts w:ascii="Consolas" w:hAnsi="Consolas"/>
                <w:color w:val="1F6FB2"/>
                <w:sz w:val="17"/>
              </w:rPr>
              <w:t>DIC post processing data/</w:t>
            </w:r>
            <w:r>
              <w:rPr>
                <w:sz w:val="17"/>
              </w:rPr>
              <w:t xml:space="preserve"> (what the rig's post-processor made of it) and </w:t>
            </w:r>
            <w:r>
              <w:rPr>
                <w:rFonts w:ascii="Consolas" w:hAnsi="Consolas"/>
                <w:color w:val="1F6FB2"/>
                <w:sz w:val="17"/>
              </w:rPr>
              <w:t>PPD UTM DIC rig reference docs/</w:t>
            </w:r>
            <w:r>
              <w:rPr>
                <w:sz w:val="17"/>
              </w:rPr>
              <w:t xml:space="preserve"> (the matching rig runs).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MOT Test 2/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second session (45 mm gauge) — the one Analysis 1 and Analysis 2 in the report use. Same structure.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onsolas" w:hAnsi="Consolas"/>
          <w:color w:val="253439"/>
          <w:sz w:val="18"/>
        </w:rPr>
        <w:t>Software/</w:t>
      </w:r>
      <w:r>
        <w:rPr>
          <w:color w:val="253439"/>
        </w:rPr>
        <w:t xml:space="preserve"> — all the code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UTM_PyQt6/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application that runs the rig, its tests, its raw test data and its written record. Broken down below.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py codes/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19 standalone analysis scripts, one per test series or question. Broken down below.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Matlab/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Where the project started — the original App Designer application. Broken down below.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253439"/>
          <w:sz w:val="18"/>
        </w:rPr>
        <w:t>Software/UTM_PyQt6/</w:t>
      </w:r>
      <w:r>
        <w:rPr>
          <w:color w:val="253439"/>
        </w:rPr>
        <w:t xml:space="preserve"> — the application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README.md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registry.json</w:t>
      </w:r>
      <w:r>
        <w:rPr>
          <w:sz w:val="20"/>
        </w:rPr>
        <w:t xml:space="preserve"> (the test registry — every run the rig has recorded) and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requirements.txt</w:t>
      </w:r>
      <w:r>
        <w:rPr>
          <w:sz w:val="20"/>
        </w:rPr>
        <w:t xml:space="preserve"> sit at the root. Nothing else does: all Python lives in </w:t>
      </w:r>
      <w:r>
        <w:rPr>
          <w:rFonts w:ascii="Consolas" w:hAnsi="Consolas"/>
          <w:color w:val="1F6FB2"/>
          <w:sz w:val="20"/>
        </w:rPr>
        <w:t>app/</w:t>
      </w:r>
      <w:r>
        <w:rPr>
          <w:sz w:val="20"/>
        </w:rPr>
        <w:t>.</w:t>
      </w:r>
    </w:p>
    <w:p>
      <w:pPr>
        <w:pStyle w:val="Heading4"/>
      </w:pPr>
      <w:r>
        <w:rPr>
          <w:rFonts w:ascii="Consolas" w:hAnsi="Consolas"/>
          <w:color w:val="253439"/>
          <w:sz w:val="18"/>
        </w:rPr>
        <w:t>app/</w:t>
      </w:r>
      <w:r>
        <w:rPr>
          <w:color w:val="253439"/>
        </w:rPr>
        <w:t xml:space="preserve"> — the 20 application modules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main.py</w:t>
      </w:r>
      <w:r>
        <w:rPr>
          <w:sz w:val="20"/>
        </w:rPr>
        <w:t xml:space="preserve"> is the entry point: </w:t>
      </w:r>
      <w:r>
        <w:rPr>
          <w:rFonts w:ascii="Consolas" w:hAnsi="Consolas"/>
          <w:color w:val="1F6FB2"/>
          <w:sz w:val="20"/>
        </w:rPr>
        <w:t>python "Software/UTM_PyQt6/app/main.py"</w:t>
      </w:r>
      <w:r>
        <w:rPr>
          <w:sz w:val="20"/>
        </w:rPr>
        <w:t xml:space="preserve"> from the repository</w:t>
      </w:r>
    </w:p>
    <w:p>
      <w:pPr>
        <w:jc w:val="both"/>
      </w:pPr>
      <w:r>
        <w:rPr>
          <w:sz w:val="20"/>
        </w:rPr>
        <w:t>root. The modules import each other by bare name, so they must stay together.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main.py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main window and the whole live path: the state machine (idle → preload → running → fracture → release), the control loop, the live plots and HUD, CSV export, the guards, and the UI for all twenty smart features. By far the largest module.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camera_manager.py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Basler camera: pylon integration, ROI, exposure and gain, the frame sink, and the latest-image strategy that keeps the loop from falling behind.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utm_dic.py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DIC core — thresholding, marker segmentation, centroid, and the pixel-to-strain rule. Small and deliberately stable.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utm_analysis.py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canonical analyser: fit window, yield, UTS, modulus, fracture detection, toughness. The app and every script import this one; nothing re-implements it.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serial_manager.py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serial link to the ESP32 — force and position at the control period, and the command handler.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control_policies.py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six closed-loop protocols (staircase, cyclic, creep, relaxation, progressive cyclic, staircase-to-fracture) as policy objects.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utm_postproc.py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offline engine: re-measures a recorded video with the same DIC code the live path uses.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utm_postdlg.py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The post-processing dialog around that engine — the largest UI module after </w:t>
            </w:r>
            <w:r>
              <w:rPr>
                <w:rFonts w:ascii="Consolas" w:hAnsi="Consolas"/>
                <w:color w:val="1F6FB2"/>
                <w:sz w:val="17"/>
              </w:rPr>
              <w:t>main.py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utm_capture.py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F6FB2"/>
                <w:sz w:val="17"/>
              </w:rPr>
              <w:t>utm_capdlg.py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Video recording alongside a test, and its settings dialog.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utm_camdlg.py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camera settings dialog.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utm_autocal.py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Automatic pixels-per-millimetre calibration from a known marker separation.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utm_blobpick.py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Manual marker selection — the feature that closed the gap when automatic detection failed.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utm_noisedlg.py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noise-floor measurement dialog.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utm_wizard.py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guided setup wizard.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utm_recipes.py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Material recipes: load, save and apply a full acquisition setup.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utm_registry.py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test registry — scans runs, adds rows, resolves paths. Also a CLI.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utm_report.py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per-test PDF report, from the CSV. Also a CLI.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widgets.py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F6FB2"/>
                <w:sz w:val="17"/>
              </w:rPr>
              <w:t>theme.py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custom widgets (gauges, toggles) and the visual theme.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onsolas" w:hAnsi="Consolas"/>
          <w:color w:val="253439"/>
          <w:sz w:val="18"/>
        </w:rPr>
        <w:t>Test data/</w:t>
      </w:r>
      <w:r>
        <w:rPr>
          <w:color w:val="253439"/>
        </w:rPr>
        <w:t xml:space="preserve"> — the raw runs</w:t>
      </w:r>
    </w:p>
    <w:p>
      <w:pPr>
        <w:jc w:val="both"/>
      </w:pPr>
      <w:r>
        <w:rPr>
          <w:sz w:val="20"/>
        </w:rPr>
        <w:t>Every CSV, and therefore every number in the report, traces back here.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Fracture tests/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29 runs — the tensile-to-failure series across PLA, PETG and TPU (</w:t>
            </w:r>
            <w:r>
              <w:rPr>
                <w:rFonts w:ascii="Consolas" w:hAnsi="Consolas"/>
                <w:color w:val="1F6FB2"/>
                <w:sz w:val="17"/>
              </w:rPr>
              <w:t>Specimen_S10…</w:t>
            </w:r>
            <w:r>
              <w:rPr>
                <w:sz w:val="17"/>
              </w:rPr>
              <w:t xml:space="preserve"> upward), each with its CSV, capture and index.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Smart Features - Advanced Test Modes data/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12 runs — one per closed-loop protocol: creep, relaxation, the cyclic modes, the staircases, progressive cyclic to fracture.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Trial for lateral strain/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2 runs, </w:t>
            </w:r>
            <w:r>
              <w:rPr>
                <w:rFonts w:ascii="Consolas" w:hAnsi="Consolas"/>
                <w:color w:val="1F6FB2"/>
                <w:sz w:val="17"/>
              </w:rPr>
              <w:t>S38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1F6FB2"/>
                <w:sz w:val="17"/>
              </w:rPr>
              <w:t>S39</w:t>
            </w:r>
            <w:r>
              <w:rPr>
                <w:sz w:val="17"/>
              </w:rPr>
              <w:t xml:space="preserve"> — the Poisson's-ratio trial that the report's future work builds on.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onsolas" w:hAnsi="Consolas"/>
          <w:color w:val="253439"/>
          <w:sz w:val="18"/>
        </w:rPr>
        <w:t>Test Scripts/</w:t>
      </w:r>
      <w:r>
        <w:rPr>
          <w:color w:val="253439"/>
        </w:rPr>
        <w:t xml:space="preserve"> — 15 test scripts</w:t>
      </w:r>
    </w:p>
    <w:p>
      <w:pPr>
        <w:jc w:val="both"/>
      </w:pPr>
      <w:r>
        <w:rPr>
          <w:sz w:val="20"/>
        </w:rPr>
        <w:t xml:space="preserve">Five run offline with no hardware: </w:t>
      </w:r>
      <w:r>
        <w:rPr>
          <w:rFonts w:ascii="Consolas" w:hAnsi="Consolas"/>
          <w:color w:val="1F6FB2"/>
          <w:sz w:val="20"/>
        </w:rPr>
        <w:t>test_threshold.py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test_postproc_guards.py</w:t>
      </w:r>
      <w:r>
        <w:rPr>
          <w:sz w:val="20"/>
        </w:rPr>
        <w:t>,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test_scale_sidecar.py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test_multipair_postproc.py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test_plot_cursor.py</w:t>
      </w:r>
      <w:r>
        <w:rPr>
          <w:sz w:val="20"/>
        </w:rPr>
        <w:t>. The rest need</w:t>
      </w:r>
    </w:p>
    <w:p>
      <w:pPr>
        <w:jc w:val="both"/>
      </w:pPr>
      <w:r>
        <w:rPr>
          <w:sz w:val="20"/>
        </w:rPr>
        <w:t xml:space="preserve">the camera or the rig: </w:t>
      </w:r>
      <w:r>
        <w:rPr>
          <w:rFonts w:ascii="Consolas" w:hAnsi="Consolas"/>
          <w:color w:val="1F6FB2"/>
          <w:sz w:val="20"/>
        </w:rPr>
        <w:t>test_camera.py</w:t>
      </w:r>
      <w:r>
        <w:rPr>
          <w:sz w:val="20"/>
        </w:rPr>
        <w:t xml:space="preserve"> through </w:t>
      </w:r>
      <w:r>
        <w:rPr>
          <w:rFonts w:ascii="Consolas" w:hAnsi="Consolas"/>
          <w:color w:val="1F6FB2"/>
          <w:sz w:val="20"/>
        </w:rPr>
        <w:t>test_camera4.py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test_blob.py</w:t>
      </w:r>
      <w:r>
        <w:rPr>
          <w:sz w:val="20"/>
        </w:rPr>
        <w:t>,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test_manual_blobs.py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test_reacquire.py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test_phase_8_6.py</w:t>
      </w:r>
      <w:r>
        <w:rPr>
          <w:sz w:val="20"/>
        </w:rPr>
        <w:t xml:space="preserve"> with its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validate_phase_8_6.py</w:t>
      </w:r>
      <w:r>
        <w:rPr>
          <w:sz w:val="20"/>
        </w:rPr>
        <w:t>.</w:t>
      </w:r>
    </w:p>
    <w:p>
      <w:pPr>
        <w:pStyle w:val="Heading4"/>
      </w:pPr>
      <w:r>
        <w:rPr>
          <w:rFonts w:ascii="Consolas" w:hAnsi="Consolas"/>
          <w:color w:val="253439"/>
          <w:sz w:val="18"/>
        </w:rPr>
        <w:t>tools/</w:t>
      </w:r>
      <w:r>
        <w:rPr>
          <w:color w:val="253439"/>
        </w:rPr>
        <w:t xml:space="preserve"> — developer tools beside the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control_sim.py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The simulation plant the closed-loop controllers were tuned on, without touching a specimen.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dic_replay.py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Replays a recorded video through the DIC code for debugging.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camera_setup.py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Interactive camera setup and exposure checking.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check_blobs.py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1F6FB2"/>
                <w:sz w:val="17"/>
              </w:rPr>
              <w:t>roi_tool.py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Marker-detection and ROI inspection on recorded frames.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analyze_hardware_tests.py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Batch analysis of the hardware test runs.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annotate_utm.py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Annotates rig photographs for the documentation.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generate_mode_help.py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Generates the per-protocol help images that </w:t>
            </w:r>
            <w:r>
              <w:rPr>
                <w:rFonts w:ascii="Consolas" w:hAnsi="Consolas"/>
                <w:color w:val="1F6FB2"/>
                <w:sz w:val="17"/>
              </w:rPr>
              <w:t>ui/help/</w:t>
            </w:r>
            <w:r>
              <w:rPr>
                <w:sz w:val="17"/>
              </w:rPr>
              <w:t xml:space="preserve"> holds.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build_exe.py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>Packages the application as a standalone executable.</w:t>
            </w:r>
          </w:p>
        </w:tc>
      </w:tr>
    </w:tbl>
    <w:p>
      <w:pPr>
        <w:spacing w:after="40"/>
      </w:pPr>
    </w:p>
    <w:p>
      <w:pPr>
        <w:pStyle w:val="Heading4"/>
      </w:pPr>
      <w:r>
        <w:rPr>
          <w:rFonts w:ascii="Consolas" w:hAnsi="Consolas"/>
          <w:color w:val="253439"/>
          <w:sz w:val="18"/>
        </w:rPr>
        <w:t>workflow/</w:t>
      </w:r>
      <w:r>
        <w:rPr>
          <w:color w:val="253439"/>
        </w:rPr>
        <w:t xml:space="preserve"> — the written record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ROADMAP.md</w:t>
      </w:r>
      <w:r>
        <w:rPr>
          <w:sz w:val="20"/>
        </w:rPr>
        <w:t xml:space="preserve"> (</w:t>
      </w:r>
      <w:r>
        <w:rPr>
          <w:b/>
          <w:sz w:val="20"/>
        </w:rPr>
        <w:t>start here</w:t>
      </w:r>
      <w:r>
        <w:rPr>
          <w:sz w:val="20"/>
        </w:rPr>
        <w:t xml:space="preserve"> — the living status of every feature: done, planned, blocked,</w:t>
      </w:r>
    </w:p>
    <w:p>
      <w:pPr>
        <w:jc w:val="both"/>
      </w:pPr>
      <w:r>
        <w:rPr>
          <w:sz w:val="20"/>
        </w:rPr>
        <w:t xml:space="preserve">and what needs rig time), </w:t>
      </w:r>
      <w:r>
        <w:rPr>
          <w:rFonts w:ascii="Consolas" w:hAnsi="Consolas"/>
          <w:color w:val="1F6FB2"/>
          <w:sz w:val="20"/>
        </w:rPr>
        <w:t>TESTING_TODO.md</w:t>
      </w:r>
      <w:r>
        <w:rPr>
          <w:sz w:val="20"/>
        </w:rPr>
        <w:t xml:space="preserve"> (the rig-test checklist the validations were run</w:t>
      </w:r>
    </w:p>
    <w:p>
      <w:pPr>
        <w:jc w:val="both"/>
      </w:pPr>
      <w:r>
        <w:rPr>
          <w:sz w:val="20"/>
        </w:rPr>
        <w:t xml:space="preserve">against), </w:t>
      </w:r>
      <w:r>
        <w:rPr>
          <w:rFonts w:ascii="Consolas" w:hAnsi="Consolas"/>
          <w:color w:val="1F6FB2"/>
          <w:sz w:val="20"/>
        </w:rPr>
        <w:t>TEST_FAILURES.md</w:t>
      </w:r>
      <w:r>
        <w:rPr>
          <w:sz w:val="20"/>
        </w:rPr>
        <w:t xml:space="preserve"> (what failed and why, S15's stall included),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PYTHON_WORKFLOW.md</w:t>
      </w:r>
      <w:r>
        <w:rPr>
          <w:sz w:val="20"/>
        </w:rPr>
        <w:t xml:space="preserve"> and its PDF (one page per module), </w:t>
      </w:r>
      <w:r>
        <w:rPr>
          <w:rFonts w:ascii="Consolas" w:hAnsi="Consolas"/>
          <w:color w:val="1F6FB2"/>
          <w:sz w:val="20"/>
        </w:rPr>
        <w:t>RECALIBRATE_ROI.md</w:t>
      </w:r>
      <w:r>
        <w:rPr>
          <w:sz w:val="20"/>
        </w:rPr>
        <w:t xml:space="preserve"> (the procedure</w:t>
      </w:r>
    </w:p>
    <w:p>
      <w:pPr>
        <w:jc w:val="both"/>
      </w:pPr>
      <w:r>
        <w:rPr>
          <w:sz w:val="20"/>
        </w:rPr>
        <w:t xml:space="preserve">after the camera moves), </w:t>
      </w:r>
      <w:r>
        <w:rPr>
          <w:rFonts w:ascii="Consolas" w:hAnsi="Consolas"/>
          <w:color w:val="1F6FB2"/>
          <w:sz w:val="20"/>
        </w:rPr>
        <w:t>COMMANDS.txt</w:t>
      </w:r>
      <w:r>
        <w:rPr>
          <w:sz w:val="20"/>
        </w:rPr>
        <w:t xml:space="preserve"> (the serial command set) and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utm_code_summary.txt</w:t>
      </w:r>
      <w:r>
        <w:rPr>
          <w:sz w:val="20"/>
        </w:rPr>
        <w:t xml:space="preserve"> (a per-file summary by functional area).</w:t>
      </w:r>
    </w:p>
    <w:p>
      <w:pPr>
        <w:pStyle w:val="Heading4"/>
      </w:pPr>
      <w:r>
        <w:rPr>
          <w:rFonts w:ascii="Consolas" w:hAnsi="Consolas"/>
          <w:color w:val="253439"/>
          <w:sz w:val="18"/>
        </w:rPr>
        <w:t>ui/</w:t>
      </w:r>
      <w:r>
        <w:rPr>
          <w:color w:val="253439"/>
        </w:rPr>
        <w:t xml:space="preserve">, </w:t>
      </w:r>
      <w:r>
        <w:rPr>
          <w:rFonts w:ascii="Consolas" w:hAnsi="Consolas"/>
          <w:color w:val="253439"/>
          <w:sz w:val="18"/>
        </w:rPr>
        <w:t>recipes/</w:t>
      </w:r>
      <w:r>
        <w:rPr>
          <w:color w:val="253439"/>
        </w:rPr>
        <w:t xml:space="preserve">, </w:t>
      </w:r>
      <w:r>
        <w:rPr>
          <w:rFonts w:ascii="Consolas" w:hAnsi="Consolas"/>
          <w:color w:val="253439"/>
          <w:sz w:val="18"/>
        </w:rPr>
        <w:t>output/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subfolder</w:t>
            </w:r>
          </w:p>
        </w:tc>
        <w:tc>
          <w:tcPr>
            <w:tcW w:type="dxa" w:w="7285"/>
            <w:shd w:fill="253439"/>
          </w:tcPr>
          <w:p>
            <w:pPr>
              <w:spacing w:before="20" w:after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ui/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utm_mainwindow.ui</w:t>
            </w:r>
            <w:r>
              <w:rPr>
                <w:sz w:val="17"/>
              </w:rPr>
              <w:t xml:space="preserve">, the Qt Designer layout </w:t>
            </w:r>
            <w:r>
              <w:rPr>
                <w:rFonts w:ascii="Consolas" w:hAnsi="Consolas"/>
                <w:color w:val="1F6FB2"/>
                <w:sz w:val="17"/>
              </w:rPr>
              <w:t>main.py</w:t>
            </w:r>
            <w:r>
              <w:rPr>
                <w:sz w:val="17"/>
              </w:rPr>
              <w:t xml:space="preserve"> loads, and </w:t>
            </w:r>
            <w:r>
              <w:rPr>
                <w:rFonts w:ascii="Consolas" w:hAnsi="Consolas"/>
                <w:color w:val="1F6FB2"/>
                <w:sz w:val="17"/>
              </w:rPr>
              <w:t>help/</w:t>
            </w:r>
            <w:r>
              <w:rPr>
                <w:sz w:val="17"/>
              </w:rPr>
              <w:t xml:space="preserve"> — six PNGs, one per closed-loop protocol, shown in the app's own help.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recipes/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Material recipes as plain JSON: </w:t>
            </w:r>
            <w:r>
              <w:rPr>
                <w:rFonts w:ascii="Consolas" w:hAnsi="Consolas"/>
                <w:color w:val="1F6FB2"/>
                <w:sz w:val="17"/>
              </w:rPr>
              <w:t>Default.json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1F6FB2"/>
                <w:sz w:val="17"/>
              </w:rPr>
              <w:t>TPU.json</w:t>
            </w:r>
            <w:r>
              <w:rPr>
                <w:sz w:val="17"/>
              </w:rPr>
              <w:t>. Readable, diffable, easy to hand-edit.</w:t>
            </w:r>
          </w:p>
        </w:tc>
      </w:tr>
      <w:tr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rFonts w:ascii="Consolas" w:hAnsi="Consolas"/>
                <w:color w:val="1F6FB2"/>
                <w:sz w:val="17"/>
              </w:rPr>
              <w:t>output/</w:t>
            </w:r>
          </w:p>
        </w:tc>
        <w:tc>
          <w:tcPr>
            <w:tcW w:type="dxa" w:w="7285"/>
          </w:tcPr>
          <w:p>
            <w:pPr>
              <w:spacing w:before="20"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What the app writes at run time: </w:t>
            </w:r>
            <w:r>
              <w:rPr>
                <w:rFonts w:ascii="Consolas" w:hAnsi="Consolas"/>
                <w:color w:val="1F6FB2"/>
                <w:sz w:val="17"/>
              </w:rPr>
              <w:t>captures/</w:t>
            </w:r>
            <w:r>
              <w:rPr>
                <w:sz w:val="17"/>
              </w:rPr>
              <w:t xml:space="preserve"> (recorded video), </w:t>
            </w:r>
            <w:r>
              <w:rPr>
                <w:rFonts w:ascii="Consolas" w:hAnsi="Consolas"/>
                <w:color w:val="1F6FB2"/>
                <w:sz w:val="17"/>
              </w:rPr>
              <w:t>diagnostics/</w:t>
            </w:r>
            <w:r>
              <w:rPr>
                <w:sz w:val="17"/>
              </w:rPr>
              <w:t xml:space="preserve"> (threshold and blob dumps when something looks wrong), </w:t>
            </w:r>
            <w:r>
              <w:rPr>
                <w:rFonts w:ascii="Consolas" w:hAnsi="Consolas"/>
                <w:color w:val="1F6FB2"/>
                <w:sz w:val="17"/>
              </w:rPr>
              <w:t>full_frame_output/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setup_output/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6FB2"/>
                <w:sz w:val="17"/>
              </w:rPr>
              <w:t>test_images/</w:t>
            </w:r>
            <w:r>
              <w:rPr>
                <w:sz w:val="17"/>
              </w:rPr>
              <w:t>. Regenerable — nothing here is an input.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253439"/>
          <w:sz w:val="18"/>
        </w:rPr>
        <w:t>Software/py codes/</w:t>
      </w:r>
      <w:r>
        <w:rPr>
          <w:color w:val="253439"/>
        </w:rPr>
        <w:t xml:space="preserve"> — the standalone analysis scripts</w:t>
      </w:r>
    </w:p>
    <w:p>
      <w:pPr>
        <w:jc w:val="both"/>
      </w:pPr>
      <w:r>
        <w:rPr>
          <w:sz w:val="20"/>
        </w:rPr>
        <w:t xml:space="preserve">19 scripts, one per test series or question, with their own </w:t>
      </w:r>
      <w:r>
        <w:rPr>
          <w:rFonts w:ascii="Consolas" w:hAnsi="Consolas"/>
          <w:color w:val="1F6FB2"/>
          <w:sz w:val="20"/>
        </w:rPr>
        <w:t>README.md</w:t>
      </w:r>
      <w:r>
        <w:rPr>
          <w:sz w:val="20"/>
        </w:rPr>
        <w:t>. Run them **from the</w:t>
      </w:r>
    </w:p>
    <w:p>
      <w:pPr>
        <w:jc w:val="both"/>
      </w:pPr>
      <w:r>
        <w:rPr>
          <w:sz w:val="20"/>
        </w:rPr>
        <w:t xml:space="preserve">repository root**. </w:t>
      </w:r>
      <w:r>
        <w:rPr>
          <w:rFonts w:ascii="Consolas" w:hAnsi="Consolas"/>
          <w:color w:val="1F6FB2"/>
          <w:sz w:val="20"/>
        </w:rPr>
        <w:t>v4b_v4c_slope_plot.py</w:t>
      </w:r>
      <w:r>
        <w:rPr>
          <w:sz w:val="20"/>
        </w:rPr>
        <w:t xml:space="preserve"> and </w:t>
      </w:r>
      <w:r>
        <w:rPr>
          <w:rFonts w:ascii="Consolas" w:hAnsi="Consolas"/>
          <w:color w:val="1F6FB2"/>
          <w:sz w:val="20"/>
        </w:rPr>
        <w:t>v4b_vs_v4c_compare.py</w:t>
      </w:r>
      <w:r>
        <w:rPr>
          <w:sz w:val="20"/>
        </w:rPr>
        <w:t xml:space="preserve"> (the staircase</w:t>
      </w:r>
    </w:p>
    <w:p>
      <w:pPr>
        <w:jc w:val="both"/>
      </w:pPr>
      <w:r>
        <w:rPr>
          <w:sz w:val="20"/>
        </w:rPr>
        <w:t xml:space="preserve">linearity work), </w:t>
      </w:r>
      <w:r>
        <w:rPr>
          <w:rFonts w:ascii="Consolas" w:hAnsi="Consolas"/>
          <w:color w:val="1F6FB2"/>
          <w:sz w:val="20"/>
        </w:rPr>
        <w:t>staircase_analysis.py</w:t>
      </w:r>
      <w:r>
        <w:rPr>
          <w:sz w:val="20"/>
        </w:rPr>
        <w:t xml:space="preserve"> and </w:t>
      </w:r>
      <w:r>
        <w:rPr>
          <w:rFonts w:ascii="Consolas" w:hAnsi="Consolas"/>
          <w:color w:val="1F6FB2"/>
          <w:sz w:val="20"/>
        </w:rPr>
        <w:t>staircase_engaged_analysis.py</w:t>
      </w:r>
      <w:r>
        <w:rPr>
          <w:sz w:val="20"/>
        </w:rPr>
        <w:t>,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stress_strain_8_6_19.py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tensile_failure_analysis.py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v5_full_analysis.py</w:t>
      </w:r>
      <w:r>
        <w:rPr>
          <w:sz w:val="20"/>
        </w:rPr>
        <w:t>,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v5_v5b_compare.py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v5abc_compare.py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v6_compare.py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v6_quintet_plots.py</w:t>
      </w:r>
      <w:r>
        <w:rPr>
          <w:sz w:val="20"/>
        </w:rPr>
        <w:t>,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v6_fracture_montage.py</w:t>
      </w:r>
      <w:r>
        <w:rPr>
          <w:sz w:val="20"/>
        </w:rPr>
        <w:t>, the V6a set (</w:t>
      </w:r>
      <w:r>
        <w:rPr>
          <w:rFonts w:ascii="Consolas" w:hAnsi="Consolas"/>
          <w:color w:val="1F6FB2"/>
          <w:sz w:val="20"/>
        </w:rPr>
        <w:t>v6a_analyze.py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v6a_plots.py</w:t>
      </w:r>
      <w:r>
        <w:rPr>
          <w:sz w:val="20"/>
        </w:rPr>
        <w:t>,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v6a_epla_offset.py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v6a_offset_window.py</w:t>
      </w:r>
      <w:r>
        <w:rPr>
          <w:sz w:val="20"/>
        </w:rPr>
        <w:t xml:space="preserve">), </w:t>
      </w:r>
      <w:r>
        <w:rPr>
          <w:rFonts w:ascii="Consolas" w:hAnsi="Consolas"/>
          <w:color w:val="1F6FB2"/>
          <w:sz w:val="20"/>
        </w:rPr>
        <w:t>peak_strain_extraction.py</w:t>
      </w:r>
      <w:r>
        <w:rPr>
          <w:sz w:val="20"/>
        </w:rPr>
        <w:t>,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preload_schedule.py</w:t>
      </w:r>
      <w:r>
        <w:rPr>
          <w:sz w:val="20"/>
        </w:rPr>
        <w:t xml:space="preserve"> and </w:t>
      </w:r>
      <w:r>
        <w:rPr>
          <w:rFonts w:ascii="Consolas" w:hAnsi="Consolas"/>
          <w:color w:val="1F6FB2"/>
          <w:sz w:val="20"/>
        </w:rPr>
        <w:t>generate_report.py</w:t>
      </w:r>
      <w:r>
        <w:rPr>
          <w:sz w:val="20"/>
        </w:rPr>
        <w:t>. Their figures land in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Documentation/Figures/</w:t>
      </w:r>
      <w:r>
        <w:rPr>
          <w:sz w:val="20"/>
        </w:rPr>
        <w:t>.</w:t>
      </w:r>
    </w:p>
    <w:p>
      <w:pPr>
        <w:pStyle w:val="Heading3"/>
      </w:pPr>
      <w:r>
        <w:rPr>
          <w:rFonts w:ascii="Consolas" w:hAnsi="Consolas"/>
          <w:color w:val="253439"/>
          <w:sz w:val="18"/>
        </w:rPr>
        <w:t>Software/Matlab/</w:t>
      </w:r>
      <w:r>
        <w:rPr>
          <w:color w:val="253439"/>
        </w:rPr>
        <w:t xml:space="preserve"> — where the project started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UTM.mlapp</w:t>
      </w:r>
      <w:r>
        <w:rPr>
          <w:sz w:val="20"/>
        </w:rPr>
        <w:t xml:space="preserve"> (the original App Designer application) with </w:t>
      </w:r>
      <w:r>
        <w:rPr>
          <w:rFonts w:ascii="Consolas" w:hAnsi="Consolas"/>
          <w:color w:val="1F6FB2"/>
          <w:sz w:val="20"/>
        </w:rPr>
        <w:t>UTM_BAK.mlapp</w:t>
      </w:r>
      <w:r>
        <w:rPr>
          <w:sz w:val="20"/>
        </w:rPr>
        <w:t xml:space="preserve"> as its backup,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App.m</w:t>
      </w:r>
      <w:r>
        <w:rPr>
          <w:sz w:val="20"/>
        </w:rPr>
        <w:t xml:space="preserve"> — the exported source, kept for reference during the conversion to Python — and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GUI.png</w:t>
      </w:r>
      <w:r>
        <w:rPr>
          <w:sz w:val="20"/>
        </w:rPr>
        <w:t xml:space="preserve"> / </w:t>
      </w:r>
      <w:r>
        <w:rPr>
          <w:rFonts w:ascii="Consolas" w:hAnsi="Consolas"/>
          <w:color w:val="1F6FB2"/>
          <w:sz w:val="20"/>
        </w:rPr>
        <w:t>MatlabApp.png</w:t>
      </w:r>
      <w:r>
        <w:rPr>
          <w:sz w:val="20"/>
        </w:rPr>
        <w:t>, screenshots of that original interface.</w:t>
      </w:r>
    </w:p>
    <w:p>
      <w:pPr>
        <w:pStyle w:val="Heading2"/>
      </w:pPr>
      <w:r>
        <w:rPr>
          <w:rFonts w:ascii="Consolas" w:hAnsi="Consolas"/>
          <w:color w:val="253439"/>
          <w:sz w:val="18"/>
        </w:rPr>
        <w:t>Test Search application/</w:t>
      </w:r>
      <w:r>
        <w:rPr>
          <w:color w:val="253439"/>
        </w:rPr>
        <w:t xml:space="preserve"> — a side utility</w:t>
      </w:r>
    </w:p>
    <w:p>
      <w:pPr>
        <w:jc w:val="both"/>
      </w:pPr>
      <w:r>
        <w:rPr>
          <w:rFonts w:ascii="Consolas" w:hAnsi="Consolas"/>
          <w:color w:val="1F6FB2"/>
          <w:sz w:val="20"/>
        </w:rPr>
        <w:t>find_urls.py</w:t>
      </w:r>
      <w:r>
        <w:rPr>
          <w:sz w:val="20"/>
        </w:rPr>
        <w:t xml:space="preserve">, </w:t>
      </w:r>
      <w:r>
        <w:rPr>
          <w:rFonts w:ascii="Consolas" w:hAnsi="Consolas"/>
          <w:color w:val="1F6FB2"/>
          <w:sz w:val="20"/>
        </w:rPr>
        <w:t>check_urls.py</w:t>
      </w:r>
      <w:r>
        <w:rPr>
          <w:sz w:val="20"/>
        </w:rPr>
        <w:t xml:space="preserve"> and </w:t>
      </w:r>
      <w:r>
        <w:rPr>
          <w:rFonts w:ascii="Consolas" w:hAnsi="Consolas"/>
          <w:color w:val="1F6FB2"/>
          <w:sz w:val="20"/>
        </w:rPr>
        <w:t>master_search.html</w:t>
      </w:r>
      <w:r>
        <w:rPr>
          <w:sz w:val="20"/>
        </w:rPr>
        <w:t>: a small tool for collecting</w:t>
      </w:r>
    </w:p>
    <w:p>
      <w:pPr>
        <w:jc w:val="both"/>
      </w:pPr>
      <w:r>
        <w:rPr>
          <w:sz w:val="20"/>
        </w:rPr>
        <w:t>reference URLs and checking that they still resolve. Unrelated to the rig.</w:t>
      </w:r>
    </w:p>
    <w:p/>
    <w:p>
      <w:pPr>
        <w:pStyle w:val="Heading2"/>
      </w:pPr>
      <w:r>
        <w:rPr>
          <w:color w:val="253439"/>
        </w:rPr>
        <w:t>Conventions that hold across the whole repository</w:t>
      </w:r>
    </w:p>
    <w:p>
      <w:pPr>
        <w:pStyle w:val="ListBullet"/>
      </w:pPr>
      <w:r>
        <w:rPr>
          <w:b/>
          <w:sz w:val="20"/>
        </w:rPr>
        <w:t>Run scripts from the repository root.</w:t>
      </w:r>
      <w:r>
        <w:rPr>
          <w:sz w:val="20"/>
        </w:rPr>
        <w:t xml:space="preserve"> Every data and figure path inside them is written</w:t>
      </w:r>
    </w:p>
    <w:p>
      <w:pPr>
        <w:jc w:val="both"/>
      </w:pPr>
      <w:r>
        <w:rPr>
          <w:sz w:val="20"/>
        </w:rPr>
        <w:t xml:space="preserve">  relative to it, not to the script.</w:t>
      </w:r>
    </w:p>
    <w:p>
      <w:pPr>
        <w:pStyle w:val="ListBullet"/>
      </w:pPr>
      <w:r>
        <w:rPr>
          <w:b/>
          <w:sz w:val="20"/>
        </w:rPr>
        <w:t>No number is typed by hand.</w:t>
      </w:r>
      <w:r>
        <w:rPr>
          <w:sz w:val="20"/>
        </w:rPr>
        <w:t xml:space="preserve"> Every figure and table in the report and the decks is</w:t>
      </w:r>
    </w:p>
    <w:p>
      <w:pPr>
        <w:jc w:val="both"/>
      </w:pPr>
      <w:r>
        <w:rPr>
          <w:sz w:val="20"/>
        </w:rPr>
        <w:t xml:space="preserve">  computed from a raw run by a committed script.</w:t>
      </w:r>
    </w:p>
    <w:p>
      <w:pPr>
        <w:pStyle w:val="ListBullet"/>
      </w:pPr>
      <w:r>
        <w:rPr>
          <w:b/>
          <w:sz w:val="20"/>
        </w:rPr>
        <w:t>`utm_analysis.py` is the single analyser.</w:t>
      </w:r>
      <w:r>
        <w:rPr>
          <w:sz w:val="20"/>
        </w:rPr>
        <w:t xml:space="preserve"> The app and every script import it; nothing</w:t>
      </w:r>
    </w:p>
    <w:p>
      <w:pPr>
        <w:jc w:val="both"/>
      </w:pPr>
      <w:r>
        <w:rPr>
          <w:sz w:val="20"/>
        </w:rPr>
        <w:t xml:space="preserve">  re-implements yield, modulus or fracture detection.</w:t>
      </w:r>
    </w:p>
    <w:p>
      <w:pPr>
        <w:pStyle w:val="ListBullet"/>
      </w:pPr>
      <w:r>
        <w:rPr>
          <w:b/>
          <w:sz w:val="20"/>
        </w:rPr>
        <w:t>A missing figure does not fail loudly.</w:t>
      </w:r>
      <w:r>
        <w:rPr>
          <w:sz w:val="20"/>
        </w:rPr>
        <w:t xml:space="preserve"> </w:t>
      </w:r>
      <w:r>
        <w:rPr>
          <w:rFonts w:ascii="Consolas" w:hAnsi="Consolas"/>
          <w:color w:val="1F6FB2"/>
          <w:sz w:val="20"/>
        </w:rPr>
        <w:t>pic_or_ph()</w:t>
      </w:r>
      <w:r>
        <w:rPr>
          <w:sz w:val="20"/>
        </w:rPr>
        <w:t xml:space="preserve"> in the deck builders substitutes a</w:t>
      </w:r>
    </w:p>
    <w:p>
      <w:pPr>
        <w:jc w:val="both"/>
      </w:pPr>
      <w:r>
        <w:rPr>
          <w:sz w:val="20"/>
        </w:rPr>
        <w:t xml:space="preserve">  placeholder box, so a broken path yields a deck that builds cleanly and is quietly wrong —</w:t>
      </w:r>
    </w:p>
    <w:p>
      <w:pPr>
        <w:jc w:val="both"/>
      </w:pPr>
      <w:r>
        <w:rPr>
          <w:sz w:val="20"/>
        </w:rPr>
        <w:t xml:space="preserve">  check the picture count after moving anything.</w:t>
      </w:r>
    </w:p>
    <w:sectPr w:rsidR="00FC693F" w:rsidRPr="0006063C" w:rsidSect="00034616">
      <w:pgSz w:w="16838" w:h="11906" w:orient="landscape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