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B4C"/>
          <w:sz w:val="40"/>
        </w:rPr>
        <w:t>Reflection: Session 1</w:t>
      </w:r>
    </w:p>
    <w:p>
      <w:pPr>
        <w:spacing w:before="0" w:after="40" w:line="276" w:lineRule="auto"/>
      </w:pPr>
      <w:r>
        <w:rPr>
          <w:rFonts w:ascii="Arial" w:hAnsi="Arial"/>
          <w:b/>
          <w:color w:val="555555"/>
          <w:sz w:val="21"/>
        </w:rPr>
        <w:t xml:space="preserve">Date: </w:t>
      </w:r>
      <w:r>
        <w:rPr>
          <w:rFonts w:ascii="Arial" w:hAnsi="Arial"/>
          <w:color w:val="333333"/>
          <w:sz w:val="21"/>
        </w:rPr>
        <w:t>25 July 2026</w:t>
      </w:r>
    </w:p>
    <w:p>
      <w:pPr>
        <w:spacing w:before="0" w:after="40" w:line="276" w:lineRule="auto"/>
      </w:pPr>
      <w:r>
        <w:rPr>
          <w:rFonts w:ascii="Arial" w:hAnsi="Arial"/>
          <w:b/>
          <w:color w:val="555555"/>
          <w:sz w:val="21"/>
        </w:rPr>
        <w:t xml:space="preserve">Name: </w:t>
      </w:r>
      <w:r>
        <w:rPr>
          <w:rFonts w:ascii="Arial" w:hAnsi="Arial"/>
          <w:color w:val="333333"/>
          <w:sz w:val="21"/>
        </w:rPr>
        <w:t>Adarsh Dandriyal</w:t>
      </w:r>
    </w:p>
    <w:p>
      <w:pPr>
        <w:spacing w:before="0" w:after="40" w:line="276" w:lineRule="auto"/>
      </w:pPr>
      <w:r>
        <w:rPr>
          <w:rFonts w:ascii="Arial" w:hAnsi="Arial"/>
          <w:b/>
          <w:color w:val="555555"/>
          <w:sz w:val="21"/>
        </w:rPr>
        <w:t xml:space="preserve">Roll No: </w:t>
      </w:r>
      <w:r>
        <w:rPr>
          <w:rFonts w:ascii="Arial" w:hAnsi="Arial"/>
          <w:color w:val="333333"/>
          <w:sz w:val="21"/>
        </w:rPr>
        <w:t>2025MB26093</w:t>
      </w:r>
    </w:p>
    <w:p>
      <w:pPr>
        <w:spacing w:before="160" w:after="280"/>
        <w:pBdr>
          <w:bottom w:val="single" w:sz="12" w:space="1" w:color="1A2B4C"/>
        </w:pBdr>
      </w:pPr>
    </w:p>
    <w:p>
      <w:pPr>
        <w:spacing w:before="0" w:after="200" w:line="288" w:lineRule="auto"/>
      </w:pPr>
      <w:r>
        <w:rPr>
          <w:rFonts w:ascii="Arial" w:hAnsi="Arial"/>
          <w:color w:val="222222"/>
          <w:sz w:val="22"/>
        </w:rPr>
        <w:t>When the faculty asked for a definition of product management, I was ready with the standard textbook answers: bridging business and engineering, managing the product lifecycle. Had I spoken up, I would have walked away feeling pretty satisfied with those. Then came the reality check. The faculty pointed out that not a single person had mentioned ownership—and instantly, I felt that gap in my own thinking.</w:t>
      </w:r>
    </w:p>
    <w:p>
      <w:pPr>
        <w:spacing w:before="0" w:after="200" w:line="288" w:lineRule="auto"/>
      </w:pPr>
      <w:r>
        <w:rPr>
          <w:rFonts w:ascii="Arial" w:hAnsi="Arial"/>
          <w:color w:val="222222"/>
          <w:sz w:val="22"/>
        </w:rPr>
        <w:t>Eight years in Salesforce delivery has subtly trained me to hide behind that bridging language. It is a comfortable framing. If I am just the bridge, I can stand slightly outside the actual outcome. If a project derails, well, the bridge was sturdy enough—it was the traffic that caused the collapse. I have never admitted that out loud, but if I am honest with myself, I have definitely thought in that shape. The cricket captain analogy hit close to home: you do not get to claim the captaincy only on the weeks you win.</w:t>
      </w:r>
    </w:p>
    <w:p>
      <w:pPr>
        <w:spacing w:before="0" w:after="200" w:line="288" w:lineRule="auto"/>
      </w:pPr>
      <w:r>
        <w:rPr>
          <w:rFonts w:ascii="Arial" w:hAnsi="Arial"/>
          <w:color w:val="222222"/>
          <w:sz w:val="22"/>
        </w:rPr>
        <w:t>Where I still feel some tension is around the claim that "engineering failed to deliver" is an invalid excuse because engineering belongs to you. In a services environment, it genuinely does not. Staffing is run by a resourcing desk optimizing bench utilization across a massive practice. I have lost key architects mid-build without getting a single vote in the matter. The raw truth for my context is this: the consequences belong to me, even when the control does not. It is a lot less inspiring than a textbook leadership quote, but it feels like the reality. If I want the authority to match that accountability, I have to go out and actively take it, not wait for it to be handed over.</w:t>
      </w:r>
    </w:p>
    <w:p>
      <w:pPr>
        <w:spacing w:before="0" w:after="200" w:line="288" w:lineRule="auto"/>
      </w:pPr>
      <w:r>
        <w:rPr>
          <w:rFonts w:ascii="Arial" w:hAnsi="Arial"/>
          <w:color w:val="222222"/>
          <w:sz w:val="22"/>
        </w:rPr>
        <w:t>The story that stuck with me involved an architect proposing a technically superior, yet exotic database. The faculty turned it down—not on technical merits, but because the talent pool was too thin. He refused to lock the product (or the team) into a corner. That decision hinged on human variables completely absent from any technical scorecard.</w:t>
      </w:r>
    </w:p>
    <w:p>
      <w:pPr>
        <w:spacing w:before="0" w:after="200" w:line="288" w:lineRule="auto"/>
      </w:pPr>
      <w:r>
        <w:rPr>
          <w:rFonts w:ascii="Arial" w:hAnsi="Arial"/>
          <w:color w:val="222222"/>
          <w:sz w:val="22"/>
        </w:rPr>
        <w:t>It forced me to reflect on a mistake of my own. I once let a team build a brilliant custom framework on top of standard functionality. On paper, it was superior. In practice, it meant every new hire needed two solid weeks of ramp-up time just to learn a proprietary trick, and when the original builder left, our velocity collapsed and never recovered. I had evaluated the code, but completely ignored the human pipeline required to sustain it—simply because I did not see people operations as my column to fill in. Maybe that is the true divide between a technical lead and a product owner: not how deep you can technicalize, but which hidden columns you take responsibility for.</w:t>
      </w:r>
    </w:p>
    <w:p>
      <w:pPr>
        <w:spacing w:before="280" w:after="120"/>
      </w:pPr>
      <w:r>
        <w:rPr>
          <w:rFonts w:ascii="Arial" w:hAnsi="Arial"/>
          <w:b/>
          <w:color w:val="1A2B4C"/>
          <w:sz w:val="25"/>
        </w:rPr>
        <w:t>What I am changing starting tomorrow:</w:t>
      </w:r>
    </w:p>
    <w:p>
      <w:pPr>
        <w:spacing w:before="0" w:after="120" w:line="288" w:lineRule="auto"/>
        <w:ind w:left="360"/>
      </w:pPr>
      <w:r>
        <w:rPr>
          <w:rFonts w:ascii="Arial" w:hAnsi="Arial"/>
          <w:b/>
          <w:color w:val="222222"/>
          <w:sz w:val="22"/>
        </w:rPr>
        <w:t xml:space="preserve">1. The 18-Month Test: </w:t>
      </w:r>
      <w:r>
        <w:rPr>
          <w:rFonts w:ascii="Arial" w:hAnsi="Arial"/>
          <w:color w:val="222222"/>
          <w:sz w:val="22"/>
        </w:rPr>
        <w:t>On every single design proposal, I will write down who will be maintaining it in 18 months. If I cannot answer that, the proposal is not ready.</w:t>
      </w:r>
    </w:p>
    <w:p>
      <w:pPr>
        <w:spacing w:before="0" w:after="120" w:line="288" w:lineRule="auto"/>
        <w:ind w:left="360"/>
      </w:pPr>
      <w:r>
        <w:rPr>
          <w:rFonts w:ascii="Arial" w:hAnsi="Arial"/>
          <w:b/>
          <w:color w:val="222222"/>
          <w:sz w:val="22"/>
        </w:rPr>
        <w:t xml:space="preserve">2. Transparent Rejections: </w:t>
      </w:r>
      <w:r>
        <w:rPr>
          <w:rFonts w:ascii="Arial" w:hAnsi="Arial"/>
          <w:color w:val="222222"/>
          <w:sz w:val="22"/>
        </w:rPr>
        <w:t>I turn down ideas frequently, but my explanations fluctuate based on how rushed I feel. I owe the team consistent context, not rushed verdicts.</w:t>
      </w:r>
    </w:p>
    <w:p>
      <w:pPr>
        <w:spacing w:before="280" w:after="80"/>
      </w:pPr>
      <w:r>
        <w:rPr>
          <w:rFonts w:ascii="Arial" w:hAnsi="Arial"/>
          <w:b/>
          <w:color w:val="1A2B4C"/>
          <w:sz w:val="25"/>
        </w:rPr>
        <w:t>An open question I am sitting with:</w:t>
      </w:r>
    </w:p>
    <w:p>
      <w:pPr>
        <w:spacing w:before="0" w:after="240" w:line="288" w:lineRule="auto"/>
      </w:pPr>
      <w:r>
        <w:rPr>
          <w:rFonts w:ascii="Arial" w:hAnsi="Arial"/>
          <w:color w:val="222222"/>
          <w:sz w:val="22"/>
        </w:rPr>
        <w:t>My firm is pushing hard on using AI to build products and embedding AI inside products. Yet, nobody is leveraging AI for the actual thinking work of prioritization and trade-offs. Is that an oversight, or does it say something deeper about how much—or how little—we value the human art of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