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B4C"/>
          <w:sz w:val="40"/>
        </w:rPr>
        <w:t>Reflection: Session 2</w:t>
      </w:r>
    </w:p>
    <w:p>
      <w:pPr>
        <w:spacing w:before="0" w:after="40" w:line="276" w:lineRule="auto"/>
      </w:pPr>
      <w:r>
        <w:rPr>
          <w:rFonts w:ascii="Arial" w:hAnsi="Arial"/>
          <w:b/>
          <w:color w:val="555555"/>
          <w:sz w:val="21"/>
        </w:rPr>
        <w:t xml:space="preserve">Date: </w:t>
      </w:r>
      <w:r>
        <w:rPr>
          <w:rFonts w:ascii="Arial" w:hAnsi="Arial"/>
          <w:color w:val="333333"/>
          <w:sz w:val="21"/>
        </w:rPr>
        <w:t>1 August 2026</w:t>
      </w:r>
    </w:p>
    <w:p>
      <w:pPr>
        <w:spacing w:before="0" w:after="40" w:line="276" w:lineRule="auto"/>
      </w:pPr>
      <w:r>
        <w:rPr>
          <w:rFonts w:ascii="Arial" w:hAnsi="Arial"/>
          <w:b/>
          <w:color w:val="555555"/>
          <w:sz w:val="21"/>
        </w:rPr>
        <w:t xml:space="preserve">Name: </w:t>
      </w:r>
      <w:r>
        <w:rPr>
          <w:rFonts w:ascii="Arial" w:hAnsi="Arial"/>
          <w:color w:val="333333"/>
          <w:sz w:val="21"/>
        </w:rPr>
        <w:t>Adarsh Dandriyal</w:t>
      </w:r>
    </w:p>
    <w:p>
      <w:pPr>
        <w:spacing w:before="0" w:after="40" w:line="276" w:lineRule="auto"/>
      </w:pPr>
      <w:r>
        <w:rPr>
          <w:rFonts w:ascii="Arial" w:hAnsi="Arial"/>
          <w:b/>
          <w:color w:val="555555"/>
          <w:sz w:val="21"/>
        </w:rPr>
        <w:t xml:space="preserve">Roll No: </w:t>
      </w:r>
      <w:r>
        <w:rPr>
          <w:rFonts w:ascii="Arial" w:hAnsi="Arial"/>
          <w:color w:val="333333"/>
          <w:sz w:val="21"/>
        </w:rPr>
        <w:t>2025MB26093</w:t>
      </w:r>
    </w:p>
    <w:p>
      <w:pPr>
        <w:spacing w:before="160" w:after="280"/>
        <w:pBdr>
          <w:bottom w:val="single" w:sz="12" w:space="1" w:color="1A2B4C"/>
        </w:pBdr>
      </w:pPr>
    </w:p>
    <w:p>
      <w:pPr>
        <w:spacing w:before="0" w:after="200" w:line="288" w:lineRule="auto"/>
      </w:pPr>
      <w:r>
        <w:rPr>
          <w:rFonts w:ascii="Arial" w:hAnsi="Arial"/>
          <w:b/>
          <w:color w:val="1A2B4C"/>
          <w:sz w:val="24"/>
        </w:rPr>
        <w:t>"A product serves N unknown customers. A project serves one."</w:t>
      </w:r>
    </w:p>
    <w:p>
      <w:pPr>
        <w:spacing w:before="0" w:after="200" w:line="288" w:lineRule="auto"/>
      </w:pPr>
      <w:r>
        <w:rPr>
          <w:rFonts w:ascii="Arial" w:hAnsi="Arial"/>
          <w:color w:val="222222"/>
          <w:sz w:val="22"/>
        </w:rPr>
        <w:t>I stopped taking notes after that line hit. Everything I have built over ten years of delivery experience has been a project. A client asks for something, we scope it, we build it specifically for them, we hand it over, and we move on. I had been calling this background delivery experience and quietly assuming it was adjacent to product management. It is not adjacent—it is a fundamentally different discipline that just happens to use the same set of tools.</w:t>
      </w:r>
    </w:p>
    <w:p>
      <w:pPr>
        <w:spacing w:before="0" w:after="200" w:line="288" w:lineRule="auto"/>
      </w:pPr>
      <w:r>
        <w:rPr>
          <w:rFonts w:ascii="Arial" w:hAnsi="Arial"/>
          <w:color w:val="222222"/>
          <w:sz w:val="22"/>
        </w:rPr>
        <w:t>I could feel myself heading straight for the exact trap the faculty described: trying to propose my own firm's internal problems as a standalone product. The test is simple enough to apply now. Could a second firm, whose internal processes I know nothing about, pick this up and use it? If it requires a discovery conversation first, it is a project, plain and simple.</w:t>
      </w:r>
    </w:p>
    <w:p>
      <w:pPr>
        <w:spacing w:before="0" w:after="200" w:line="288" w:lineRule="auto"/>
      </w:pPr>
      <w:r>
        <w:rPr>
          <w:rFonts w:ascii="Arial" w:hAnsi="Arial"/>
          <w:color w:val="222222"/>
          <w:sz w:val="22"/>
        </w:rPr>
        <w:t>The layering model feels like the real way out of that trap: build a generic core, add an industry variant, and place the customer-specific layer on top. What felt fresh was treating that structure as a day-to-day discipline rather than a passive architecture diagram. You have to aggressively protect the core. If a client tries to pull you into a corner that only they care about, you either isolate it, make them bear the full unshared cost of building it, or walk away. While I have never seen a firm walk away—and I doubt I will be the first to do it—honest pricing for unshared custom work is a lever I can actually use. I have just never framed a bespoke client request in those terms before.</w:t>
      </w:r>
    </w:p>
    <w:p>
      <w:pPr>
        <w:spacing w:before="0" w:after="200" w:line="288" w:lineRule="auto"/>
      </w:pPr>
      <w:r>
        <w:rPr>
          <w:rFonts w:ascii="Arial" w:hAnsi="Arial"/>
          <w:color w:val="222222"/>
          <w:sz w:val="22"/>
        </w:rPr>
        <w:t>Where I still feel some real pushback is around the advice to defer decisions as late as possible and avoid pretending to have certainty. Both principles sound right in theory, but they collide hard with my day-to-day reality. Clients buy fixed-price statements of work—documents designed specifically to project a sense of certainty that nobody actually has. When I defer a decision, a client rarely interprets it as mature product judgment; they read it as a vendor who does not know what they are doing. The workable compromise for my environment is deferring choices internally while being explicit upfront about what is locked and what remains open. I can tell a client the room layout is fixed even if the paint color is still up for discussion, but I cannot tell them that everything is still being considered.</w:t>
      </w:r>
    </w:p>
    <w:p>
      <w:pPr>
        <w:spacing w:before="0" w:after="200" w:line="288" w:lineRule="auto"/>
      </w:pPr>
      <w:r>
        <w:rPr>
          <w:rFonts w:ascii="Arial" w:hAnsi="Arial"/>
          <w:color w:val="222222"/>
          <w:sz w:val="22"/>
        </w:rPr>
        <w:t>The insight that really rearranged my thinking was: "Beta is only halfway." The faculty brought up a card product scheduled for June that did not actually ship until February because they scoped authorization but completely overlooked settlement. The core lesson there was about human energy, not just scoping errors. You cannot let a team sprint frantically to beta and leave them with zero fuel in the tank for the remaining half of the journey.</w:t>
      </w:r>
    </w:p>
    <w:p>
      <w:pPr>
        <w:spacing w:before="0" w:after="200" w:line="288" w:lineRule="auto"/>
      </w:pPr>
      <w:r>
        <w:rPr>
          <w:rFonts w:ascii="Arial" w:hAnsi="Arial"/>
          <w:color w:val="222222"/>
          <w:sz w:val="22"/>
        </w:rPr>
        <w:t>Looking back over ten years, I have burned teams out this exact way more than once. We treat go-live as the ultimate finish line, everyone pushes through a brutal four-week crunch, and then hypercare arrives when the team is completely spent. The client's lasting impression of our work is formed during the precise window when my team is at its most depleted. I used to blame a flawed hypercare staffing model for that dynamic, but the reality is simpler: it was a pacing failure I set in motion twelve weeks earlier.</w:t>
      </w:r>
    </w:p>
    <w:p>
      <w:pPr>
        <w:spacing w:before="280" w:after="120"/>
      </w:pPr>
      <w:r>
        <w:rPr>
          <w:rFonts w:ascii="Arial" w:hAnsi="Arial"/>
          <w:b/>
          <w:color w:val="1A2B4C"/>
          <w:sz w:val="25"/>
        </w:rPr>
        <w:t>What I am going to test:</w:t>
      </w:r>
    </w:p>
    <w:p>
      <w:pPr>
        <w:spacing w:before="0" w:after="240" w:line="288" w:lineRule="auto"/>
      </w:pPr>
      <w:r>
        <w:rPr>
          <w:rFonts w:ascii="Arial" w:hAnsi="Arial"/>
          <w:color w:val="222222"/>
          <w:sz w:val="22"/>
        </w:rPr>
        <w:t>I am going to trace one single scope change from last quarter across every project artifact. I fully expect to find it reflected in the change order and the build, but completely missing from the test scripts and the final handover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