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A2B4C"/>
          <w:sz w:val="40"/>
        </w:rPr>
        <w:t>Reflection: Session 3</w:t>
      </w:r>
    </w:p>
    <w:p>
      <w:pPr>
        <w:spacing w:before="0" w:after="40" w:line="276" w:lineRule="auto"/>
      </w:pPr>
      <w:r>
        <w:rPr>
          <w:rFonts w:ascii="Arial" w:hAnsi="Arial"/>
          <w:b/>
          <w:color w:val="555555"/>
          <w:sz w:val="21"/>
        </w:rPr>
        <w:t xml:space="preserve">Date: </w:t>
      </w:r>
      <w:r>
        <w:rPr>
          <w:rFonts w:ascii="Arial" w:hAnsi="Arial"/>
          <w:color w:val="333333"/>
          <w:sz w:val="21"/>
        </w:rPr>
        <w:t>18 August 2026</w:t>
      </w:r>
    </w:p>
    <w:p>
      <w:pPr>
        <w:spacing w:before="0" w:after="40" w:line="276" w:lineRule="auto"/>
      </w:pPr>
      <w:r>
        <w:rPr>
          <w:rFonts w:ascii="Arial" w:hAnsi="Arial"/>
          <w:b/>
          <w:color w:val="555555"/>
          <w:sz w:val="21"/>
        </w:rPr>
        <w:t xml:space="preserve">Name: </w:t>
      </w:r>
      <w:r>
        <w:rPr>
          <w:rFonts w:ascii="Arial" w:hAnsi="Arial"/>
          <w:color w:val="333333"/>
          <w:sz w:val="21"/>
        </w:rPr>
        <w:t>Adarsh Dandriyal</w:t>
      </w:r>
    </w:p>
    <w:p>
      <w:pPr>
        <w:spacing w:before="0" w:after="40" w:line="276" w:lineRule="auto"/>
      </w:pPr>
      <w:r>
        <w:rPr>
          <w:rFonts w:ascii="Arial" w:hAnsi="Arial"/>
          <w:b/>
          <w:color w:val="555555"/>
          <w:sz w:val="21"/>
        </w:rPr>
        <w:t xml:space="preserve">Roll No: </w:t>
      </w:r>
      <w:r>
        <w:rPr>
          <w:rFonts w:ascii="Arial" w:hAnsi="Arial"/>
          <w:color w:val="333333"/>
          <w:sz w:val="21"/>
        </w:rPr>
        <w:t>2025MB26093</w:t>
      </w:r>
    </w:p>
    <w:p>
      <w:pPr>
        <w:spacing w:before="160" w:after="280"/>
        <w:pBdr>
          <w:bottom w:val="single" w:sz="12" w:space="1" w:color="1A2B4C"/>
        </w:pBdr>
      </w:pPr>
    </w:p>
    <w:p>
      <w:pPr>
        <w:spacing w:before="0" w:after="200" w:line="288" w:lineRule="auto"/>
      </w:pPr>
      <w:r>
        <w:rPr>
          <w:rFonts w:ascii="Arial" w:hAnsi="Arial"/>
          <w:color w:val="222222"/>
          <w:sz w:val="22"/>
        </w:rPr>
        <w:t>The faculty banned the unqualified word "user." The instruction was clear: name the specific stakeholder first, then build the persona.</w:t>
      </w:r>
    </w:p>
    <w:p>
      <w:pPr>
        <w:spacing w:before="0" w:after="200" w:line="288" w:lineRule="auto"/>
      </w:pPr>
      <w:r>
        <w:rPr>
          <w:rFonts w:ascii="Arial" w:hAnsi="Arial"/>
          <w:color w:val="222222"/>
          <w:sz w:val="22"/>
        </w:rPr>
        <w:t>I went back through my current engagement's requirement documents that same evening. The word "user" appeared constantly—and depending on the paragraph, it meant at least four completely different people: the consultant entering status reports, the manager reviewing them, the practice director looking at the aggregated rollup, or sometimes the end client. Nobody had ever queried this ambiguity because every reader simply substituted whichever persona they had in mind. We had all been agreeing with each other about entirely different things.</w:t>
      </w:r>
    </w:p>
    <w:p>
      <w:pPr>
        <w:spacing w:before="0" w:after="200" w:line="288" w:lineRule="auto"/>
      </w:pPr>
      <w:r>
        <w:rPr>
          <w:rFonts w:ascii="Arial" w:hAnsi="Arial"/>
          <w:color w:val="222222"/>
          <w:sz w:val="22"/>
        </w:rPr>
        <w:t>What I had not realized until now is that precise naming does far more than remove ambiguity—it surfaces hidden conflicts of interest. The moment you write "the Engagement Manager wants this metric tracked," it becomes immediately obvious that the Engagement Manager is also the person being evaluated by that metric, and they might actually have a strong incentive to avoid it.</w:t>
      </w:r>
    </w:p>
    <w:p>
      <w:pPr>
        <w:spacing w:before="0" w:after="200" w:line="288" w:lineRule="auto"/>
      </w:pPr>
      <w:r>
        <w:rPr>
          <w:rFonts w:ascii="Arial" w:hAnsi="Arial"/>
          <w:color w:val="222222"/>
          <w:sz w:val="22"/>
        </w:rPr>
        <w:t>There was an argument in class that I initially would have lost. A participant argued that a product manager answers to management primarily for revenue and vision, and that investing deeply in people pushes you into program manager territory. I would have taken that side without hesitation. It aligns closely with how I have justified my own focus across ten years of delivery: the outcome is mine to deliver, but the people belong to the resourcing desk. The faculty's counter-argument shifted my perspective: a project team disperses after delivery, whereas a product team continues to evolve—and a product vision without a team that shares it leaves you standing alone in a corner.</w:t>
      </w:r>
    </w:p>
    <w:p>
      <w:pPr>
        <w:spacing w:before="0" w:after="200" w:line="288" w:lineRule="auto"/>
      </w:pPr>
      <w:r>
        <w:rPr>
          <w:rFonts w:ascii="Arial" w:hAnsi="Arial"/>
          <w:color w:val="222222"/>
          <w:sz w:val="22"/>
        </w:rPr>
        <w:t>What really settled the debate for me was the closing question: Would your former team members choose to work for you again at half their salary? Over ten years, I have managed and worked alongside well over a hundred people. If I am being completely honest with myself, maybe three would say yes. That is not a good number, and it follows directly from years of treating team development as someone else's responsibility.</w:t>
      </w:r>
    </w:p>
    <w:p>
      <w:pPr>
        <w:spacing w:before="0" w:after="200" w:line="288" w:lineRule="auto"/>
      </w:pPr>
      <w:r>
        <w:rPr>
          <w:rFonts w:ascii="Arial" w:hAnsi="Arial"/>
          <w:color w:val="222222"/>
          <w:sz w:val="22"/>
        </w:rPr>
        <w:t>Where I think the classroom framing was a bit too absolute: The caterpillar-to-butterfly test for true product transformation is vivid, but the faculty partially conceded the point when challenged with the athlete analogy—agreeing that improving performance from 94 to 96 percent is often much harder than moving from 40 to 60 percent. Once you accept that reality, the distinction between incremental improvement and true transformation depends entirely on your starting point.</w:t>
      </w:r>
    </w:p>
    <w:p>
      <w:pPr>
        <w:spacing w:before="0" w:after="200" w:line="288" w:lineRule="auto"/>
      </w:pPr>
      <w:r>
        <w:rPr>
          <w:rFonts w:ascii="Arial" w:hAnsi="Arial"/>
          <w:color w:val="222222"/>
          <w:sz w:val="22"/>
        </w:rPr>
        <w:t>I would hang onto the sandbagging observation instead. If delivering a twenty percent efficiency gain to management this year guarantees a demand for another twenty percent next year, rational teams will deliver five percent and bank the remaining fifteen. I have watched this exact dynamic play out for a decade without putting a name to it. It is the single best explanation I have for why our team improvement numbers are always so suspiciously consistent quarter after quarter.</w:t>
      </w:r>
    </w:p>
    <w:p>
      <w:pPr>
        <w:spacing w:before="0" w:after="200" w:line="288" w:lineRule="auto"/>
      </w:pPr>
      <w:r>
        <w:rPr>
          <w:rFonts w:ascii="Arial" w:hAnsi="Arial"/>
          <w:color w:val="222222"/>
          <w:sz w:val="22"/>
        </w:rPr>
        <w:t>A concept I intend to apply immediately: The product developer historically captures roughly twenty percent of the value created while the customer keeps eighty percent—so start at twenty percent as your absolute value ceiling and work down. In IT services, we almost exclusively price based on effort: daily rate multiplied by estimated days plus a target margin. Nobody has ever asked me what the client's actual value capture looks like, which means we operate with zero idea whether we are severely undercharging or overcharging relative to the true value delivered.</w:t>
      </w:r>
    </w:p>
    <w:p>
      <w:pPr>
        <w:spacing w:before="0" w:after="200" w:line="288" w:lineRule="auto"/>
      </w:pPr>
      <w:r>
        <w:rPr>
          <w:rFonts w:ascii="Arial" w:hAnsi="Arial"/>
          <w:color w:val="222222"/>
          <w:sz w:val="22"/>
        </w:rPr>
        <w:t>A revision from Session 1: I initially resisted the claim that the engineering team belongs to the product manager. In a services firm, I still believe direct operational control is not mine. However, I no longer believe that lack of control excuses me from owning the final consequence.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