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2B4C"/>
          <w:sz w:val="40"/>
        </w:rPr>
        <w:t>Reflection: Session 4</w:t>
      </w:r>
    </w:p>
    <w:p>
      <w:pPr>
        <w:spacing w:before="0" w:after="40" w:line="276" w:lineRule="auto"/>
      </w:pPr>
      <w:r>
        <w:rPr>
          <w:rFonts w:ascii="Arial" w:hAnsi="Arial"/>
          <w:b/>
          <w:color w:val="555555"/>
          <w:sz w:val="21"/>
        </w:rPr>
        <w:t xml:space="preserve">Date: </w:t>
      </w:r>
      <w:r>
        <w:rPr>
          <w:rFonts w:ascii="Arial" w:hAnsi="Arial"/>
          <w:color w:val="333333"/>
          <w:sz w:val="21"/>
        </w:rPr>
        <w:t>22 August 2026</w:t>
      </w:r>
    </w:p>
    <w:p>
      <w:pPr>
        <w:spacing w:before="0" w:after="40" w:line="276" w:lineRule="auto"/>
      </w:pPr>
      <w:r>
        <w:rPr>
          <w:rFonts w:ascii="Arial" w:hAnsi="Arial"/>
          <w:b/>
          <w:color w:val="555555"/>
          <w:sz w:val="21"/>
        </w:rPr>
        <w:t xml:space="preserve">Name: </w:t>
      </w:r>
      <w:r>
        <w:rPr>
          <w:rFonts w:ascii="Arial" w:hAnsi="Arial"/>
          <w:color w:val="333333"/>
          <w:sz w:val="21"/>
        </w:rPr>
        <w:t>Adarsh Dandriyal</w:t>
      </w:r>
    </w:p>
    <w:p>
      <w:pPr>
        <w:spacing w:before="0" w:after="40" w:line="276" w:lineRule="auto"/>
      </w:pPr>
      <w:r>
        <w:rPr>
          <w:rFonts w:ascii="Arial" w:hAnsi="Arial"/>
          <w:b/>
          <w:color w:val="555555"/>
          <w:sz w:val="21"/>
        </w:rPr>
        <w:t xml:space="preserve">Roll No: </w:t>
      </w:r>
      <w:r>
        <w:rPr>
          <w:rFonts w:ascii="Arial" w:hAnsi="Arial"/>
          <w:color w:val="333333"/>
          <w:sz w:val="21"/>
        </w:rPr>
        <w:t>2025MB26093</w:t>
      </w:r>
    </w:p>
    <w:p>
      <w:pPr>
        <w:spacing w:before="160" w:after="280"/>
        <w:pBdr>
          <w:bottom w:val="single" w:sz="12" w:space="1" w:color="1A2B4C"/>
        </w:pBdr>
      </w:pPr>
    </w:p>
    <w:p>
      <w:pPr>
        <w:spacing w:before="0" w:after="200" w:line="288" w:lineRule="auto"/>
      </w:pPr>
      <w:r>
        <w:rPr>
          <w:rFonts w:ascii="Arial" w:hAnsi="Arial"/>
          <w:b/>
          <w:color w:val="1A2B4C"/>
          <w:sz w:val="23"/>
        </w:rPr>
        <w:t>Do not default to a foundation model. Start at the lowest rung that solves the job: rules first, then retrieval, then predictive models, and only then generative or agentic systems.</w:t>
      </w:r>
    </w:p>
    <w:p>
      <w:pPr>
        <w:spacing w:before="0" w:after="200" w:line="288" w:lineRule="auto"/>
      </w:pPr>
      <w:r>
        <w:rPr>
          <w:rFonts w:ascii="Arial" w:hAnsi="Arial"/>
          <w:color w:val="222222"/>
          <w:sz w:val="22"/>
        </w:rPr>
        <w:t>We applied this exact principle to our own product capability list that same week, and it instantly made the solution stronger. Hard limits on burn rates, contract key dates, and issue severity counts are fundamentally rules. They were sitting inside the AI agent’s scope simply because we had thrown everything into the agent. Pulling those deterministic elements out and feeding them into the model as fixed inputs made the agent’s core job much smaller, while giving us clear, deterministic metrics to measure its performance against. What was left over was the genuinely complex work: reading through twenty-five engagement narratives every week and ranking what actually deserves managerial attention. I can now defend our architecture with a straight face because we tested the lower technical rungs first and can explain precisely why they fall short. That distinction may well be the line between a defensible AI product and an AI product built on hype.</w:t>
      </w:r>
    </w:p>
    <w:p>
      <w:pPr>
        <w:spacing w:before="0" w:after="200" w:line="288" w:lineRule="auto"/>
      </w:pPr>
      <w:r>
        <w:rPr>
          <w:rFonts w:ascii="Arial" w:hAnsi="Arial"/>
          <w:color w:val="222222"/>
          <w:sz w:val="22"/>
        </w:rPr>
        <w:t>The question I struggled to answer: If subject matter experts stop applying their own critical thinking and blindly accept AI outputs, the underlying risk shifts right back to the product manager. Our entire core value proposition is built on saving time—allowing managers to read less. The scenario I fear most is a deteriorating client engagement getting ranked low by the model, the manager trusting that rank without question, and the issue compounding in the background unnoticed. That outcome is far worse than having no system at all, because we will have replaced a shallow human review with zero review.</w:t>
      </w:r>
    </w:p>
    <w:p>
      <w:pPr>
        <w:spacing w:before="0" w:after="200" w:line="288" w:lineRule="auto"/>
      </w:pPr>
      <w:r>
        <w:rPr>
          <w:rFonts w:ascii="Arial" w:hAnsi="Arial"/>
          <w:color w:val="222222"/>
          <w:sz w:val="22"/>
        </w:rPr>
        <w:t>I originally had this flagged as a passive risk, but the session turned it into an active design constraint. The faculty shared a design pattern from a lending product where the human and the AI make decisions in parallel—if they agree, it passes silently, but if they disagree, the human is forced to justify their stance. We cannot apply that pattern directly across the board because requiring full parallel human reviews destroys the cost savings we are trying to deliver. However, applying it to a random sample of the portfolio—introducing "blind review weeks"—is a workable compromise. That is now part of our design. I am not entirely confident it solves the problem completely, but I am confident it beats hiding behind a terms-of-service disclaimer.</w:t>
      </w:r>
    </w:p>
    <w:p>
      <w:pPr>
        <w:spacing w:before="0" w:after="200" w:line="288" w:lineRule="auto"/>
      </w:pPr>
      <w:r>
        <w:rPr>
          <w:rFonts w:ascii="Arial" w:hAnsi="Arial"/>
          <w:color w:val="222222"/>
          <w:sz w:val="22"/>
        </w:rPr>
        <w:t>Where I push back on the classroom discussion: When a participant brought up automating bug triage, the debate quickly split between giving teams back an hour of their day versus fears of headcount reduction. But there is a third reality that neither side acknowledged. Sometimes, performing a repetitive task is precisely how a person builds the intuitive judgment they will need later in their career. A manager who reads twenty-five status reports poorly is still absorbing underlying patterns, team dynamics, and tone. Hand them a neat, pre-ranked briefing and they get the final conclusions without any of the immersion. The product risks eroding the very domain expertise it relies on to function. Over ten years of delivery, I have learned to stop calling those routine review hours pure waste.</w:t>
      </w:r>
    </w:p>
    <w:p>
      <w:pPr>
        <w:spacing w:before="0" w:after="200" w:line="288" w:lineRule="auto"/>
      </w:pPr>
      <w:r>
        <w:rPr>
          <w:rFonts w:ascii="Arial" w:hAnsi="Arial"/>
          <w:color w:val="222222"/>
          <w:sz w:val="22"/>
        </w:rPr>
        <w:t>On adoption: User resistance is almost always a rational response to switching costs, not irrational stubbornness. My past rollout plans have relied heavily on training and communication—both of which address awareness, but fail to address the reality that people already have a working routine today. Our positioning risk is particularly delicate: if delivery teams suspect an AI is being used to audit their honesty, their reports will become increasingly vague, destroying the exact data signals we rely on. Framing the tool as a way to route attention rather than monitor staff is the right approach—though I know that framing will not survive the first time someone is confronted with a sentence they wrote in confidence.</w:t>
      </w:r>
    </w:p>
    <w:p>
      <w:pPr>
        <w:spacing w:before="0" w:after="200" w:line="288" w:lineRule="auto"/>
      </w:pPr>
      <w:r>
        <w:rPr>
          <w:rFonts w:ascii="Arial" w:hAnsi="Arial"/>
          <w:color w:val="222222"/>
          <w:sz w:val="22"/>
        </w:rPr>
        <w:t>The line I am taking with me: Tell me how you measure me, and I will tell you how I behave. If we measure a manager on how quickly they clear flagged alerts, they will clear the alerts—regardless of whether the underlying problem was actually solved.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