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5</w:t>
      </w:r>
    </w:p>
    <w:p>
      <w:pPr>
        <w:spacing w:before="0" w:after="40" w:line="276" w:lineRule="auto"/>
      </w:pPr>
      <w:r>
        <w:rPr>
          <w:rFonts w:ascii="Arial" w:hAnsi="Arial"/>
          <w:b/>
          <w:color w:val="555555"/>
          <w:sz w:val="21"/>
        </w:rPr>
        <w:t xml:space="preserve">Date: </w:t>
      </w:r>
      <w:r>
        <w:rPr>
          <w:rFonts w:ascii="Arial" w:hAnsi="Arial"/>
          <w:color w:val="333333"/>
          <w:sz w:val="21"/>
        </w:rPr>
        <w:t>29 August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b/>
          <w:color w:val="1A2B4C"/>
          <w:sz w:val="23"/>
        </w:rPr>
        <w:t>Data, model, API, user experience—followed by the core claim that AI products are ultimately won or lost at the UX layer, and that a legal disclaimer is not a substitute for proper design.</w:t>
      </w:r>
    </w:p>
    <w:p>
      <w:pPr>
        <w:spacing w:before="0" w:after="200" w:line="288" w:lineRule="auto"/>
      </w:pPr>
      <w:r>
        <w:rPr>
          <w:rFonts w:ascii="Arial" w:hAnsi="Arial"/>
          <w:color w:val="222222"/>
          <w:sz w:val="22"/>
        </w:rPr>
        <w:t>I initially resisted that idea. Having spent ten years leading builds, my natural instinct is to believe that the truly hard problems live down in the extraction and ranking pipelines. Yet, I can prove the faculty's point using our own work. Our current confidence design operates across three clear states: high confidence drafts the action for quick approval; medium confidence displays the recommendation alongside counter-evidence; low confidence signals that the agent cannot judge and surfaces the raw evidence. That three-state UI pattern took us a single conversation to design, whereas our extraction pipeline took weeks to build. But it is that three-state design that dictates whether a manager over-trusts the tool, while extraction quality mostly determines how often we face mild embarrassment. Only one of those failure modes actually kills the product.</w:t>
      </w:r>
    </w:p>
    <w:p>
      <w:pPr>
        <w:spacing w:before="0" w:after="200" w:line="288" w:lineRule="auto"/>
      </w:pPr>
      <w:r>
        <w:rPr>
          <w:rFonts w:ascii="Arial" w:hAnsi="Arial"/>
          <w:color w:val="222222"/>
          <w:sz w:val="22"/>
        </w:rPr>
        <w:t>We still have not solved a closely related interface problem: a ranked list with scores beside it communicates a false sense of precision, regardless of our intent. Position four feels like a fundamentally different claim than position one, yet our UI design makes them look virtually identical.</w:t>
      </w:r>
    </w:p>
    <w:p>
      <w:pPr>
        <w:spacing w:before="0" w:after="200" w:line="288" w:lineRule="auto"/>
      </w:pPr>
      <w:r>
        <w:rPr>
          <w:rFonts w:ascii="Arial" w:hAnsi="Arial"/>
          <w:color w:val="222222"/>
          <w:sz w:val="22"/>
        </w:rPr>
        <w:t>On the build-versus-buy debate: Our current strategy is to buy the underlying platform and build the proprietary judgment layer on top. Since our data already resides in Salesforce, leveraging the platform gives us user sharing, field-level security, and audit logging out of the box. Rebuilding those capabilities outside would require maintaining a second repository of confidential client data—which is by far the single biggest security risk in our product architecture.</w:t>
      </w:r>
    </w:p>
    <w:p>
      <w:pPr>
        <w:spacing w:before="0" w:after="200" w:line="288" w:lineRule="auto"/>
      </w:pPr>
      <w:r>
        <w:rPr>
          <w:rFonts w:ascii="Arial" w:hAnsi="Arial"/>
          <w:color w:val="222222"/>
          <w:sz w:val="22"/>
        </w:rPr>
        <w:t>What the session clarified was the mandate to own the product capability rather than the underlying model. Auditing our work against that framework, our actual moat consists of our evidence schema, risk taxonomy, ranking logic, confidence rules, and approval workflow—none of which depends on the specific AI model used. That is a far clearer definition of our competitive advantage than what we had previously documented.</w:t>
      </w:r>
    </w:p>
    <w:p>
      <w:pPr>
        <w:spacing w:before="0" w:after="200" w:line="288" w:lineRule="auto"/>
      </w:pPr>
      <w:r>
        <w:rPr>
          <w:rFonts w:ascii="Arial" w:hAnsi="Arial"/>
          <w:color w:val="222222"/>
          <w:sz w:val="22"/>
        </w:rPr>
        <w:t>Where I remain uncomfortable is platform lock-in. We are betting heavily on an integrated platform rather than a neutral API format, and per-conversation pricing scales directly with the usage growth we are trying to drive. Applying Porter’s Five Forces today versus eighteen months out is an essential discipline that we have not executed thoroughly enough.</w:t>
      </w:r>
    </w:p>
    <w:p>
      <w:pPr>
        <w:spacing w:before="0" w:after="200" w:line="288" w:lineRule="auto"/>
      </w:pPr>
      <w:r>
        <w:rPr>
          <w:rFonts w:ascii="Arial" w:hAnsi="Arial"/>
          <w:color w:val="222222"/>
          <w:sz w:val="22"/>
        </w:rPr>
        <w:t>On materiality: The intranet example—where a team built a complex UI for an organizational hierarchy that had not changed in years—was an eye-opener. I ran that materiality test across our backlog and immediately caught two items that failed. Both involved engagement setup features, a process that occurs maybe twice a quarter. We were treating it as a priority workflow simply because it was a workflow, ignoring the fact that it was neither frequent nor particularly painful.</w:t>
      </w:r>
    </w:p>
    <w:p>
      <w:pPr>
        <w:spacing w:before="0" w:after="200" w:line="288" w:lineRule="auto"/>
      </w:pPr>
      <w:r>
        <w:rPr>
          <w:rFonts w:ascii="Arial" w:hAnsi="Arial"/>
          <w:color w:val="222222"/>
          <w:sz w:val="22"/>
        </w:rPr>
        <w:t>Keeping a "human in the loop" is a steep mountain to climb, not just a buzzword to drop into slides. The faculty's point on reviewer fatigue hit me immediately. In my own workflow, I find myself approving AI-generated code edits far more casually than a colleague's pull request, despite the volume being significantly higher. What we failed to design for is that critical 30-second decision window: why an alert escalated, what remains uncertain, what evidence is missing, and whether the underlying data is stale. We built our evidence trail for post-hoc auditing rather than real-time decision support. Furthermore, we log rejection reasons while ignoring silent approvals, which heavily biases our training data toward disagreement.</w:t>
      </w:r>
    </w:p>
    <w:p>
      <w:pPr>
        <w:spacing w:before="0" w:after="200" w:line="288" w:lineRule="auto"/>
      </w:pPr>
      <w:r>
        <w:rPr>
          <w:rFonts w:ascii="Arial" w:hAnsi="Arial"/>
          <w:color w:val="222222"/>
          <w:sz w:val="22"/>
        </w:rPr>
        <w:t>Where I remain skeptical: The classroom claim that a fine-tuned small model can consistently outperform multi-crore enterprise support systems might be true, but I have no way to verify it today. It feels like the kind of bold statement that is deeply satisfying to hear, but dangerous to accept without hard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