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B4C"/>
          <w:sz w:val="40"/>
        </w:rPr>
        <w:t>Reflection: Session 6</w:t>
      </w:r>
    </w:p>
    <w:p>
      <w:pPr>
        <w:spacing w:before="0" w:after="40" w:line="276" w:lineRule="auto"/>
      </w:pPr>
      <w:r>
        <w:rPr>
          <w:rFonts w:ascii="Arial" w:hAnsi="Arial"/>
          <w:b/>
          <w:color w:val="555555"/>
          <w:sz w:val="21"/>
        </w:rPr>
        <w:t xml:space="preserve">Date: </w:t>
      </w:r>
      <w:r>
        <w:rPr>
          <w:rFonts w:ascii="Arial" w:hAnsi="Arial"/>
          <w:color w:val="333333"/>
          <w:sz w:val="21"/>
        </w:rPr>
        <w:t>5 September 2026</w:t>
      </w:r>
    </w:p>
    <w:p>
      <w:pPr>
        <w:spacing w:before="0" w:after="40" w:line="276" w:lineRule="auto"/>
      </w:pPr>
      <w:r>
        <w:rPr>
          <w:rFonts w:ascii="Arial" w:hAnsi="Arial"/>
          <w:b/>
          <w:color w:val="555555"/>
          <w:sz w:val="21"/>
        </w:rPr>
        <w:t xml:space="preserve">Name: </w:t>
      </w:r>
      <w:r>
        <w:rPr>
          <w:rFonts w:ascii="Arial" w:hAnsi="Arial"/>
          <w:color w:val="333333"/>
          <w:sz w:val="21"/>
        </w:rPr>
        <w:t>Adarsh Dandriyal</w:t>
      </w:r>
    </w:p>
    <w:p>
      <w:pPr>
        <w:spacing w:before="0" w:after="40" w:line="276" w:lineRule="auto"/>
      </w:pPr>
      <w:r>
        <w:rPr>
          <w:rFonts w:ascii="Arial" w:hAnsi="Arial"/>
          <w:b/>
          <w:color w:val="555555"/>
          <w:sz w:val="21"/>
        </w:rPr>
        <w:t xml:space="preserve">Roll No: </w:t>
      </w:r>
      <w:r>
        <w:rPr>
          <w:rFonts w:ascii="Arial" w:hAnsi="Arial"/>
          <w:color w:val="333333"/>
          <w:sz w:val="21"/>
        </w:rPr>
        <w:t>2025MB26093</w:t>
      </w:r>
    </w:p>
    <w:p>
      <w:pPr>
        <w:spacing w:before="160" w:after="280"/>
        <w:pBdr>
          <w:bottom w:val="single" w:sz="12" w:space="1" w:color="1A2B4C"/>
        </w:pBdr>
      </w:pPr>
    </w:p>
    <w:p>
      <w:pPr>
        <w:spacing w:before="0" w:after="200" w:line="288" w:lineRule="auto"/>
      </w:pPr>
      <w:r>
        <w:rPr>
          <w:rFonts w:ascii="Arial" w:hAnsi="Arial"/>
          <w:b/>
          <w:color w:val="1A2B4C"/>
          <w:sz w:val="23"/>
        </w:rPr>
        <w:t>I expected the sentiment analysis section to be routine background material. Instead, it turned out to be the most practical session of the course so far, primarily because the second core capability of our product is built on this exact challenge—and I had been naively treating it as a simple prompt engineering exercise.</w:t>
      </w:r>
    </w:p>
    <w:p>
      <w:pPr>
        <w:spacing w:before="0" w:after="200" w:line="288" w:lineRule="auto"/>
      </w:pPr>
      <w:r>
        <w:rPr>
          <w:rFonts w:ascii="Arial" w:hAnsi="Arial"/>
          <w:color w:val="222222"/>
          <w:sz w:val="22"/>
        </w:rPr>
        <w:t>What I was completely missing was the opinion quintuple framework: entity, aspect, sentiment, holder, and time. Up until now, we were extracting sentiment alongside a basic source record. But failing to separate the specific aspect from the overall entity leads to major blind spots. A status report stating that "the client relationship is strong" while "integration testing is a disaster" collapses into an averaged-out neutral score that tells us nothing—even though catching that exact combination is the primary reason our product exists. Identifying the holder is equally critical; a risk flagged by the delivery lead being evaluated on it carries a very different signal than the same risk raised by a lead architect. Likewise, a concern repeated eight weeks in a row is fundamentally different from a one-off remark. We had timestamps stored in our database, but zero business logic utilizing them. We have since completely rewritten our extraction schema around this five-part structure.</w:t>
      </w:r>
    </w:p>
    <w:p>
      <w:pPr>
        <w:spacing w:before="0" w:after="200" w:line="288" w:lineRule="auto"/>
      </w:pPr>
      <w:r>
        <w:rPr>
          <w:rFonts w:ascii="Arial" w:hAnsi="Arial"/>
          <w:color w:val="222222"/>
          <w:sz w:val="22"/>
        </w:rPr>
        <w:t>Why this is so much harder than it looks: status reports are filled with implicit, diplomatic language. A phrase like "We are continuing to work with the client to align on sign-off criteria" contains no explicitly negative words, yet anyone with delivery experience reads it instantly as a red flag. The negative signal lies entirely in the fact that alignment is still being negotiated in week nine. A general-purpose AI model scores that sentence as neutral. This means our labeled training data cannot be generic; it has to be annotated by experienced delivery leads who understand what is being inferred rather than just what the text literally says. That annotation process is going to cost significantly more than we budgeted.</w:t>
      </w:r>
    </w:p>
    <w:p>
      <w:pPr>
        <w:spacing w:before="0" w:after="200" w:line="288" w:lineRule="auto"/>
      </w:pPr>
      <w:r>
        <w:rPr>
          <w:rFonts w:ascii="Arial" w:hAnsi="Arial"/>
          <w:color w:val="222222"/>
          <w:sz w:val="22"/>
        </w:rPr>
        <w:t>On the black box method: Start from the desired business outcome, define the inputs and outputs, figure out what must happen inside, and choose the technical approach last. I would have previously claimed that I already follow this approach. But tested honestly against my ten years of delivery experience, my default instinct is to look at what the platform can do and then hunt for a problem that fits it—which is really just technology-first thinking in disguise. The warning about optimizing the wrong thing beautifully captured our real risk. A perfect risk extraction pipeline is completely useless if the actual bottleneck isn't risk detection, but whether anyone takes action. Measuring the time from the first risk signal to the first governance action is the only metric on our dashboard that evaluates the product itself rather than the machine behind it.</w:t>
      </w:r>
    </w:p>
    <w:p>
      <w:pPr>
        <w:spacing w:before="0" w:after="200" w:line="288" w:lineRule="auto"/>
      </w:pPr>
      <w:r>
        <w:rPr>
          <w:rFonts w:ascii="Arial" w:hAnsi="Arial"/>
          <w:color w:val="222222"/>
          <w:sz w:val="22"/>
        </w:rPr>
        <w:t>Addressing the articulation gap: The faculty's metaphor of a crying child unable to articulate what is wrong hit home. When we interviewed delivery managers, they described their problem purely as a time constraint—not having enough hours in the day. If you build to that stated request, you end up building a basic text summarizer. But their true underlying need is that managerial attention currently goes to whichever client or team is making the most noise, rather than where the highest project risk actually lies. That is a completely different product. After ten years of blaming clients for providing poor requirements, I am realizing that uncovering the true, unarticulated need is my job, not theirs.</w:t>
      </w:r>
    </w:p>
    <w:p>
      <w:pPr>
        <w:spacing w:before="0" w:after="200" w:line="288" w:lineRule="auto"/>
      </w:pPr>
      <w:r>
        <w:rPr>
          <w:rFonts w:ascii="Arial" w:hAnsi="Arial"/>
          <w:color w:val="222222"/>
          <w:sz w:val="22"/>
        </w:rPr>
        <w:t>On data consent and psychological safety: Consultants write status reports to communicate project progress to stakeholders. They did not write them with the expectation that an AI model would analyze their phrasing to infer risk about their own management capability. While the data legally belongs to the firm, its underlying purpose has shifted. This isn't just a compliance checkbox—it is a survival condition for the tool. If delivery teams feel their words are being audited to judge their honesty, their reports will quickly become vague and sanitized, destroying the very data signal our product relies on to function.</w:t>
      </w:r>
    </w:p>
    <w:p>
      <w:pPr>
        <w:spacing w:before="0" w:after="200" w:line="288" w:lineRule="auto"/>
      </w:pPr>
      <w:r>
        <w:rPr>
          <w:rFonts w:ascii="Arial" w:hAnsi="Arial"/>
          <w:color w:val="222222"/>
          <w:sz w:val="22"/>
        </w:rPr>
        <w:t>A final realization after six sessions: Almost none of what we covered was actually about machine learning models. I entered this course as a technical delivery lead hoping to bridge my gaps on the product side. Looking back, the technical execution was never the part I was missing.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