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Tiered Semantic Middleware with Deterministic Validation for Telemetry Ingestion and Dynamic Routing in Building Digital Twins</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3480"/>
        <w:gridCol w:w="3480"/>
        <w:gridCol w:w="3480"/>
      </w:tblGrid>
      <w:tr>
        <w:trPr>
          <w:cantSplit/>
        </w:trPr>
        <w:tc>
          <w:tcPr>
            <w:tcW w:type="dxa" w:w="3456"/>
            <w:tcMar>
              <w:top w:w="20" w:type="dxa"/>
              <w:bottom w:w="20" w:type="dxa"/>
              <w:left w:w="30" w:type="dxa"/>
              <w:right w:w="30" w:type="dxa"/>
            </w:tcMar>
          </w:tcPr>
          <w:p>
            <w:pPr>
              <w:spacing w:line="252" w:lineRule="auto" w:after="40"/>
              <w:jc w:val="center"/>
            </w:pPr>
            <w:r>
              <w:rPr>
                <w:rFonts w:ascii="Times New Roman" w:hAnsi="Times New Roman"/>
                <w:b/>
                <w:sz w:val="20"/>
              </w:rPr>
              <w:t>Sandhya N</w:t>
              <w:br/>
            </w:r>
            <w:r>
              <w:rPr>
                <w:rFonts w:ascii="Times New Roman" w:hAnsi="Times New Roman"/>
                <w:i/>
                <w:sz w:val="18"/>
              </w:rPr>
              <w:t>Department of AIML</w:t>
              <w:br/>
              <w:t>Dayananda Sagar Academy of Technology and Management</w:t>
              <w:br/>
              <w:t>Bengaluru, India</w:t>
              <w:br/>
            </w:r>
            <w:r>
              <w:rPr>
                <w:rFonts w:ascii="Times New Roman" w:hAnsi="Times New Roman"/>
                <w:sz w:val="18"/>
              </w:rPr>
              <w:t>hodaiml@dsatm.edu.in</w:t>
            </w:r>
          </w:p>
        </w:tc>
        <w:tc>
          <w:tcPr>
            <w:tcW w:type="dxa" w:w="3456"/>
            <w:tcMar>
              <w:top w:w="20" w:type="dxa"/>
              <w:bottom w:w="20" w:type="dxa"/>
              <w:left w:w="30" w:type="dxa"/>
              <w:right w:w="30" w:type="dxa"/>
            </w:tcMar>
          </w:tcPr>
          <w:p>
            <w:pPr>
              <w:spacing w:line="252" w:lineRule="auto" w:after="40"/>
              <w:jc w:val="center"/>
            </w:pPr>
            <w:r>
              <w:rPr>
                <w:rFonts w:ascii="Times New Roman" w:hAnsi="Times New Roman"/>
                <w:b/>
                <w:sz w:val="20"/>
              </w:rPr>
              <w:t>Adithyan P</w:t>
              <w:br/>
            </w:r>
            <w:r>
              <w:rPr>
                <w:rFonts w:ascii="Times New Roman" w:hAnsi="Times New Roman"/>
                <w:i/>
                <w:sz w:val="18"/>
              </w:rPr>
              <w:t>Department of AIML</w:t>
              <w:br/>
              <w:t>Dayananda Sagar Academy of Technology and Management</w:t>
              <w:br/>
              <w:t>Bengaluru, India</w:t>
              <w:br/>
            </w:r>
            <w:r>
              <w:rPr>
                <w:rFonts w:ascii="Times New Roman" w:hAnsi="Times New Roman"/>
                <w:sz w:val="18"/>
              </w:rPr>
              <w:t>adithyan18902005@gmail.com</w:t>
            </w:r>
          </w:p>
        </w:tc>
        <w:tc>
          <w:tcPr>
            <w:tcW w:type="dxa" w:w="3456"/>
            <w:tcMar>
              <w:top w:w="20" w:type="dxa"/>
              <w:bottom w:w="20" w:type="dxa"/>
              <w:left w:w="30" w:type="dxa"/>
              <w:right w:w="30" w:type="dxa"/>
            </w:tcMar>
          </w:tcPr>
          <w:p>
            <w:pPr>
              <w:spacing w:line="252" w:lineRule="auto" w:after="40"/>
              <w:jc w:val="center"/>
            </w:pPr>
            <w:r>
              <w:rPr>
                <w:rFonts w:ascii="Times New Roman" w:hAnsi="Times New Roman"/>
                <w:b/>
                <w:sz w:val="20"/>
              </w:rPr>
              <w:t>Amrutha Varshni G R</w:t>
              <w:br/>
            </w:r>
            <w:r>
              <w:rPr>
                <w:rFonts w:ascii="Times New Roman" w:hAnsi="Times New Roman"/>
                <w:i/>
                <w:sz w:val="18"/>
              </w:rPr>
              <w:t>Department of AIML</w:t>
              <w:br/>
              <w:t>Dayananda Sagar Academy of Technology and Management</w:t>
              <w:br/>
              <w:t>Bengaluru, India</w:t>
              <w:br/>
            </w:r>
            <w:r>
              <w:rPr>
                <w:rFonts w:ascii="Times New Roman" w:hAnsi="Times New Roman"/>
                <w:sz w:val="18"/>
              </w:rPr>
              <w:t>amruthavarshni2005@gmail.com</w:t>
            </w:r>
          </w:p>
        </w:tc>
      </w:tr>
      <w:tr>
        <w:trPr>
          <w:cantSplit/>
        </w:trPr>
        <w:tc>
          <w:tcPr>
            <w:tcW w:type="dxa" w:w="3456"/>
            <w:tcMar>
              <w:top w:w="20" w:type="dxa"/>
              <w:bottom w:w="20" w:type="dxa"/>
              <w:left w:w="30" w:type="dxa"/>
              <w:right w:w="30" w:type="dxa"/>
            </w:tcMar>
          </w:tcPr>
          <w:p/>
        </w:tc>
        <w:tc>
          <w:tcPr>
            <w:tcW w:type="dxa" w:w="3456"/>
            <w:tcMar>
              <w:top w:w="20" w:type="dxa"/>
              <w:bottom w:w="20" w:type="dxa"/>
              <w:left w:w="30" w:type="dxa"/>
              <w:right w:w="30" w:type="dxa"/>
            </w:tcMar>
          </w:tcPr>
          <w:p>
            <w:pPr>
              <w:spacing w:line="252" w:lineRule="auto" w:after="40"/>
              <w:jc w:val="center"/>
            </w:pPr>
            <w:r>
              <w:rPr>
                <w:rFonts w:ascii="Times New Roman" w:hAnsi="Times New Roman"/>
                <w:b/>
                <w:sz w:val="20"/>
              </w:rPr>
              <w:t>Apoorva Ganga M S</w:t>
              <w:br/>
            </w:r>
            <w:r>
              <w:rPr>
                <w:rFonts w:ascii="Times New Roman" w:hAnsi="Times New Roman"/>
                <w:i/>
                <w:sz w:val="18"/>
              </w:rPr>
              <w:t>Department of AIML</w:t>
              <w:br/>
              <w:t>Dayananda Sagar Academy of Technology and Management</w:t>
              <w:br/>
              <w:t>Bengaluru, India</w:t>
              <w:br/>
            </w:r>
            <w:r>
              <w:rPr>
                <w:rFonts w:ascii="Times New Roman" w:hAnsi="Times New Roman"/>
                <w:sz w:val="18"/>
              </w:rPr>
              <w:t>msapoorvaganga@gmail.com</w:t>
            </w:r>
          </w:p>
        </w:tc>
        <w:tc>
          <w:tcPr>
            <w:tcW w:type="dxa" w:w="3456"/>
            <w:tcMar>
              <w:top w:w="20" w:type="dxa"/>
              <w:bottom w:w="20" w:type="dxa"/>
              <w:left w:w="30" w:type="dxa"/>
              <w:right w:w="30" w:type="dxa"/>
            </w:tcMar>
          </w:tcPr>
          <w:p/>
        </w:tc>
      </w:tr>
    </w:tbl>
    <w:p>
      <w:pPr>
        <w:sectPr>
          <w:pgSz w:w="12240" w:h="15840"/>
          <w:pgMar w:top="1080" w:right="900" w:bottom="1440" w:left="900" w:header="720" w:footer="720" w:gutter="0"/>
          <w:cols w:space="720" w:num="1"/>
          <w:docGrid w:linePitch="360"/>
        </w:sectPr>
      </w:pPr>
    </w:p>
    <w:p>
      <w:pPr>
        <w:spacing w:before="80" w:after="80" w:line="245" w:lineRule="auto"/>
        <w:jc w:val="both"/>
      </w:pPr>
      <w:r>
        <w:rPr>
          <w:rFonts w:ascii="Times New Roman" w:hAnsi="Times New Roman"/>
          <w:b/>
          <w:sz w:val="18"/>
        </w:rPr>
        <w:t>Abstract—</w:t>
      </w:r>
      <w:r>
        <w:rPr>
          <w:rFonts w:ascii="Times New Roman" w:hAnsi="Times New Roman"/>
          <w:sz w:val="18"/>
        </w:rPr>
        <w:t>Building Digital Twins (DTs) require real-time telemetry from heterogeneous Building Management Systems (BMS), Fire Alarm Systems (FAS), and IoT sensing networks. Non-standardized vendor schemas, naming conventions, and payload structures create semantic integration bottlenecks during facility commissioning and runtime adaptation. While Large Language Models (LLMs) offer natural-language reasoning capabilities for interpreting ambiguous schemas, their non-deterministic outputs, API latency, and hallucination risks preclude direct integration into authoritative building state or life-safety control paths. This paper presents a prototype Digital Twin middleware architecture that decouples semantic schema onboarding from runtime execution. The proposed framework employs an LLM-assisted semantic interpreter (gemini-3.5-flash-lite) exclusively on the cold ingestion path for unfamiliar schemas, guarded by a deterministic seven-point validation firewall and an in-memory semantic cache. Validated telemetry updates the spatial Digital Twin state, which is propagated to a dynamic navigation graph where hazard-penalized edge weights drive shortest-path routing from an occupant's current navigation position using Dijkstra's algorithm. The architecture was evaluated across an audited 120-case semantic benchmark (39 seen, 81 unseen schemas), a 10-case safety boundary injection suite, a 150-instance (300 execution) evacuation simulation across five hazard scenarios, and a 100-run hazard penalty sensitivity sweep. Experimental results show that while deterministic string heuristics achieved higher overall semantic accuracy (70.0% vs. 40.8%) and F1-score (78.5% vs. 44.9%) than the LLM-assisted approach, the LLM-firewall pipeline achieved 78.4% precision on in-domain admissions and 32.8% F1 on unseen schemas with zero data leakage. Nine of ten injected anomalous inputs were quarantined at the semantic validation boundary; the remaining stale-telemetry case was rejected downstream by timestamp-freshness validation, resulting in zero unauthorized Digital Twin state mutations. Runtime latency measurements demonstrated a cold LLM onboarding latency of 2769.91 ms (median 2131.32 ms, p95 = 5997.26 ms) alongside sub-millisecond warm-path cache resolution (0.005 ms) and shortest-path recalculation (0.052 ms). In baseline evacuation benchmarks, dynamic path recomputation executed in 100% of runs (22,870 path updates) but produced identical aggregate egress times (15.84 s) and exposure counts to static routing due to coarse corridor spatial abstraction and rapid occupant clearance prior to hazard spread. Hazard penalty sensitivity analysis demonstrated that route switching occurred at penalty factor γ = 2.0, whereas measurable unsafe exposure reductions required γ &gt;= 3.5. This prototype demonstrates the feasibility of combining LLM-assisted onboarding with deterministic validation boundaries, while establishing the spatial and temporal conditions governing dynamic routing efficacy.</w:t>
      </w:r>
    </w:p>
    <w:p>
      <w:pPr>
        <w:spacing w:before="0" w:after="160"/>
        <w:jc w:val="both"/>
      </w:pPr>
      <w:r>
        <w:rPr>
          <w:rFonts w:ascii="Times New Roman" w:hAnsi="Times New Roman"/>
          <w:b/>
          <w:sz w:val="18"/>
        </w:rPr>
        <w:t>Index Terms—</w:t>
      </w:r>
      <w:r>
        <w:rPr>
          <w:rFonts w:ascii="Times New Roman" w:hAnsi="Times New Roman"/>
          <w:sz w:val="18"/>
        </w:rPr>
        <w:t>Digital Twin, Cyber-Physical Systems, Building Management Systems, Fire Alarm Systems, Semantic Interoperability, Large Language Models, Validation Firewall, Dynamic Routing, Emergency Evacuation Simulation.</w:t>
      </w:r>
    </w:p>
    <w:p>
      <w:pPr>
        <w:keepNext/>
        <w:spacing w:before="240" w:after="60"/>
        <w:jc w:val="center"/>
      </w:pPr>
      <w:r>
        <w:rPr>
          <w:rFonts w:ascii="Times New Roman" w:hAnsi="Times New Roman"/>
          <w:b/>
          <w:sz w:val="20"/>
        </w:rPr>
        <w:t>I. INTRODUCTION</w:t>
      </w:r>
    </w:p>
    <w:p>
      <w:pPr>
        <w:spacing w:before="0" w:after="80" w:line="245" w:lineRule="auto"/>
        <w:jc w:val="both"/>
      </w:pPr>
      <w:r>
        <w:rPr>
          <w:rFonts w:ascii="Times New Roman" w:hAnsi="Times New Roman"/>
          <w:sz w:val="20"/>
        </w:rPr>
        <w:t>Building Digital Twins (DTs) serve as virtualized, bi-directionally synchronized representations of physical infrastructure, integrating structural geometry, real-time sensor streams, and operational states to support building automation, asset management, and emergency response simulation [1]–[3]. In life-safety engineering and emergency management, the integration of environmental sensor streams (e.g., ambient temperature, optical smoke density, thermal rate-of-rise) and spatial occupancy counters into a synchronized Digital Twin enables dynamic hazard tracking and route optimization during structural fires [4], [5].</w:t>
      </w:r>
    </w:p>
    <w:p>
      <w:pPr>
        <w:spacing w:before="0" w:after="80" w:line="245" w:lineRule="auto"/>
        <w:jc w:val="both"/>
      </w:pPr>
      <w:r>
        <w:rPr>
          <w:rFonts w:ascii="Times New Roman" w:hAnsi="Times New Roman"/>
          <w:sz w:val="20"/>
        </w:rPr>
        <w:t>However, realizing an operational Digital Twin across modern commercial and academic facilities is hindered by semantic heterogeneity across building systems [6], [7]. Modern commercial facilities deploy siloed Building Management Systems (BMS), Fire Alarm Systems (FAS), Heating, Ventilation, and Air Conditioning (HVAC) controllers, access control hardware, and independent IoT environmental sensor meshes. These subsystems communicate using disparate naming conventions, proprietary point identifiers (e.g., BMS_AHU2_Z101_TMP, FA_SMK_OPT_R101, ZONE-101-THERM), heterogeneous engineering units (e.g., Celsius, Fahrenheit, Kelvin, millivolts, percent obscuration), and inconsistent payload structures [8], [9].</w:t>
      </w:r>
    </w:p>
    <w:p>
      <w:pPr>
        <w:spacing w:before="0" w:after="80" w:line="245" w:lineRule="auto"/>
        <w:jc w:val="both"/>
      </w:pPr>
      <w:r>
        <w:rPr>
          <w:rFonts w:ascii="Times New Roman" w:hAnsi="Times New Roman"/>
          <w:sz w:val="20"/>
        </w:rPr>
        <w:t>Traditionally, reconciling heterogeneous building telemetry requires manual point mapping by systems integration engineers, hard-coded rule tables, or domain-specific semantic ontologies such as Brick Schema [10] or RealEstateCore [11]. While deterministic ontologies provide structured formalisms, maintaining static dictionary mappings across multi-vendor renovations, ad-hoc IoT additions, and diverse sensor legacy naming schemes remains labor-intensive, brittle to syntactic variations, and difficult to scale across heterogeneous multi-facility portfolios [12].</w:t>
      </w:r>
    </w:p>
    <w:p>
      <w:pPr>
        <w:spacing w:before="0" w:after="80" w:line="245" w:lineRule="auto"/>
        <w:jc w:val="both"/>
      </w:pPr>
      <w:r>
        <w:rPr>
          <w:rFonts w:ascii="Times New Roman" w:hAnsi="Times New Roman"/>
          <w:sz w:val="20"/>
        </w:rPr>
        <w:t>Recent advances in Large Language Models (LLMs) have demonstrated zero-shot and few-shot reasoning capabilities for semantic schema matching, natural language data extraction, and cross-domain entity resolution [13], [14]. Nevertheless, deploying LLMs directly inside life-safety or real-time cyber-physical systems introduces severe vulnerabilities. LLMs are fundamentally non-deterministic, susceptible to semantic hallucinations (e.g., mapping sensor data to non-existent building zones), vulnerable to prompt injection, and subject to cloud API network latency spanning several seconds [15], [16]. In emergency evacuation contexts where life safety is paramount, unvalidated LLM output cannot be permitted to authoritatively mutate building state or direct human routing.</w:t>
      </w:r>
    </w:p>
    <w:p>
      <w:pPr>
        <w:spacing w:before="0" w:after="80" w:line="245" w:lineRule="auto"/>
        <w:jc w:val="both"/>
      </w:pPr>
      <w:r>
        <w:rPr>
          <w:rFonts w:ascii="Times New Roman" w:hAnsi="Times New Roman"/>
          <w:sz w:val="20"/>
        </w:rPr>
        <w:t>Existing work has addressed Digital Twin interoperability, semantic integration, LLM-assisted data processing, and evacuation routing as related but often separate problems. This work evaluates a prototype that integrates these functions through an LLM-assisted cold path, deterministic validation boundary, authoritative Digital Twin state, and hazard-aware graph routing within a single experimental cyber-physical pipeline.</w:t>
      </w:r>
    </w:p>
    <w:p>
      <w:pPr>
        <w:spacing w:before="0" w:after="80" w:line="245" w:lineRule="auto"/>
        <w:jc w:val="both"/>
      </w:pPr>
      <w:r>
        <w:rPr>
          <w:rFonts w:ascii="Times New Roman" w:hAnsi="Times New Roman"/>
          <w:sz w:val="20"/>
        </w:rPr>
        <w:t>The primary contributions of this work are:</w:t>
      </w:r>
    </w:p>
    <w:p>
      <w:pPr>
        <w:spacing w:before="0" w:after="80" w:line="245" w:lineRule="auto"/>
        <w:jc w:val="both"/>
      </w:pPr>
      <w:r>
        <w:rPr>
          <w:rFonts w:ascii="Times New Roman" w:hAnsi="Times New Roman"/>
          <w:sz w:val="20"/>
        </w:rPr>
        <w:t>1) A Tiered Semantic Middleware Architecture that confines LLM inference to a cold-path schema onboarding role, paired with an in-memory hash cache (SemanticMemory) that reduces warm runtime resolution latency to 0.005 ms.</w:t>
      </w:r>
    </w:p>
    <w:p>
      <w:pPr>
        <w:spacing w:before="0" w:after="80" w:line="245" w:lineRule="auto"/>
        <w:jc w:val="both"/>
      </w:pPr>
      <w:r>
        <w:rPr>
          <w:rFonts w:ascii="Times New Roman" w:hAnsi="Times New Roman"/>
          <w:sz w:val="20"/>
        </w:rPr>
        <w:t>2) A Deterministic Seven-Point Validation Firewall enforcing schema structural validity, canonical entity existence, confidence gating (τ &gt;= 0.75), ambiguity margin thresholds (Δ &gt;= 0.05), attribute allowlisting, and physical value bounds (-20°C &lt;= T &lt;= 200°C, 0 &lt;= smoke &lt;= 1.0), ensuring zero unvalidated state mutations.</w:t>
      </w:r>
    </w:p>
    <w:p>
      <w:pPr>
        <w:spacing w:before="0" w:after="80" w:line="245" w:lineRule="auto"/>
        <w:jc w:val="both"/>
      </w:pPr>
      <w:r>
        <w:rPr>
          <w:rFonts w:ascii="Times New Roman" w:hAnsi="Times New Roman"/>
          <w:sz w:val="20"/>
        </w:rPr>
        <w:t>3) A Spatial-to-Graph Hazard Propagation Engine that translates spatial telemetry into dynamic navigation graph edge multipliers and evaluates Dijkstra shortest paths starting from an occupant's current intermediate navigation node rather than initial room origins.</w:t>
      </w:r>
    </w:p>
    <w:p>
      <w:pPr>
        <w:spacing w:before="0" w:after="80" w:line="245" w:lineRule="auto"/>
        <w:jc w:val="both"/>
      </w:pPr>
      <w:r>
        <w:rPr>
          <w:rFonts w:ascii="Times New Roman" w:hAnsi="Times New Roman"/>
          <w:sz w:val="20"/>
        </w:rPr>
        <w:t>4) An Empirical Evaluation and Sensitivity Analysis over an audited 120-case semantic benchmark (39 seen, 81 unseen cases with zero data leakage), a 10-case failure injection suite, 300 evacuation routing executions, and a 100-run hazard penalty sensitivity sweep (γ in {1.5, 2.0, 2.5, 3.5, 5.0}), identifying the spatial, temporal, and parametric constraints governing dynamic evacuation benefits.</w:t>
      </w:r>
    </w:p>
    <w:p>
      <w:pPr>
        <w:keepNext/>
        <w:spacing w:before="240" w:after="60"/>
        <w:jc w:val="center"/>
      </w:pPr>
      <w:r>
        <w:rPr>
          <w:rFonts w:ascii="Times New Roman" w:hAnsi="Times New Roman"/>
          <w:b/>
          <w:sz w:val="20"/>
        </w:rPr>
        <w:t>II. RELATED WORK</w:t>
      </w:r>
    </w:p>
    <w:p>
      <w:pPr>
        <w:keepNext/>
        <w:spacing w:before="160" w:after="40"/>
        <w:jc w:val="left"/>
      </w:pPr>
      <w:r>
        <w:rPr>
          <w:rFonts w:ascii="Times New Roman" w:hAnsi="Times New Roman"/>
          <w:i/>
          <w:sz w:val="20"/>
        </w:rPr>
        <w:t>A. Building Digital Twins and Cyber-Physical Systems</w:t>
      </w:r>
    </w:p>
    <w:p>
      <w:pPr>
        <w:spacing w:before="0" w:after="80" w:line="245" w:lineRule="auto"/>
        <w:jc w:val="both"/>
      </w:pPr>
      <w:r>
        <w:rPr>
          <w:rFonts w:ascii="Times New Roman" w:hAnsi="Times New Roman"/>
          <w:sz w:val="20"/>
        </w:rPr>
        <w:t>Digital Twins for the built environment extend Building Information Modeling (BIM) by coupling static 3D/2D building geometries (Industry Foundation Classes / IFC) with live sensory telemetry to reflect operational building conditions [1], [2]. Lu et al. [3] established system architectures for campus-level Digital Twins, demonstrating asset monitoring and predictive maintenance. In safety-critical contexts, Digital Twins have been proposed for structural health monitoring, fire progression tracking, and virtual emergency training [4], [5]. However, the synchronization of physical telemetry with virtual representations remains bounded by data integration challenges across proprietary fieldbus protocols and legacy building automation networks [6].</w:t>
      </w:r>
    </w:p>
    <w:p>
      <w:pPr>
        <w:keepNext/>
        <w:spacing w:before="160" w:after="40"/>
        <w:jc w:val="left"/>
      </w:pPr>
      <w:r>
        <w:rPr>
          <w:rFonts w:ascii="Times New Roman" w:hAnsi="Times New Roman"/>
          <w:i/>
          <w:sz w:val="20"/>
        </w:rPr>
        <w:t>B. BMS, FAS, and IoT Semantic Interoperability</w:t>
      </w:r>
    </w:p>
    <w:p>
      <w:pPr>
        <w:spacing w:before="0" w:after="80" w:line="245" w:lineRule="auto"/>
        <w:jc w:val="both"/>
      </w:pPr>
      <w:r>
        <w:rPr>
          <w:rFonts w:ascii="Times New Roman" w:hAnsi="Times New Roman"/>
          <w:sz w:val="20"/>
        </w:rPr>
        <w:t>Commercial building automation systems traditionally operate over heterogeneous field-level and management-level communication protocols, including BACnet (ASHRAE 135), Modbus, LonWorks, and MQTT [8], [9]. Even when transport-level interoperability is achieved via IP gateways, semantic interoperability remains unresolved. Point identifiers are assigned arbitrarily by installation contractors without uniform naming conventions [10]. Automated schema matching techniques using regular expressions and string distance metrics (e.g., Levenshtein distance, token overlap) exhibit fragility when exposed to novel vendor abbreviations or non-standard naming syntax [12].</w:t>
      </w:r>
    </w:p>
    <w:p>
      <w:pPr>
        <w:keepNext/>
        <w:spacing w:before="160" w:after="40"/>
        <w:jc w:val="left"/>
      </w:pPr>
      <w:r>
        <w:rPr>
          <w:rFonts w:ascii="Times New Roman" w:hAnsi="Times New Roman"/>
          <w:i/>
          <w:sz w:val="20"/>
        </w:rPr>
        <w:t>C. Semantic Web and Building Ontologies</w:t>
      </w:r>
    </w:p>
    <w:p>
      <w:pPr>
        <w:spacing w:before="0" w:after="80" w:line="245" w:lineRule="auto"/>
        <w:jc w:val="both"/>
      </w:pPr>
      <w:r>
        <w:rPr>
          <w:rFonts w:ascii="Times New Roman" w:hAnsi="Times New Roman"/>
          <w:sz w:val="20"/>
        </w:rPr>
        <w:t>To standardize building metadata, the Semantic Web and building informatics communities developed formalized ontologies, including Brick Schema [10], RealEstateCore [11], SAREF4BLDG [18], and the W3C Web of Things (WoT) Thing Description [19]. Brick Schema provides an RDF/OWL class hierarchy modeling building subsystems, locations, and sensor point relationships. While ontologies formalize the canonical target schema, mapping raw vendor points to ontology nodes still requires extensive manual engineering or rule generation [12]. The semantic middleware proposed in this paper uses a canonical entity registry aligned with standard building topology representations as the target for automated semantic mapping.</w:t>
      </w:r>
    </w:p>
    <w:p>
      <w:pPr>
        <w:keepNext/>
        <w:spacing w:before="160" w:after="40"/>
        <w:jc w:val="left"/>
      </w:pPr>
      <w:r>
        <w:rPr>
          <w:rFonts w:ascii="Times New Roman" w:hAnsi="Times New Roman"/>
          <w:i/>
          <w:sz w:val="20"/>
        </w:rPr>
        <w:t>D. Large Language Models for Data Integration and Schema Matching</w:t>
      </w:r>
    </w:p>
    <w:p>
      <w:pPr>
        <w:spacing w:before="0" w:after="80" w:line="245" w:lineRule="auto"/>
        <w:jc w:val="both"/>
      </w:pPr>
      <w:r>
        <w:rPr>
          <w:rFonts w:ascii="Times New Roman" w:hAnsi="Times New Roman"/>
          <w:sz w:val="20"/>
        </w:rPr>
        <w:t>Recent literature has explored LLMs for automated schema matching, entity resolution, and tabular data extraction [13], [14]. Narayan et al. [14] demonstrated that prompted LLMs achieve competitive performance on relational data matching tasks without domain-specific training. In cyber-physical systems, researchers have explored LLMs for generating control scripts and translating building automation queries [15]. However, their non-deterministic nature, susceptibility to hallucinations, and unpredictable latency profiles present severe risks in life-safety domains [16]. This necessitates strict architectural isolation where LLMs operate strictly as proposal engines under deterministic validation gating.</w:t>
      </w:r>
    </w:p>
    <w:p>
      <w:pPr>
        <w:keepNext/>
        <w:spacing w:before="160" w:after="40"/>
        <w:jc w:val="left"/>
      </w:pPr>
      <w:r>
        <w:rPr>
          <w:rFonts w:ascii="Times New Roman" w:hAnsi="Times New Roman"/>
          <w:i/>
          <w:sz w:val="20"/>
        </w:rPr>
        <w:t>E. Hazard-Aware Evacuation and Dynamic Pathfinding</w:t>
      </w:r>
    </w:p>
    <w:p>
      <w:pPr>
        <w:spacing w:before="0" w:after="80" w:line="245" w:lineRule="auto"/>
        <w:jc w:val="both"/>
      </w:pPr>
      <w:r>
        <w:rPr>
          <w:rFonts w:ascii="Times New Roman" w:hAnsi="Times New Roman"/>
          <w:sz w:val="20"/>
        </w:rPr>
        <w:t>Dynamic emergency evacuation pathfinding models environmental hazards as time-varying cost functions over topological spatial graphs [5], [17]. Classic algorithms, including Dijkstra's algorithm and A*, compute minimum-cost evacuation paths by penalizing edges traversing fire, smoke, or structural obstructions [20]. Cellular automata, social force models [21], and multi-agent simulation frameworks simulate human crowd behavior during egress. Existing research demonstrates that dynamic rerouting efficacy is highly sensitive to sensor latency, hazard propagation velocity, and route switching penalties [17], [22]. This paper builds upon these principles by experimentally evaluating dynamic Dijkstra routing over a live, hazard-propagated Digital Twin graph.</w:t>
      </w:r>
    </w:p>
    <w:p>
      <w:pPr>
        <w:keepNext/>
        <w:spacing w:before="240" w:after="60"/>
        <w:jc w:val="center"/>
      </w:pPr>
      <w:r>
        <w:rPr>
          <w:rFonts w:ascii="Times New Roman" w:hAnsi="Times New Roman"/>
          <w:b/>
          <w:sz w:val="20"/>
        </w:rPr>
        <w:t>III. SYSTEM ARCHITECTURE</w:t>
      </w:r>
    </w:p>
    <w:p>
      <w:pPr>
        <w:spacing w:before="0" w:after="80" w:line="245" w:lineRule="auto"/>
        <w:jc w:val="both"/>
      </w:pPr>
      <w:r>
        <w:rPr>
          <w:rFonts w:ascii="Times New Roman" w:hAnsi="Times New Roman"/>
          <w:sz w:val="20"/>
        </w:rPr>
        <w:t>The system architecture decouples non-deterministic semantic interpretation from authoritative state mutation and runtime execution (Fig. 1).</w:t>
      </w:r>
    </w:p>
    <w:p>
      <w:pPr>
        <w:spacing w:before="80" w:after="40"/>
        <w:jc w:val="center"/>
      </w:pPr>
      <w:r>
        <w:drawing>
          <wp:inline xmlns:a="http://schemas.openxmlformats.org/drawingml/2006/main" xmlns:pic="http://schemas.openxmlformats.org/drawingml/2006/picture">
            <wp:extent cx="3154680" cy="348154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3154680" cy="3481540"/>
                    </a:xfrm>
                    <a:prstGeom prst="rect"/>
                  </pic:spPr>
                </pic:pic>
              </a:graphicData>
            </a:graphic>
          </wp:inline>
        </w:drawing>
      </w:r>
    </w:p>
    <w:p>
      <w:pPr>
        <w:spacing w:before="40" w:after="120"/>
        <w:jc w:val="both"/>
      </w:pPr>
      <w:r>
        <w:rPr>
          <w:rFonts w:ascii="Times New Roman" w:hAnsi="Times New Roman"/>
          <w:i/>
          <w:sz w:val="17"/>
        </w:rPr>
        <w:t>Fig. 1.  System Architecture: Tiered semantic middleware isolating cold-path LLM inference from authoritative Digital Twin state and dynamic Dijkstra navigation routing.</w:t>
      </w:r>
    </w:p>
    <w:p>
      <w:pPr>
        <w:keepNext/>
        <w:spacing w:before="160" w:after="40"/>
        <w:jc w:val="left"/>
      </w:pPr>
      <w:r>
        <w:rPr>
          <w:rFonts w:ascii="Times New Roman" w:hAnsi="Times New Roman"/>
          <w:i/>
          <w:sz w:val="20"/>
        </w:rPr>
        <w:t>A. Heterogeneous Telemetry Ingestion</w:t>
      </w:r>
    </w:p>
    <w:p>
      <w:pPr>
        <w:spacing w:before="0" w:after="80" w:line="245" w:lineRule="auto"/>
        <w:jc w:val="both"/>
      </w:pPr>
      <w:r>
        <w:rPr>
          <w:rFonts w:ascii="Times New Roman" w:hAnsi="Times New Roman"/>
          <w:sz w:val="20"/>
        </w:rPr>
        <w:t>Telemetry packets from heterogeneous building subsystems arrive as JSON structures via standard endpoints. An incoming payload P is defined as:</w:t>
      </w:r>
    </w:p>
    <w:p>
      <w:pPr>
        <w:spacing w:before="60" w:after="60"/>
        <w:jc w:val="right"/>
      </w:pPr>
      <w:r>
        <w:rPr>
          <w:rFonts w:ascii="Times New Roman" w:hAnsi="Times New Roman"/>
          <w:i/>
          <w:sz w:val="18"/>
        </w:rPr>
        <w:t xml:space="preserve">    P = ⟨s_raw, v, u, t_in⟩</w:t>
      </w:r>
      <w:r>
        <w:rPr>
          <w:rFonts w:ascii="Times New Roman" w:hAnsi="Times New Roman"/>
          <w:sz w:val="18"/>
        </w:rPr>
        <w:t xml:space="preserve">    (1)</w:t>
      </w:r>
    </w:p>
    <w:p>
      <w:pPr>
        <w:spacing w:before="0" w:after="80" w:line="245" w:lineRule="auto"/>
        <w:jc w:val="both"/>
      </w:pPr>
      <w:r>
        <w:rPr>
          <w:rFonts w:ascii="Times New Roman" w:hAnsi="Times New Roman"/>
          <w:sz w:val="20"/>
        </w:rPr>
        <w:t>where s_raw is the raw sensor identifier, v is the scalar/boolean value, u is the engineering unit, and t_in is the ingestion timestamp.</w:t>
      </w:r>
    </w:p>
    <w:p>
      <w:pPr>
        <w:keepNext/>
        <w:spacing w:before="160" w:after="40"/>
        <w:jc w:val="left"/>
      </w:pPr>
      <w:r>
        <w:rPr>
          <w:rFonts w:ascii="Times New Roman" w:hAnsi="Times New Roman"/>
          <w:i/>
          <w:sz w:val="20"/>
        </w:rPr>
        <w:t>B. Tiered Semantic Middleware</w:t>
      </w:r>
    </w:p>
    <w:p>
      <w:pPr>
        <w:spacing w:before="0" w:after="80" w:line="245" w:lineRule="auto"/>
        <w:jc w:val="both"/>
      </w:pPr>
      <w:r>
        <w:rPr>
          <w:rFonts w:ascii="Times New Roman" w:hAnsi="Times New Roman"/>
          <w:sz w:val="20"/>
        </w:rPr>
        <w:t>When packet P arrives, the middleware queries SemanticMemory, an in-memory hash store indexed by s_raw. If s_raw has been previously validated, the canonical space identifier e_canon in E and target attribute f in F are resolved in O(1) time (0.005 ms), bypassing the LLM.</w:t>
      </w:r>
    </w:p>
    <w:p>
      <w:pPr>
        <w:spacing w:before="0" w:after="80" w:line="245" w:lineRule="auto"/>
        <w:jc w:val="both"/>
      </w:pPr>
      <w:r>
        <w:rPr>
          <w:rFonts w:ascii="Times New Roman" w:hAnsi="Times New Roman"/>
          <w:sz w:val="20"/>
        </w:rPr>
        <w:t>If s_raw represents an unseen schema, the packet is dispatched to the LLM semantic mapper (gemini-3.5-flash-lite). The model processes P alongside the canonical building space catalog and generates a candidate proposal:</w:t>
      </w:r>
    </w:p>
    <w:p>
      <w:pPr>
        <w:spacing w:before="60" w:after="60"/>
        <w:jc w:val="right"/>
      </w:pPr>
      <w:r>
        <w:rPr>
          <w:rFonts w:ascii="Times New Roman" w:hAnsi="Times New Roman"/>
          <w:i/>
          <w:sz w:val="18"/>
        </w:rPr>
        <w:t xml:space="preserve">    M_cand = ⟨e_cand, f_cand, v_norm, conf, Δ_conf⟩</w:t>
      </w:r>
      <w:r>
        <w:rPr>
          <w:rFonts w:ascii="Times New Roman" w:hAnsi="Times New Roman"/>
          <w:sz w:val="18"/>
        </w:rPr>
        <w:t xml:space="preserve">    (2)</w:t>
      </w:r>
    </w:p>
    <w:p>
      <w:pPr>
        <w:spacing w:before="0" w:after="80" w:line="245" w:lineRule="auto"/>
        <w:jc w:val="both"/>
      </w:pPr>
      <w:r>
        <w:rPr>
          <w:rFonts w:ascii="Times New Roman" w:hAnsi="Times New Roman"/>
          <w:sz w:val="20"/>
        </w:rPr>
        <w:t>where e_cand is the proposed canonical space, f_cand is the target attribute, v_norm is the unit-normalized value, conf in [0, 1] is the classification confidence, and Δ_conf = conf_1 - conf_2 denotes the confidence margin separating the top two entity predictions.</w:t>
      </w:r>
    </w:p>
    <w:p>
      <w:pPr>
        <w:keepNext/>
        <w:spacing w:before="160" w:after="40"/>
        <w:jc w:val="left"/>
      </w:pPr>
      <w:r>
        <w:rPr>
          <w:rFonts w:ascii="Times New Roman" w:hAnsi="Times New Roman"/>
          <w:i/>
          <w:sz w:val="20"/>
        </w:rPr>
        <w:t>C. Deterministic Seven-Point Validation Firewall</w:t>
      </w:r>
    </w:p>
    <w:p>
      <w:pPr>
        <w:spacing w:before="0" w:after="80" w:line="245" w:lineRule="auto"/>
        <w:jc w:val="both"/>
      </w:pPr>
      <w:r>
        <w:rPr>
          <w:rFonts w:ascii="Times New Roman" w:hAnsi="Times New Roman"/>
          <w:sz w:val="20"/>
        </w:rPr>
        <w:t>To prevent unvalidated LLM output from corrupting the physical model, M_cand is evaluated by a deterministic validation firewall. State admission is governed by the boolean decision function:</w:t>
      </w:r>
    </w:p>
    <w:p>
      <w:pPr>
        <w:spacing w:before="60" w:after="60"/>
        <w:jc w:val="right"/>
      </w:pPr>
      <w:r>
        <w:rPr>
          <w:rFonts w:ascii="Times New Roman" w:hAnsi="Times New Roman"/>
          <w:i/>
          <w:sz w:val="18"/>
        </w:rPr>
        <w:t xml:space="preserve">    A(M_cand) = ∏_{i=1}^7 R_i(M_cand) ∈ {0, 1}</w:t>
      </w:r>
      <w:r>
        <w:rPr>
          <w:rFonts w:ascii="Times New Roman" w:hAnsi="Times New Roman"/>
          <w:sz w:val="18"/>
        </w:rPr>
        <w:t xml:space="preserve">    (3)</w:t>
      </w:r>
    </w:p>
    <w:p>
      <w:pPr>
        <w:spacing w:before="0" w:after="80" w:line="245" w:lineRule="auto"/>
        <w:jc w:val="both"/>
      </w:pPr>
      <w:r>
        <w:rPr>
          <w:rFonts w:ascii="Times New Roman" w:hAnsi="Times New Roman"/>
          <w:sz w:val="20"/>
        </w:rPr>
        <w:t>where R_i represents the i-th verification rule:</w:t>
      </w:r>
    </w:p>
    <w:p>
      <w:pPr>
        <w:spacing w:before="0" w:after="80" w:line="245" w:lineRule="auto"/>
        <w:jc w:val="both"/>
      </w:pPr>
      <w:r>
        <w:rPr>
          <w:rFonts w:ascii="Times New Roman" w:hAnsi="Times New Roman"/>
          <w:sz w:val="20"/>
        </w:rPr>
        <w:t>1) R_1 (Structural Schema): Validates non-null payload fields, well-formed JSON syntax, and numeric confidence values.</w:t>
      </w:r>
    </w:p>
    <w:p>
      <w:pPr>
        <w:spacing w:before="0" w:after="80" w:line="245" w:lineRule="auto"/>
        <w:jc w:val="both"/>
      </w:pPr>
      <w:r>
        <w:rPr>
          <w:rFonts w:ascii="Times New Roman" w:hAnsi="Times New Roman"/>
          <w:sz w:val="20"/>
        </w:rPr>
        <w:t>2) R_2 (Explicit Unknown): Quarantines proposals where the LLM explicitly flags decision: "UNKNOWN" or canonical_entity: "UNKNOWN".</w:t>
      </w:r>
    </w:p>
    <w:p>
      <w:pPr>
        <w:spacing w:before="0" w:after="80" w:line="245" w:lineRule="auto"/>
        <w:jc w:val="both"/>
      </w:pPr>
      <w:r>
        <w:rPr>
          <w:rFonts w:ascii="Times New Roman" w:hAnsi="Times New Roman"/>
          <w:sz w:val="20"/>
        </w:rPr>
        <w:t>3) R_3 (Canonical Registry Existence): Enforces e_cand ∈ E, where E is the registered topological space set for the active building.</w:t>
      </w:r>
    </w:p>
    <w:p>
      <w:pPr>
        <w:spacing w:before="0" w:after="80" w:line="245" w:lineRule="auto"/>
        <w:jc w:val="both"/>
      </w:pPr>
      <w:r>
        <w:rPr>
          <w:rFonts w:ascii="Times New Roman" w:hAnsi="Times New Roman"/>
          <w:sz w:val="20"/>
        </w:rPr>
        <w:t>4) R_4 (Confidence Gating): Enforces conf &gt;= τ, where τ = 0.75.</w:t>
      </w:r>
    </w:p>
    <w:p>
      <w:pPr>
        <w:spacing w:before="0" w:after="80" w:line="245" w:lineRule="auto"/>
        <w:jc w:val="both"/>
      </w:pPr>
      <w:r>
        <w:rPr>
          <w:rFonts w:ascii="Times New Roman" w:hAnsi="Times New Roman"/>
          <w:sz w:val="20"/>
        </w:rPr>
        <w:t>5) R_5 (Ambiguity Margin): Enforces Δ_conf &gt;= 0.05.</w:t>
      </w:r>
    </w:p>
    <w:p>
      <w:pPr>
        <w:spacing w:before="0" w:after="80" w:line="245" w:lineRule="auto"/>
        <w:jc w:val="both"/>
      </w:pPr>
      <w:r>
        <w:rPr>
          <w:rFonts w:ascii="Times New Roman" w:hAnsi="Times New Roman"/>
          <w:sz w:val="20"/>
        </w:rPr>
        <w:t>6) R_6 (Attribute Allowlist): Restricts f_cand strictly to registered Digital Twin fields: F_valid = {temperature, smoke, fire_alarm, occupancy, bim_space_type, hazard_level, accessible, status}.</w:t>
      </w:r>
    </w:p>
    <w:p>
      <w:pPr>
        <w:spacing w:before="0" w:after="80" w:line="245" w:lineRule="auto"/>
        <w:jc w:val="both"/>
      </w:pPr>
      <w:r>
        <w:rPr>
          <w:rFonts w:ascii="Times New Roman" w:hAnsi="Times New Roman"/>
          <w:sz w:val="20"/>
        </w:rPr>
        <w:t>7) R_7 (Physical Value Bounds): Validates that normalized values fall within physical sensor constraints: -20°C &lt;= T &lt;= 200°C, 0.0 &lt;= smoke &lt;= 1.0, 0 &lt;= occupancy &lt;= 500.</w:t>
      </w:r>
    </w:p>
    <w:p>
      <w:pPr>
        <w:spacing w:before="0" w:after="80" w:line="245" w:lineRule="auto"/>
        <w:jc w:val="both"/>
      </w:pPr>
      <w:r>
        <w:rPr>
          <w:rFonts w:ascii="Times New Roman" w:hAnsi="Times New Roman"/>
          <w:sz w:val="20"/>
        </w:rPr>
        <w:t>Payloads with A(M_cand) = 0 are quarantined with error diagnostic logs. Payloads with A(M_cand) = 1 are committed to SemanticMemory and dispatched to the authoritative state store.</w:t>
      </w:r>
    </w:p>
    <w:p>
      <w:pPr>
        <w:keepNext/>
        <w:spacing w:before="160" w:after="40"/>
        <w:jc w:val="left"/>
      </w:pPr>
      <w:r>
        <w:rPr>
          <w:rFonts w:ascii="Times New Roman" w:hAnsi="Times New Roman"/>
          <w:i/>
          <w:sz w:val="20"/>
        </w:rPr>
        <w:t>D. Digital Twin State Management</w:t>
      </w:r>
    </w:p>
    <w:p>
      <w:pPr>
        <w:spacing w:before="0" w:after="80" w:line="245" w:lineRule="auto"/>
        <w:jc w:val="both"/>
      </w:pPr>
      <w:r>
        <w:rPr>
          <w:rFonts w:ascii="Times New Roman" w:hAnsi="Times New Roman"/>
          <w:sz w:val="20"/>
        </w:rPr>
        <w:t>The authoritative state store maintains a synchronized representation of physical spaces:</w:t>
      </w:r>
    </w:p>
    <w:p>
      <w:pPr>
        <w:spacing w:before="60" w:after="60"/>
        <w:jc w:val="right"/>
      </w:pPr>
      <w:r>
        <w:rPr>
          <w:rFonts w:ascii="Times New Roman" w:hAnsi="Times New Roman"/>
          <w:i/>
          <w:sz w:val="18"/>
        </w:rPr>
        <w:t xml:space="preserve">    S_DT(t) = { x_e(t) ∣ e ∈ E }</w:t>
      </w:r>
      <w:r>
        <w:rPr>
          <w:rFonts w:ascii="Times New Roman" w:hAnsi="Times New Roman"/>
          <w:sz w:val="18"/>
        </w:rPr>
        <w:t xml:space="preserve">    (4)</w:t>
      </w:r>
    </w:p>
    <w:p>
      <w:pPr>
        <w:spacing w:before="0" w:after="80" w:line="245" w:lineRule="auto"/>
        <w:jc w:val="both"/>
      </w:pPr>
      <w:r>
        <w:rPr>
          <w:rFonts w:ascii="Times New Roman" w:hAnsi="Times New Roman"/>
          <w:sz w:val="20"/>
        </w:rPr>
        <w:t>where x_e(t) = ⟨T_e, S_e, A_e, O_e, H_e⟩ encapsulates temperature, optical smoke density, fire alarm binary state, occupant count, and computed hazard classification H_e ∈ {NORMAL, WARNING, CRITICAL, BLOCKED}.</w:t>
      </w:r>
    </w:p>
    <w:p>
      <w:pPr>
        <w:keepNext/>
        <w:spacing w:before="160" w:after="40"/>
        <w:jc w:val="left"/>
      </w:pPr>
      <w:r>
        <w:rPr>
          <w:rFonts w:ascii="Times New Roman" w:hAnsi="Times New Roman"/>
          <w:i/>
          <w:sz w:val="20"/>
        </w:rPr>
        <w:t>E. Spatial-to-Graph Hazard Propagation</w:t>
      </w:r>
    </w:p>
    <w:p>
      <w:pPr>
        <w:spacing w:before="0" w:after="80" w:line="245" w:lineRule="auto"/>
        <w:jc w:val="both"/>
      </w:pPr>
      <w:r>
        <w:rPr>
          <w:rFonts w:ascii="Times New Roman" w:hAnsi="Times New Roman"/>
          <w:sz w:val="20"/>
        </w:rPr>
        <w:t>The spatial floor plan is modeled as a topological navigation graph G = (V, E_g, W), where vertices v ∈ V represent room centroids, hallway junctions, and exit portals, and edges e = (u, v) ∈ E_g represent navigable corridors and doorways. The spatial mapping matrix maps each physical room polygon to its constituent graph nodes:</w:t>
      </w:r>
    </w:p>
    <w:p>
      <w:pPr>
        <w:spacing w:before="60" w:after="60"/>
        <w:jc w:val="right"/>
      </w:pPr>
      <w:r>
        <w:rPr>
          <w:rFonts w:ascii="Times New Roman" w:hAnsi="Times New Roman"/>
          <w:i/>
          <w:sz w:val="18"/>
        </w:rPr>
        <w:t xml:space="preserve">    Φ: E → P(V)</w:t>
      </w:r>
      <w:r>
        <w:rPr>
          <w:rFonts w:ascii="Times New Roman" w:hAnsi="Times New Roman"/>
          <w:sz w:val="18"/>
        </w:rPr>
        <w:t xml:space="preserve">    (5)</w:t>
      </w:r>
    </w:p>
    <w:p>
      <w:pPr>
        <w:spacing w:before="0" w:after="80" w:line="245" w:lineRule="auto"/>
        <w:jc w:val="both"/>
      </w:pPr>
      <w:r>
        <w:rPr>
          <w:rFonts w:ascii="Times New Roman" w:hAnsi="Times New Roman"/>
          <w:sz w:val="20"/>
        </w:rPr>
        <w:t>When telemetry updates H_e, the HazardEngine updates the cost multiplier m_v of all constituent nodes v ∈ Φ(e):</w:t>
      </w:r>
    </w:p>
    <w:p>
      <w:pPr>
        <w:spacing w:before="60" w:after="60"/>
        <w:jc w:val="right"/>
      </w:pPr>
      <w:r>
        <w:rPr>
          <w:rFonts w:ascii="Times New Roman" w:hAnsi="Times New Roman"/>
          <w:i/>
          <w:sz w:val="18"/>
        </w:rPr>
        <w:t xml:space="preserve">    m_v(t) = 1.0 (NORMAL),  3.0 (WARNING),  20.0 · γ (CRITICAL),  ∞ (BLOCKED)</w:t>
      </w:r>
      <w:r>
        <w:rPr>
          <w:rFonts w:ascii="Times New Roman" w:hAnsi="Times New Roman"/>
          <w:sz w:val="18"/>
        </w:rPr>
        <w:t xml:space="preserve">    (6)</w:t>
      </w:r>
    </w:p>
    <w:p>
      <w:pPr>
        <w:spacing w:before="0" w:after="80" w:line="245" w:lineRule="auto"/>
        <w:jc w:val="both"/>
      </w:pPr>
      <w:r>
        <w:rPr>
          <w:rFonts w:ascii="Times New Roman" w:hAnsi="Times New Roman"/>
          <w:sz w:val="20"/>
        </w:rPr>
        <w:t>where γ &gt;= 1.0 is the hazard penalty parameter. The dynamic effective weight w_t(u, v) for edge (u, v) is defined as:</w:t>
      </w:r>
    </w:p>
    <w:p>
      <w:pPr>
        <w:spacing w:before="60" w:after="60"/>
        <w:jc w:val="right"/>
      </w:pPr>
      <w:r>
        <w:rPr>
          <w:rFonts w:ascii="Times New Roman" w:hAnsi="Times New Roman"/>
          <w:i/>
          <w:sz w:val="18"/>
        </w:rPr>
        <w:t xml:space="preserve">    w_t(u, v) = w_base(u, v) · max(m_u(t), m_v(t))</w:t>
      </w:r>
      <w:r>
        <w:rPr>
          <w:rFonts w:ascii="Times New Roman" w:hAnsi="Times New Roman"/>
          <w:sz w:val="18"/>
        </w:rPr>
        <w:t xml:space="preserve">    (7)</w:t>
      </w:r>
    </w:p>
    <w:p>
      <w:pPr>
        <w:keepNext/>
        <w:spacing w:before="160" w:after="40"/>
        <w:jc w:val="left"/>
      </w:pPr>
      <w:r>
        <w:rPr>
          <w:rFonts w:ascii="Times New Roman" w:hAnsi="Times New Roman"/>
          <w:i/>
          <w:sz w:val="20"/>
        </w:rPr>
        <w:t>F. Dynamic Shortest-Path Routing</w:t>
      </w:r>
    </w:p>
    <w:p>
      <w:pPr>
        <w:spacing w:before="0" w:after="80" w:line="245" w:lineRule="auto"/>
        <w:jc w:val="both"/>
      </w:pPr>
      <w:r>
        <w:rPr>
          <w:rFonts w:ascii="Times New Roman" w:hAnsi="Times New Roman"/>
          <w:sz w:val="20"/>
        </w:rPr>
        <w:t>The RouteOptimizer evaluates minimum-cost evacuation paths over the dynamic graph G_t = (V, E_g, W_t) using Dijkstra's algorithm. When hazard propagation alters edge weights, active occupants recompute their optimal route to the exit set X = {EXIT_EAST, EXIT_STAIR, EXIT_NORTH_103} starting from their current intermediate navigation node v_curr:</w:t>
      </w:r>
    </w:p>
    <w:p>
      <w:pPr>
        <w:spacing w:before="60" w:after="60"/>
        <w:jc w:val="right"/>
      </w:pPr>
      <w:r>
        <w:rPr>
          <w:rFonts w:ascii="Times New Roman" w:hAnsi="Times New Roman"/>
          <w:i/>
          <w:sz w:val="18"/>
        </w:rPr>
        <w:t xml:space="preserve">    π*(t, v_curr) = argmin_{π ∈ Π(v_curr, X)} ∑_{(u, v) ∈ π} w_t(u, v)</w:t>
      </w:r>
      <w:r>
        <w:rPr>
          <w:rFonts w:ascii="Times New Roman" w:hAnsi="Times New Roman"/>
          <w:sz w:val="18"/>
        </w:rPr>
        <w:t xml:space="preserve">    (8)</w:t>
      </w:r>
    </w:p>
    <w:p>
      <w:pPr>
        <w:keepNext/>
        <w:spacing w:before="240" w:after="60"/>
        <w:jc w:val="center"/>
      </w:pPr>
      <w:r>
        <w:rPr>
          <w:rFonts w:ascii="Times New Roman" w:hAnsi="Times New Roman"/>
          <w:b/>
          <w:sz w:val="20"/>
        </w:rPr>
        <w:t>IV. EXPERIMENTAL METHODOLOGY</w:t>
      </w:r>
    </w:p>
    <w:p>
      <w:pPr>
        <w:spacing w:before="0" w:after="80" w:line="245" w:lineRule="auto"/>
        <w:jc w:val="both"/>
      </w:pPr>
      <w:r>
        <w:rPr>
          <w:rFonts w:ascii="Times New Roman" w:hAnsi="Times New Roman"/>
          <w:sz w:val="20"/>
        </w:rPr>
        <w:t>The evaluation framework was executed through an automated test harness (reconcile_all_experiments.mjs) across eight experimental protocols:</w:t>
      </w:r>
    </w:p>
    <w:p>
      <w:pPr>
        <w:keepNext/>
        <w:spacing w:before="160" w:after="40"/>
        <w:jc w:val="left"/>
      </w:pPr>
      <w:r>
        <w:rPr>
          <w:rFonts w:ascii="Times New Roman" w:hAnsi="Times New Roman"/>
          <w:i/>
          <w:sz w:val="20"/>
        </w:rPr>
        <w:t>A. 120-Case Semantic Mapping Benchmark</w:t>
      </w:r>
    </w:p>
    <w:p>
      <w:pPr>
        <w:spacing w:before="0" w:after="80" w:line="245" w:lineRule="auto"/>
        <w:jc w:val="both"/>
      </w:pPr>
      <w:r>
        <w:rPr>
          <w:rFonts w:ascii="Times New Roman" w:hAnsi="Times New Roman"/>
          <w:sz w:val="20"/>
        </w:rPr>
        <w:t>A benchmark of N = 120 heterogeneous telemetry payloads across 10 semantic categories was evaluated across four methods: Method A (Deterministic Rules Baseline), Method B (String Heuristics Baseline), Method C (Raw Gemini LLM Inference), and Method D (Proposed Gemini + 7-Point Firewall). The dataset contains N_pos = 92 positive in-domain payloads and N_neg = 28 negative/out-of-domain payloads. Metrics are defined as:</w:t>
      </w:r>
    </w:p>
    <w:p>
      <w:pPr>
        <w:spacing w:before="60" w:after="60"/>
        <w:jc w:val="right"/>
      </w:pPr>
      <w:r>
        <w:rPr>
          <w:rFonts w:ascii="Times New Roman" w:hAnsi="Times New Roman"/>
          <w:i/>
          <w:sz w:val="18"/>
        </w:rPr>
        <w:t xml:space="preserve">    Accuracy = (TP + TN) / N</w:t>
      </w:r>
      <w:r>
        <w:rPr>
          <w:rFonts w:ascii="Times New Roman" w:hAnsi="Times New Roman"/>
          <w:sz w:val="18"/>
        </w:rPr>
        <w:t xml:space="preserve">    (9)</w:t>
      </w:r>
    </w:p>
    <w:p>
      <w:pPr>
        <w:spacing w:before="60" w:after="60"/>
        <w:jc w:val="right"/>
      </w:pPr>
      <w:r>
        <w:rPr>
          <w:rFonts w:ascii="Times New Roman" w:hAnsi="Times New Roman"/>
          <w:i/>
          <w:sz w:val="18"/>
        </w:rPr>
        <w:t xml:space="preserve">    Precision = TP / (TP + FP)</w:t>
      </w:r>
      <w:r>
        <w:rPr>
          <w:rFonts w:ascii="Times New Roman" w:hAnsi="Times New Roman"/>
          <w:sz w:val="18"/>
        </w:rPr>
        <w:t xml:space="preserve">    (10)</w:t>
      </w:r>
    </w:p>
    <w:p>
      <w:pPr>
        <w:spacing w:before="60" w:after="60"/>
        <w:jc w:val="right"/>
      </w:pPr>
      <w:r>
        <w:rPr>
          <w:rFonts w:ascii="Times New Roman" w:hAnsi="Times New Roman"/>
          <w:i/>
          <w:sz w:val="18"/>
        </w:rPr>
        <w:t xml:space="preserve">    Recall = TP / (TP + FN)</w:t>
      </w:r>
      <w:r>
        <w:rPr>
          <w:rFonts w:ascii="Times New Roman" w:hAnsi="Times New Roman"/>
          <w:sz w:val="18"/>
        </w:rPr>
        <w:t xml:space="preserve">    (11)</w:t>
      </w:r>
    </w:p>
    <w:p>
      <w:pPr>
        <w:spacing w:before="60" w:after="60"/>
        <w:jc w:val="right"/>
      </w:pPr>
      <w:r>
        <w:rPr>
          <w:rFonts w:ascii="Times New Roman" w:hAnsi="Times New Roman"/>
          <w:i/>
          <w:sz w:val="18"/>
        </w:rPr>
        <w:t xml:space="preserve">    F1 = (2 · Precision · Recall) / (Precision + Recall)</w:t>
      </w:r>
      <w:r>
        <w:rPr>
          <w:rFonts w:ascii="Times New Roman" w:hAnsi="Times New Roman"/>
          <w:sz w:val="18"/>
        </w:rPr>
        <w:t xml:space="preserve">    (12)</w:t>
      </w:r>
    </w:p>
    <w:p>
      <w:pPr>
        <w:spacing w:before="0" w:after="80" w:line="245" w:lineRule="auto"/>
        <w:jc w:val="both"/>
      </w:pPr>
      <w:r>
        <w:rPr>
          <w:rFonts w:ascii="Times New Roman" w:hAnsi="Times New Roman"/>
          <w:sz w:val="20"/>
        </w:rPr>
        <w:t>Strict identity constraint TP + FP + TN + FN = 120 was verified across all methods.</w:t>
      </w:r>
    </w:p>
    <w:p>
      <w:pPr>
        <w:keepNext/>
        <w:spacing w:before="160" w:after="40"/>
        <w:jc w:val="left"/>
      </w:pPr>
      <w:r>
        <w:rPr>
          <w:rFonts w:ascii="Times New Roman" w:hAnsi="Times New Roman"/>
          <w:i/>
          <w:sz w:val="20"/>
        </w:rPr>
        <w:t>B. Audited Seen vs. Unseen Schema Benchmark</w:t>
      </w:r>
    </w:p>
    <w:p>
      <w:pPr>
        <w:spacing w:before="0" w:after="80" w:line="245" w:lineRule="auto"/>
        <w:jc w:val="both"/>
      </w:pPr>
      <w:r>
        <w:rPr>
          <w:rFonts w:ascii="Times New Roman" w:hAnsi="Times New Roman"/>
          <w:sz w:val="20"/>
        </w:rPr>
        <w:t>The dataset was partitioned into Seen Schemas (N = 39) and Unseen Schemas (N = 81). An automated audit (unseen_leakage_audit.json) verified zero token or alias overlap between the 81 unseen cases and the deterministic baseline dictionaries or prompt few-shot exemplars.</w:t>
      </w:r>
    </w:p>
    <w:p>
      <w:pPr>
        <w:keepNext/>
        <w:spacing w:before="160" w:after="40"/>
        <w:jc w:val="left"/>
      </w:pPr>
      <w:r>
        <w:rPr>
          <w:rFonts w:ascii="Times New Roman" w:hAnsi="Times New Roman"/>
          <w:i/>
          <w:sz w:val="20"/>
        </w:rPr>
        <w:t>C. Validation Firewall Failure Injection Suite</w:t>
      </w:r>
    </w:p>
    <w:p>
      <w:pPr>
        <w:spacing w:before="0" w:after="80" w:line="245" w:lineRule="auto"/>
        <w:jc w:val="both"/>
      </w:pPr>
      <w:r>
        <w:rPr>
          <w:rFonts w:ascii="Times New Roman" w:hAnsi="Times New Roman"/>
          <w:sz w:val="20"/>
        </w:rPr>
        <w:t>Ten boundary stress cases were injected to evaluate failure containment, covering API timeouts, HTTP 429 errors, malformed JSON, unregistered attributes, hallucinated spaces, out-of-bounds readings (9999°C), ambiguous matches (Δ_conf &lt; 0.05), sub-threshold confidence (conf &lt; 0.75), and stale timestamps (t_age &gt; 3.0 s).</w:t>
      </w:r>
    </w:p>
    <w:p>
      <w:pPr>
        <w:keepNext/>
        <w:spacing w:before="160" w:after="40"/>
        <w:jc w:val="left"/>
      </w:pPr>
      <w:r>
        <w:rPr>
          <w:rFonts w:ascii="Times New Roman" w:hAnsi="Times New Roman"/>
          <w:i/>
          <w:sz w:val="20"/>
        </w:rPr>
        <w:t>D. Evacuation Simulation Benchmark</w:t>
      </w:r>
    </w:p>
    <w:p>
      <w:pPr>
        <w:spacing w:before="0" w:after="80" w:line="245" w:lineRule="auto"/>
        <w:jc w:val="both"/>
      </w:pPr>
      <w:r>
        <w:rPr>
          <w:rFonts w:ascii="Times New Roman" w:hAnsi="Times New Roman"/>
          <w:sz w:val="20"/>
        </w:rPr>
        <w:t>Evacuation dynamics were simulated across five hazard scenarios on Building Topology A (50 occupants, 3 exterior exits) across 30 pseudorandom seeds (Seeds 101–130) under STATIC_NEAREST and DYNAMIC_DT routing modes, producing 5 × 30 × 2 = 300 simulation executions.</w:t>
      </w:r>
    </w:p>
    <w:p>
      <w:pPr>
        <w:keepNext/>
        <w:spacing w:before="160" w:after="40"/>
        <w:jc w:val="left"/>
      </w:pPr>
      <w:r>
        <w:rPr>
          <w:rFonts w:ascii="Times New Roman" w:hAnsi="Times New Roman"/>
          <w:i/>
          <w:sz w:val="20"/>
        </w:rPr>
        <w:t>E. Granular Route Divergence and Causal Timing Audit</w:t>
      </w:r>
    </w:p>
    <w:p>
      <w:pPr>
        <w:spacing w:before="0" w:after="80" w:line="245" w:lineRule="auto"/>
        <w:jc w:val="both"/>
      </w:pPr>
      <w:r>
        <w:rPr>
          <w:rFonts w:ascii="Times New Roman" w:hAnsi="Times New Roman"/>
          <w:sz w:val="20"/>
        </w:rPr>
        <w:t>Graph cost updates, route recalculation calls, occupant reroute evaluations, actual waypoint modifications, and exit assignments were logged across all 150 scenario instances. Causal timing analysis recorded hazard onset, first route recalculation, median arrival at affected nodes, and median exit times.</w:t>
      </w:r>
    </w:p>
    <w:p>
      <w:pPr>
        <w:keepNext/>
        <w:spacing w:before="160" w:after="40"/>
        <w:jc w:val="left"/>
      </w:pPr>
      <w:r>
        <w:rPr>
          <w:rFonts w:ascii="Times New Roman" w:hAnsi="Times New Roman"/>
          <w:i/>
          <w:sz w:val="20"/>
        </w:rPr>
        <w:t>F. Temporal Sensitivity Experiment</w:t>
      </w:r>
    </w:p>
    <w:p>
      <w:pPr>
        <w:spacing w:before="0" w:after="80" w:line="245" w:lineRule="auto"/>
        <w:jc w:val="both"/>
      </w:pPr>
      <w:r>
        <w:rPr>
          <w:rFonts w:ascii="Times New Roman" w:hAnsi="Times New Roman"/>
          <w:sz w:val="20"/>
        </w:rPr>
        <w:t>A controlled experiment evaluated earlier hazard onset timestamps (t_hazard ∈ {0.5 s, 1.0 s, 2.0 s, 4.0 s}) across 20 seeds (N = 80 runs) to isolate the temporal conditions governing dynamic routing differences.</w:t>
      </w:r>
    </w:p>
    <w:p>
      <w:pPr>
        <w:keepNext/>
        <w:spacing w:before="160" w:after="40"/>
        <w:jc w:val="left"/>
      </w:pPr>
      <w:r>
        <w:rPr>
          <w:rFonts w:ascii="Times New Roman" w:hAnsi="Times New Roman"/>
          <w:i/>
          <w:sz w:val="20"/>
        </w:rPr>
        <w:t>G. Gamma Hazard Penalty Sensitivity Sweep</w:t>
      </w:r>
    </w:p>
    <w:p>
      <w:pPr>
        <w:spacing w:before="0" w:after="80" w:line="245" w:lineRule="auto"/>
        <w:jc w:val="both"/>
      </w:pPr>
      <w:r>
        <w:rPr>
          <w:rFonts w:ascii="Times New Roman" w:hAnsi="Times New Roman"/>
          <w:sz w:val="20"/>
        </w:rPr>
        <w:t>The hazard penalty parameter γ was evaluated across γ ∈ {1.5, 2.0, 2.5, 3.5, 5.0} across 20 seeds (N = 100 runs) to identify route-switching and exposure-reduction thresholds.</w:t>
      </w:r>
    </w:p>
    <w:p>
      <w:pPr>
        <w:keepNext/>
        <w:spacing w:before="160" w:after="40"/>
        <w:jc w:val="left"/>
      </w:pPr>
      <w:r>
        <w:rPr>
          <w:rFonts w:ascii="Times New Roman" w:hAnsi="Times New Roman"/>
          <w:i/>
          <w:sz w:val="20"/>
        </w:rPr>
        <w:t>H. Latency Profiling</w:t>
      </w:r>
    </w:p>
    <w:p>
      <w:pPr>
        <w:spacing w:before="0" w:after="80" w:line="245" w:lineRule="auto"/>
        <w:jc w:val="both"/>
      </w:pPr>
      <w:r>
        <w:rPr>
          <w:rFonts w:ascii="Times New Roman" w:hAnsi="Times New Roman"/>
          <w:sz w:val="20"/>
        </w:rPr>
        <w:t>High-resolution execution timers (performance.now()) profiled live HTTP REST calls to gemini-3.5-flash-lite (N = 53), in-memory cache hits (N = 67), heuristic matching, rule lookup, validation firewall, state store mutation, and Dijkstra path recalculation.</w:t>
      </w:r>
    </w:p>
    <w:p>
      <w:pPr>
        <w:keepNext/>
        <w:spacing w:before="240" w:after="60"/>
        <w:jc w:val="center"/>
      </w:pPr>
      <w:r>
        <w:rPr>
          <w:rFonts w:ascii="Times New Roman" w:hAnsi="Times New Roman"/>
          <w:b/>
          <w:sz w:val="20"/>
        </w:rPr>
        <w:t>V. RESULTS</w:t>
      </w:r>
    </w:p>
    <w:p>
      <w:pPr>
        <w:keepNext/>
        <w:spacing w:before="160" w:after="40"/>
        <w:jc w:val="left"/>
      </w:pPr>
      <w:r>
        <w:rPr>
          <w:rFonts w:ascii="Times New Roman" w:hAnsi="Times New Roman"/>
          <w:i/>
          <w:sz w:val="20"/>
        </w:rPr>
        <w:t>A. Semantic Mapping Benchmark (N = 120)</w:t>
      </w:r>
    </w:p>
    <w:p>
      <w:pPr>
        <w:spacing w:before="0" w:after="80" w:line="245" w:lineRule="auto"/>
        <w:jc w:val="both"/>
      </w:pPr>
      <w:r>
        <w:rPr>
          <w:rFonts w:ascii="Times New Roman" w:hAnsi="Times New Roman"/>
          <w:sz w:val="20"/>
        </w:rPr>
        <w:t>Table I presents comparative semantic classification performance across the evaluated methods.</w:t>
      </w:r>
    </w:p>
    <w:p>
      <w:pPr>
        <w:spacing w:before="80" w:after="40"/>
        <w:jc w:val="center"/>
      </w:pPr>
      <w:r>
        <w:rPr>
          <w:rFonts w:ascii="Times New Roman" w:hAnsi="Times New Roman"/>
          <w:b/>
          <w:sz w:val="16"/>
        </w:rPr>
        <w:t>TABLE I.  120-CASE SEMANTIC MAPPING ABLATION RESULTS</w:t>
      </w:r>
    </w:p>
    <w:tbl>
      <w:tblPr>
        <w:tblW w:type="auto" w:w="0"/>
        <w:jc w:val="center"/>
        <w:tblLook w:firstColumn="1" w:firstRow="1" w:lastColumn="0" w:lastRow="0" w:noHBand="0" w:noVBand="1" w:val="04A0"/>
        <w:tblBorders>
          <w:top w:val="single" w:sz="4" w:space="0" w:color="7F8C8D"/>
          <w:bottom w:val="single" w:sz="4" w:space="0" w:color="7F8C8D"/>
          <w:insideH w:val="single" w:sz="4" w:space="0" w:color="D5D8DC"/>
          <w:insideV w:val="none"/>
          <w:left w:val="none"/>
          <w:right w:val="none"/>
        </w:tblBorders>
      </w:tblPr>
      <w:tblGrid>
        <w:gridCol w:w="1740"/>
        <w:gridCol w:w="1740"/>
        <w:gridCol w:w="1740"/>
        <w:gridCol w:w="1740"/>
        <w:gridCol w:w="1740"/>
        <w:gridCol w:w="1740"/>
      </w:tblGrid>
      <w:tr>
        <w:tc>
          <w:tcPr>
            <w:tcW w:type="dxa" w:w="1656"/>
            <w:tcMar>
              <w:top w:w="20" w:type="dxa"/>
              <w:bottom w:w="20" w:type="dxa"/>
              <w:left w:w="20" w:type="dxa"/>
              <w:right w:w="20" w:type="dxa"/>
            </w:tcMar>
            <w:shd w:fill="EAECEE"/>
          </w:tcPr>
          <w:p>
            <w:pPr>
              <w:jc w:val="center"/>
            </w:pPr>
            <w:r>
              <w:rPr>
                <w:b/>
                <w:sz w:val="15"/>
              </w:rPr>
              <w:t>Method</w:t>
            </w:r>
          </w:p>
        </w:tc>
        <w:tc>
          <w:tcPr>
            <w:tcW w:type="dxa" w:w="547"/>
            <w:tcMar>
              <w:top w:w="20" w:type="dxa"/>
              <w:bottom w:w="20" w:type="dxa"/>
              <w:left w:w="20" w:type="dxa"/>
              <w:right w:w="20" w:type="dxa"/>
            </w:tcMar>
            <w:shd w:fill="EAECEE"/>
          </w:tcPr>
          <w:p>
            <w:pPr>
              <w:jc w:val="center"/>
            </w:pPr>
            <w:r>
              <w:rPr>
                <w:b/>
                <w:sz w:val="15"/>
              </w:rPr>
              <w:t>Acc</w:t>
            </w:r>
          </w:p>
        </w:tc>
        <w:tc>
          <w:tcPr>
            <w:tcW w:type="dxa" w:w="547"/>
            <w:tcMar>
              <w:top w:w="20" w:type="dxa"/>
              <w:bottom w:w="20" w:type="dxa"/>
              <w:left w:w="20" w:type="dxa"/>
              <w:right w:w="20" w:type="dxa"/>
            </w:tcMar>
            <w:shd w:fill="EAECEE"/>
          </w:tcPr>
          <w:p>
            <w:pPr>
              <w:jc w:val="center"/>
            </w:pPr>
            <w:r>
              <w:rPr>
                <w:b/>
                <w:sz w:val="15"/>
              </w:rPr>
              <w:t>P</w:t>
            </w:r>
          </w:p>
        </w:tc>
        <w:tc>
          <w:tcPr>
            <w:tcW w:type="dxa" w:w="547"/>
            <w:tcMar>
              <w:top w:w="20" w:type="dxa"/>
              <w:bottom w:w="20" w:type="dxa"/>
              <w:left w:w="20" w:type="dxa"/>
              <w:right w:w="20" w:type="dxa"/>
            </w:tcMar>
            <w:shd w:fill="EAECEE"/>
          </w:tcPr>
          <w:p>
            <w:pPr>
              <w:jc w:val="center"/>
            </w:pPr>
            <w:r>
              <w:rPr>
                <w:b/>
                <w:sz w:val="15"/>
              </w:rPr>
              <w:t>R</w:t>
            </w:r>
          </w:p>
        </w:tc>
        <w:tc>
          <w:tcPr>
            <w:tcW w:type="dxa" w:w="547"/>
            <w:tcMar>
              <w:top w:w="20" w:type="dxa"/>
              <w:bottom w:w="20" w:type="dxa"/>
              <w:left w:w="20" w:type="dxa"/>
              <w:right w:w="20" w:type="dxa"/>
            </w:tcMar>
            <w:shd w:fill="EAECEE"/>
          </w:tcPr>
          <w:p>
            <w:pPr>
              <w:jc w:val="center"/>
            </w:pPr>
            <w:r>
              <w:rPr>
                <w:b/>
                <w:sz w:val="15"/>
              </w:rPr>
              <w:t>F1</w:t>
            </w:r>
          </w:p>
        </w:tc>
        <w:tc>
          <w:tcPr>
            <w:tcW w:type="dxa" w:w="1224"/>
            <w:tcMar>
              <w:top w:w="20" w:type="dxa"/>
              <w:bottom w:w="20" w:type="dxa"/>
              <w:left w:w="20" w:type="dxa"/>
              <w:right w:w="20" w:type="dxa"/>
            </w:tcMar>
            <w:shd w:fill="EAECEE"/>
          </w:tcPr>
          <w:p>
            <w:pPr>
              <w:jc w:val="center"/>
            </w:pPr>
            <w:r>
              <w:rPr>
                <w:b/>
                <w:sz w:val="15"/>
              </w:rPr>
              <w:t>TP/FP/TN/FN</w:t>
            </w:r>
          </w:p>
        </w:tc>
      </w:tr>
      <w:tr>
        <w:trPr>
          <w:cantSplit/>
        </w:trPr>
        <w:tc>
          <w:tcPr>
            <w:tcW w:type="dxa" w:w="1656"/>
            <w:tcMar>
              <w:top w:w="20" w:type="dxa"/>
              <w:bottom w:w="20" w:type="dxa"/>
              <w:left w:w="20" w:type="dxa"/>
              <w:right w:w="20" w:type="dxa"/>
            </w:tcMar>
          </w:tcPr>
          <w:p>
            <w:pPr>
              <w:jc w:val="left"/>
            </w:pPr>
            <w:r>
              <w:rPr>
                <w:sz w:val="15"/>
              </w:rPr>
              <w:t>Method A (Rules)</w:t>
            </w:r>
          </w:p>
        </w:tc>
        <w:tc>
          <w:tcPr>
            <w:tcW w:type="dxa" w:w="547"/>
            <w:tcMar>
              <w:top w:w="20" w:type="dxa"/>
              <w:bottom w:w="20" w:type="dxa"/>
              <w:left w:w="20" w:type="dxa"/>
              <w:right w:w="20" w:type="dxa"/>
            </w:tcMar>
          </w:tcPr>
          <w:p>
            <w:pPr>
              <w:jc w:val="center"/>
            </w:pPr>
            <w:r>
              <w:rPr>
                <w:sz w:val="15"/>
              </w:rPr>
              <w:t>21.7%</w:t>
            </w:r>
          </w:p>
        </w:tc>
        <w:tc>
          <w:tcPr>
            <w:tcW w:type="dxa" w:w="547"/>
            <w:tcMar>
              <w:top w:w="20" w:type="dxa"/>
              <w:bottom w:w="20" w:type="dxa"/>
              <w:left w:w="20" w:type="dxa"/>
              <w:right w:w="20" w:type="dxa"/>
            </w:tcMar>
          </w:tcPr>
          <w:p>
            <w:pPr>
              <w:jc w:val="center"/>
            </w:pPr>
            <w:r>
              <w:rPr>
                <w:sz w:val="15"/>
              </w:rPr>
              <w:t>48.1%</w:t>
            </w:r>
          </w:p>
        </w:tc>
        <w:tc>
          <w:tcPr>
            <w:tcW w:type="dxa" w:w="547"/>
            <w:tcMar>
              <w:top w:w="20" w:type="dxa"/>
              <w:bottom w:w="20" w:type="dxa"/>
              <w:left w:w="20" w:type="dxa"/>
              <w:right w:w="20" w:type="dxa"/>
            </w:tcMar>
          </w:tcPr>
          <w:p>
            <w:pPr>
              <w:jc w:val="center"/>
            </w:pPr>
            <w:r>
              <w:rPr>
                <w:sz w:val="15"/>
              </w:rPr>
              <w:t>28.3%</w:t>
            </w:r>
          </w:p>
        </w:tc>
        <w:tc>
          <w:tcPr>
            <w:tcW w:type="dxa" w:w="547"/>
            <w:tcMar>
              <w:top w:w="20" w:type="dxa"/>
              <w:bottom w:w="20" w:type="dxa"/>
              <w:left w:w="20" w:type="dxa"/>
              <w:right w:w="20" w:type="dxa"/>
            </w:tcMar>
          </w:tcPr>
          <w:p>
            <w:pPr>
              <w:jc w:val="center"/>
            </w:pPr>
            <w:r>
              <w:rPr>
                <w:sz w:val="15"/>
              </w:rPr>
              <w:t>35.6%</w:t>
            </w:r>
          </w:p>
        </w:tc>
        <w:tc>
          <w:tcPr>
            <w:tcW w:type="dxa" w:w="1224"/>
            <w:tcMar>
              <w:top w:w="20" w:type="dxa"/>
              <w:bottom w:w="20" w:type="dxa"/>
              <w:left w:w="20" w:type="dxa"/>
              <w:right w:w="20" w:type="dxa"/>
            </w:tcMar>
          </w:tcPr>
          <w:p>
            <w:pPr>
              <w:jc w:val="center"/>
            </w:pPr>
            <w:r>
              <w:rPr>
                <w:sz w:val="15"/>
              </w:rPr>
              <w:t>26 / 28 / 0 / 66</w:t>
            </w:r>
          </w:p>
        </w:tc>
      </w:tr>
      <w:tr>
        <w:trPr>
          <w:cantSplit/>
        </w:trPr>
        <w:tc>
          <w:tcPr>
            <w:tcW w:type="dxa" w:w="1656"/>
            <w:tcMar>
              <w:top w:w="20" w:type="dxa"/>
              <w:bottom w:w="20" w:type="dxa"/>
              <w:left w:w="20" w:type="dxa"/>
              <w:right w:w="20" w:type="dxa"/>
            </w:tcMar>
          </w:tcPr>
          <w:p>
            <w:pPr>
              <w:jc w:val="left"/>
            </w:pPr>
            <w:r>
              <w:rPr>
                <w:sz w:val="15"/>
              </w:rPr>
              <w:t>Method B (Heuristics)</w:t>
            </w:r>
          </w:p>
        </w:tc>
        <w:tc>
          <w:tcPr>
            <w:tcW w:type="dxa" w:w="547"/>
            <w:tcMar>
              <w:top w:w="20" w:type="dxa"/>
              <w:bottom w:w="20" w:type="dxa"/>
              <w:left w:w="20" w:type="dxa"/>
              <w:right w:w="20" w:type="dxa"/>
            </w:tcMar>
          </w:tcPr>
          <w:p>
            <w:pPr>
              <w:jc w:val="center"/>
            </w:pPr>
            <w:r>
              <w:rPr>
                <w:sz w:val="15"/>
              </w:rPr>
              <w:t>70.0%</w:t>
            </w:r>
          </w:p>
        </w:tc>
        <w:tc>
          <w:tcPr>
            <w:tcW w:type="dxa" w:w="547"/>
            <w:tcMar>
              <w:top w:w="20" w:type="dxa"/>
              <w:bottom w:w="20" w:type="dxa"/>
              <w:left w:w="20" w:type="dxa"/>
              <w:right w:w="20" w:type="dxa"/>
            </w:tcMar>
          </w:tcPr>
          <w:p>
            <w:pPr>
              <w:jc w:val="center"/>
            </w:pPr>
            <w:r>
              <w:rPr>
                <w:sz w:val="15"/>
              </w:rPr>
              <w:t>86.8%</w:t>
            </w:r>
          </w:p>
        </w:tc>
        <w:tc>
          <w:tcPr>
            <w:tcW w:type="dxa" w:w="547"/>
            <w:tcMar>
              <w:top w:w="20" w:type="dxa"/>
              <w:bottom w:w="20" w:type="dxa"/>
              <w:left w:w="20" w:type="dxa"/>
              <w:right w:w="20" w:type="dxa"/>
            </w:tcMar>
          </w:tcPr>
          <w:p>
            <w:pPr>
              <w:jc w:val="center"/>
            </w:pPr>
            <w:r>
              <w:rPr>
                <w:sz w:val="15"/>
              </w:rPr>
              <w:t>71.7%</w:t>
            </w:r>
          </w:p>
        </w:tc>
        <w:tc>
          <w:tcPr>
            <w:tcW w:type="dxa" w:w="547"/>
            <w:tcMar>
              <w:top w:w="20" w:type="dxa"/>
              <w:bottom w:w="20" w:type="dxa"/>
              <w:left w:w="20" w:type="dxa"/>
              <w:right w:w="20" w:type="dxa"/>
            </w:tcMar>
          </w:tcPr>
          <w:p>
            <w:pPr>
              <w:jc w:val="center"/>
            </w:pPr>
            <w:r>
              <w:rPr>
                <w:sz w:val="15"/>
              </w:rPr>
              <w:t>78.5%</w:t>
            </w:r>
          </w:p>
        </w:tc>
        <w:tc>
          <w:tcPr>
            <w:tcW w:type="dxa" w:w="1224"/>
            <w:tcMar>
              <w:top w:w="20" w:type="dxa"/>
              <w:bottom w:w="20" w:type="dxa"/>
              <w:left w:w="20" w:type="dxa"/>
              <w:right w:w="20" w:type="dxa"/>
            </w:tcMar>
          </w:tcPr>
          <w:p>
            <w:pPr>
              <w:jc w:val="center"/>
            </w:pPr>
            <w:r>
              <w:rPr>
                <w:sz w:val="15"/>
              </w:rPr>
              <w:t>66 / 10 / 18 / 26</w:t>
            </w:r>
          </w:p>
        </w:tc>
      </w:tr>
      <w:tr>
        <w:trPr>
          <w:cantSplit/>
        </w:trPr>
        <w:tc>
          <w:tcPr>
            <w:tcW w:type="dxa" w:w="1656"/>
            <w:tcMar>
              <w:top w:w="20" w:type="dxa"/>
              <w:bottom w:w="20" w:type="dxa"/>
              <w:left w:w="20" w:type="dxa"/>
              <w:right w:w="20" w:type="dxa"/>
            </w:tcMar>
          </w:tcPr>
          <w:p>
            <w:pPr>
              <w:jc w:val="left"/>
            </w:pPr>
            <w:r>
              <w:rPr>
                <w:sz w:val="15"/>
              </w:rPr>
              <w:t>Method C (Raw Gemini)</w:t>
            </w:r>
          </w:p>
        </w:tc>
        <w:tc>
          <w:tcPr>
            <w:tcW w:type="dxa" w:w="547"/>
            <w:tcMar>
              <w:top w:w="20" w:type="dxa"/>
              <w:bottom w:w="20" w:type="dxa"/>
              <w:left w:w="20" w:type="dxa"/>
              <w:right w:w="20" w:type="dxa"/>
            </w:tcMar>
          </w:tcPr>
          <w:p>
            <w:pPr>
              <w:jc w:val="center"/>
            </w:pPr>
            <w:r>
              <w:rPr>
                <w:sz w:val="15"/>
              </w:rPr>
              <w:t>40.8%</w:t>
            </w:r>
          </w:p>
        </w:tc>
        <w:tc>
          <w:tcPr>
            <w:tcW w:type="dxa" w:w="547"/>
            <w:tcMar>
              <w:top w:w="20" w:type="dxa"/>
              <w:bottom w:w="20" w:type="dxa"/>
              <w:left w:w="20" w:type="dxa"/>
              <w:right w:w="20" w:type="dxa"/>
            </w:tcMar>
          </w:tcPr>
          <w:p>
            <w:pPr>
              <w:jc w:val="center"/>
            </w:pPr>
            <w:r>
              <w:rPr>
                <w:sz w:val="15"/>
              </w:rPr>
              <w:t>74.4%</w:t>
            </w:r>
          </w:p>
        </w:tc>
        <w:tc>
          <w:tcPr>
            <w:tcW w:type="dxa" w:w="547"/>
            <w:tcMar>
              <w:top w:w="20" w:type="dxa"/>
              <w:bottom w:w="20" w:type="dxa"/>
              <w:left w:w="20" w:type="dxa"/>
              <w:right w:w="20" w:type="dxa"/>
            </w:tcMar>
          </w:tcPr>
          <w:p>
            <w:pPr>
              <w:jc w:val="center"/>
            </w:pPr>
            <w:r>
              <w:rPr>
                <w:sz w:val="15"/>
              </w:rPr>
              <w:t>31.5%</w:t>
            </w:r>
          </w:p>
        </w:tc>
        <w:tc>
          <w:tcPr>
            <w:tcW w:type="dxa" w:w="547"/>
            <w:tcMar>
              <w:top w:w="20" w:type="dxa"/>
              <w:bottom w:w="20" w:type="dxa"/>
              <w:left w:w="20" w:type="dxa"/>
              <w:right w:w="20" w:type="dxa"/>
            </w:tcMar>
          </w:tcPr>
          <w:p>
            <w:pPr>
              <w:jc w:val="center"/>
            </w:pPr>
            <w:r>
              <w:rPr>
                <w:sz w:val="15"/>
              </w:rPr>
              <w:t>44.3%</w:t>
            </w:r>
          </w:p>
        </w:tc>
        <w:tc>
          <w:tcPr>
            <w:tcW w:type="dxa" w:w="1224"/>
            <w:tcMar>
              <w:top w:w="20" w:type="dxa"/>
              <w:bottom w:w="20" w:type="dxa"/>
              <w:left w:w="20" w:type="dxa"/>
              <w:right w:w="20" w:type="dxa"/>
            </w:tcMar>
          </w:tcPr>
          <w:p>
            <w:pPr>
              <w:jc w:val="center"/>
            </w:pPr>
            <w:r>
              <w:rPr>
                <w:sz w:val="15"/>
              </w:rPr>
              <w:t>29 / 10 / 18 / 63</w:t>
            </w:r>
          </w:p>
        </w:tc>
      </w:tr>
      <w:tr>
        <w:trPr>
          <w:cantSplit/>
        </w:trPr>
        <w:tc>
          <w:tcPr>
            <w:tcW w:type="dxa" w:w="1656"/>
            <w:tcMar>
              <w:top w:w="20" w:type="dxa"/>
              <w:bottom w:w="20" w:type="dxa"/>
              <w:left w:w="20" w:type="dxa"/>
              <w:right w:w="20" w:type="dxa"/>
            </w:tcMar>
          </w:tcPr>
          <w:p>
            <w:pPr>
              <w:jc w:val="left"/>
            </w:pPr>
            <w:r>
              <w:rPr>
                <w:sz w:val="15"/>
              </w:rPr>
              <w:t>Method D (Gemini+Firewall)</w:t>
            </w:r>
          </w:p>
        </w:tc>
        <w:tc>
          <w:tcPr>
            <w:tcW w:type="dxa" w:w="547"/>
            <w:tcMar>
              <w:top w:w="20" w:type="dxa"/>
              <w:bottom w:w="20" w:type="dxa"/>
              <w:left w:w="20" w:type="dxa"/>
              <w:right w:w="20" w:type="dxa"/>
            </w:tcMar>
          </w:tcPr>
          <w:p>
            <w:pPr>
              <w:jc w:val="center"/>
            </w:pPr>
            <w:r>
              <w:rPr>
                <w:sz w:val="15"/>
              </w:rPr>
              <w:t>40.8%</w:t>
            </w:r>
          </w:p>
        </w:tc>
        <w:tc>
          <w:tcPr>
            <w:tcW w:type="dxa" w:w="547"/>
            <w:tcMar>
              <w:top w:w="20" w:type="dxa"/>
              <w:bottom w:w="20" w:type="dxa"/>
              <w:left w:w="20" w:type="dxa"/>
              <w:right w:w="20" w:type="dxa"/>
            </w:tcMar>
          </w:tcPr>
          <w:p>
            <w:pPr>
              <w:jc w:val="center"/>
            </w:pPr>
            <w:r>
              <w:rPr>
                <w:sz w:val="15"/>
              </w:rPr>
              <w:t>78.4%</w:t>
            </w:r>
          </w:p>
        </w:tc>
        <w:tc>
          <w:tcPr>
            <w:tcW w:type="dxa" w:w="547"/>
            <w:tcMar>
              <w:top w:w="20" w:type="dxa"/>
              <w:bottom w:w="20" w:type="dxa"/>
              <w:left w:w="20" w:type="dxa"/>
              <w:right w:w="20" w:type="dxa"/>
            </w:tcMar>
          </w:tcPr>
          <w:p>
            <w:pPr>
              <w:jc w:val="center"/>
            </w:pPr>
            <w:r>
              <w:rPr>
                <w:sz w:val="15"/>
              </w:rPr>
              <w:t>31.5%</w:t>
            </w:r>
          </w:p>
        </w:tc>
        <w:tc>
          <w:tcPr>
            <w:tcW w:type="dxa" w:w="547"/>
            <w:tcMar>
              <w:top w:w="20" w:type="dxa"/>
              <w:bottom w:w="20" w:type="dxa"/>
              <w:left w:w="20" w:type="dxa"/>
              <w:right w:w="20" w:type="dxa"/>
            </w:tcMar>
          </w:tcPr>
          <w:p>
            <w:pPr>
              <w:jc w:val="center"/>
            </w:pPr>
            <w:r>
              <w:rPr>
                <w:sz w:val="15"/>
              </w:rPr>
              <w:t>44.9%</w:t>
            </w:r>
          </w:p>
        </w:tc>
        <w:tc>
          <w:tcPr>
            <w:tcW w:type="dxa" w:w="1224"/>
            <w:tcMar>
              <w:top w:w="20" w:type="dxa"/>
              <w:bottom w:w="20" w:type="dxa"/>
              <w:left w:w="20" w:type="dxa"/>
              <w:right w:w="20" w:type="dxa"/>
            </w:tcMar>
          </w:tcPr>
          <w:p>
            <w:pPr>
              <w:jc w:val="center"/>
            </w:pPr>
            <w:r>
              <w:rPr>
                <w:sz w:val="15"/>
              </w:rPr>
              <w:t>29 / 8 / 20 / 63</w:t>
            </w:r>
          </w:p>
        </w:tc>
      </w:tr>
    </w:tbl>
    <w:p>
      <w:pPr>
        <w:spacing w:before="0" w:after="80" w:line="245" w:lineRule="auto"/>
        <w:jc w:val="both"/>
      </w:pPr>
      <w:r>
        <w:rPr>
          <w:rFonts w:ascii="Times New Roman" w:hAnsi="Times New Roman"/>
          <w:sz w:val="20"/>
        </w:rPr>
        <w:t>On the evaluated benchmark, the string-heuristic baseline (Method B) outperformed the Gemini-assisted approach in aggregate classification performance (F1 = 78.5% vs. 44.9%). Method D improved precision over raw LLM inference from 74.4% to 78.4% and reduced invalid admissions from 10 to 8 by quarantining ambiguous and out-of-bounds telemetry. The firewall does not increase recall (31.5%), as sub-threshold outputs are quarantined rather than repaired.</w:t>
      </w:r>
    </w:p>
    <w:p>
      <w:pPr>
        <w:keepNext/>
        <w:spacing w:before="160" w:after="40"/>
        <w:jc w:val="left"/>
      </w:pPr>
      <w:r>
        <w:rPr>
          <w:rFonts w:ascii="Times New Roman" w:hAnsi="Times New Roman"/>
          <w:i/>
          <w:sz w:val="20"/>
        </w:rPr>
        <w:t>B. Seen vs. Unseen Schema Evaluation (N = 39 vs. N = 81)</w:t>
      </w:r>
    </w:p>
    <w:p>
      <w:pPr>
        <w:spacing w:before="0" w:after="80" w:line="245" w:lineRule="auto"/>
        <w:jc w:val="both"/>
      </w:pPr>
      <w:r>
        <w:rPr>
          <w:rFonts w:ascii="Times New Roman" w:hAnsi="Times New Roman"/>
          <w:sz w:val="20"/>
        </w:rPr>
        <w:t>Table II summarizes performance across the seen and unseen partitions.</w:t>
      </w:r>
    </w:p>
    <w:p>
      <w:pPr>
        <w:spacing w:before="80" w:after="40"/>
        <w:jc w:val="center"/>
      </w:pPr>
      <w:r>
        <w:rPr>
          <w:rFonts w:ascii="Times New Roman" w:hAnsi="Times New Roman"/>
          <w:b/>
          <w:sz w:val="16"/>
        </w:rPr>
        <w:t>TABLE II.  SEEN (N=39) VS. UNSEEN (N=81) GENERALIZATION</w:t>
      </w:r>
    </w:p>
    <w:tbl>
      <w:tblPr>
        <w:tblW w:type="auto" w:w="0"/>
        <w:jc w:val="center"/>
        <w:tblLook w:firstColumn="1" w:firstRow="1" w:lastColumn="0" w:lastRow="0" w:noHBand="0" w:noVBand="1" w:val="04A0"/>
        <w:tblBorders>
          <w:top w:val="single" w:sz="4" w:space="0" w:color="7F8C8D"/>
          <w:bottom w:val="single" w:sz="4" w:space="0" w:color="7F8C8D"/>
          <w:insideH w:val="single" w:sz="4" w:space="0" w:color="D5D8DC"/>
          <w:insideV w:val="none"/>
          <w:left w:val="none"/>
          <w:right w:val="none"/>
        </w:tblBorders>
      </w:tblPr>
      <w:tblGrid>
        <w:gridCol w:w="1491"/>
        <w:gridCol w:w="1491"/>
        <w:gridCol w:w="1491"/>
        <w:gridCol w:w="1491"/>
        <w:gridCol w:w="1491"/>
        <w:gridCol w:w="1491"/>
        <w:gridCol w:w="1491"/>
      </w:tblGrid>
      <w:tr>
        <w:tc>
          <w:tcPr>
            <w:tcW w:type="dxa" w:w="792"/>
            <w:tcMar>
              <w:top w:w="20" w:type="dxa"/>
              <w:bottom w:w="20" w:type="dxa"/>
              <w:left w:w="15" w:type="dxa"/>
              <w:right w:w="15" w:type="dxa"/>
            </w:tcMar>
            <w:shd w:fill="EAECEE"/>
          </w:tcPr>
          <w:p>
            <w:pPr>
              <w:jc w:val="center"/>
            </w:pPr>
            <w:r>
              <w:rPr>
                <w:b/>
                <w:sz w:val="14"/>
              </w:rPr>
              <w:t>Part.</w:t>
            </w:r>
          </w:p>
        </w:tc>
        <w:tc>
          <w:tcPr>
            <w:tcW w:type="dxa" w:w="1368"/>
            <w:tcMar>
              <w:top w:w="20" w:type="dxa"/>
              <w:bottom w:w="20" w:type="dxa"/>
              <w:left w:w="15" w:type="dxa"/>
              <w:right w:w="15" w:type="dxa"/>
            </w:tcMar>
            <w:shd w:fill="EAECEE"/>
          </w:tcPr>
          <w:p>
            <w:pPr>
              <w:jc w:val="center"/>
            </w:pPr>
            <w:r>
              <w:rPr>
                <w:b/>
                <w:sz w:val="14"/>
              </w:rPr>
              <w:t>Method</w:t>
            </w:r>
          </w:p>
        </w:tc>
        <w:tc>
          <w:tcPr>
            <w:tcW w:type="dxa" w:w="547"/>
            <w:tcMar>
              <w:top w:w="20" w:type="dxa"/>
              <w:bottom w:w="20" w:type="dxa"/>
              <w:left w:w="15" w:type="dxa"/>
              <w:right w:w="15" w:type="dxa"/>
            </w:tcMar>
            <w:shd w:fill="EAECEE"/>
          </w:tcPr>
          <w:p>
            <w:pPr>
              <w:jc w:val="center"/>
            </w:pPr>
            <w:r>
              <w:rPr>
                <w:b/>
                <w:sz w:val="14"/>
              </w:rPr>
              <w:t>Acc</w:t>
            </w:r>
          </w:p>
        </w:tc>
        <w:tc>
          <w:tcPr>
            <w:tcW w:type="dxa" w:w="547"/>
            <w:tcMar>
              <w:top w:w="20" w:type="dxa"/>
              <w:bottom w:w="20" w:type="dxa"/>
              <w:left w:w="15" w:type="dxa"/>
              <w:right w:w="15" w:type="dxa"/>
            </w:tcMar>
            <w:shd w:fill="EAECEE"/>
          </w:tcPr>
          <w:p>
            <w:pPr>
              <w:jc w:val="center"/>
            </w:pPr>
            <w:r>
              <w:rPr>
                <w:b/>
                <w:sz w:val="14"/>
              </w:rPr>
              <w:t>P</w:t>
            </w:r>
          </w:p>
        </w:tc>
        <w:tc>
          <w:tcPr>
            <w:tcW w:type="dxa" w:w="547"/>
            <w:tcMar>
              <w:top w:w="20" w:type="dxa"/>
              <w:bottom w:w="20" w:type="dxa"/>
              <w:left w:w="15" w:type="dxa"/>
              <w:right w:w="15" w:type="dxa"/>
            </w:tcMar>
            <w:shd w:fill="EAECEE"/>
          </w:tcPr>
          <w:p>
            <w:pPr>
              <w:jc w:val="center"/>
            </w:pPr>
            <w:r>
              <w:rPr>
                <w:b/>
                <w:sz w:val="14"/>
              </w:rPr>
              <w:t>R</w:t>
            </w:r>
          </w:p>
        </w:tc>
        <w:tc>
          <w:tcPr>
            <w:tcW w:type="dxa" w:w="547"/>
            <w:tcMar>
              <w:top w:w="20" w:type="dxa"/>
              <w:bottom w:w="20" w:type="dxa"/>
              <w:left w:w="15" w:type="dxa"/>
              <w:right w:w="15" w:type="dxa"/>
            </w:tcMar>
            <w:shd w:fill="EAECEE"/>
          </w:tcPr>
          <w:p>
            <w:pPr>
              <w:jc w:val="center"/>
            </w:pPr>
            <w:r>
              <w:rPr>
                <w:b/>
                <w:sz w:val="14"/>
              </w:rPr>
              <w:t>F1</w:t>
            </w:r>
          </w:p>
        </w:tc>
        <w:tc>
          <w:tcPr>
            <w:tcW w:type="dxa" w:w="720"/>
            <w:tcMar>
              <w:top w:w="20" w:type="dxa"/>
              <w:bottom w:w="20" w:type="dxa"/>
              <w:left w:w="15" w:type="dxa"/>
              <w:right w:w="15" w:type="dxa"/>
            </w:tcMar>
            <w:shd w:fill="EAECEE"/>
          </w:tcPr>
          <w:p>
            <w:pPr>
              <w:jc w:val="center"/>
            </w:pPr>
            <w:r>
              <w:rPr>
                <w:b/>
                <w:sz w:val="14"/>
              </w:rPr>
              <w:t>TP/FP/TN/FN</w:t>
            </w:r>
          </w:p>
        </w:tc>
      </w:tr>
      <w:tr>
        <w:trPr>
          <w:cantSplit/>
        </w:trPr>
        <w:tc>
          <w:tcPr>
            <w:tcW w:type="dxa" w:w="792"/>
            <w:tcMar>
              <w:top w:w="20" w:type="dxa"/>
              <w:bottom w:w="20" w:type="dxa"/>
              <w:left w:w="15" w:type="dxa"/>
              <w:right w:w="15" w:type="dxa"/>
            </w:tcMar>
          </w:tcPr>
          <w:p>
            <w:pPr>
              <w:jc w:val="left"/>
            </w:pPr>
            <w:r>
              <w:rPr>
                <w:sz w:val="14"/>
              </w:rPr>
              <w:t>Seen</w:t>
            </w:r>
          </w:p>
        </w:tc>
        <w:tc>
          <w:tcPr>
            <w:tcW w:type="dxa" w:w="1368"/>
            <w:tcMar>
              <w:top w:w="20" w:type="dxa"/>
              <w:bottom w:w="20" w:type="dxa"/>
              <w:left w:w="15" w:type="dxa"/>
              <w:right w:w="15" w:type="dxa"/>
            </w:tcMar>
          </w:tcPr>
          <w:p>
            <w:pPr>
              <w:jc w:val="left"/>
            </w:pPr>
            <w:r>
              <w:rPr>
                <w:sz w:val="14"/>
              </w:rPr>
              <w:t>Method A (Rules)</w:t>
            </w:r>
          </w:p>
        </w:tc>
        <w:tc>
          <w:tcPr>
            <w:tcW w:type="dxa" w:w="547"/>
            <w:tcMar>
              <w:top w:w="20" w:type="dxa"/>
              <w:bottom w:w="20" w:type="dxa"/>
              <w:left w:w="15" w:type="dxa"/>
              <w:right w:w="15" w:type="dxa"/>
            </w:tcMar>
          </w:tcPr>
          <w:p>
            <w:pPr>
              <w:jc w:val="center"/>
            </w:pPr>
            <w:r>
              <w:rPr>
                <w:sz w:val="14"/>
              </w:rPr>
              <w:t>59.0%</w:t>
            </w:r>
          </w:p>
        </w:tc>
        <w:tc>
          <w:tcPr>
            <w:tcW w:type="dxa" w:w="547"/>
            <w:tcMar>
              <w:top w:w="20" w:type="dxa"/>
              <w:bottom w:w="20" w:type="dxa"/>
              <w:left w:w="15" w:type="dxa"/>
              <w:right w:w="15" w:type="dxa"/>
            </w:tcMar>
          </w:tcPr>
          <w:p>
            <w:pPr>
              <w:jc w:val="center"/>
            </w:pPr>
            <w:r>
              <w:rPr>
                <w:sz w:val="14"/>
              </w:rPr>
              <w:t>100%</w:t>
            </w:r>
          </w:p>
        </w:tc>
        <w:tc>
          <w:tcPr>
            <w:tcW w:type="dxa" w:w="547"/>
            <w:tcMar>
              <w:top w:w="20" w:type="dxa"/>
              <w:bottom w:w="20" w:type="dxa"/>
              <w:left w:w="15" w:type="dxa"/>
              <w:right w:w="15" w:type="dxa"/>
            </w:tcMar>
          </w:tcPr>
          <w:p>
            <w:pPr>
              <w:jc w:val="center"/>
            </w:pPr>
            <w:r>
              <w:rPr>
                <w:sz w:val="14"/>
              </w:rPr>
              <w:t>59.0%</w:t>
            </w:r>
          </w:p>
        </w:tc>
        <w:tc>
          <w:tcPr>
            <w:tcW w:type="dxa" w:w="547"/>
            <w:tcMar>
              <w:top w:w="20" w:type="dxa"/>
              <w:bottom w:w="20" w:type="dxa"/>
              <w:left w:w="15" w:type="dxa"/>
              <w:right w:w="15" w:type="dxa"/>
            </w:tcMar>
          </w:tcPr>
          <w:p>
            <w:pPr>
              <w:jc w:val="center"/>
            </w:pPr>
            <w:r>
              <w:rPr>
                <w:sz w:val="14"/>
              </w:rPr>
              <w:t>74.2%</w:t>
            </w:r>
          </w:p>
        </w:tc>
        <w:tc>
          <w:tcPr>
            <w:tcW w:type="dxa" w:w="720"/>
            <w:tcMar>
              <w:top w:w="20" w:type="dxa"/>
              <w:bottom w:w="20" w:type="dxa"/>
              <w:left w:w="15" w:type="dxa"/>
              <w:right w:w="15" w:type="dxa"/>
            </w:tcMar>
          </w:tcPr>
          <w:p>
            <w:pPr>
              <w:jc w:val="center"/>
            </w:pPr>
            <w:r>
              <w:rPr>
                <w:sz w:val="14"/>
              </w:rPr>
              <w:t>23/0/0/16</w:t>
            </w:r>
          </w:p>
        </w:tc>
      </w:tr>
      <w:tr>
        <w:trPr>
          <w:cantSplit/>
        </w:trPr>
        <w:tc>
          <w:tcPr>
            <w:tcW w:type="dxa" w:w="792"/>
            <w:tcMar>
              <w:top w:w="20" w:type="dxa"/>
              <w:bottom w:w="20" w:type="dxa"/>
              <w:left w:w="15" w:type="dxa"/>
              <w:right w:w="15" w:type="dxa"/>
            </w:tcMar>
          </w:tcPr>
          <w:p>
            <w:pPr>
              <w:jc w:val="left"/>
            </w:pPr>
            <w:r>
              <w:rPr>
                <w:sz w:val="14"/>
              </w:rPr>
              <w:t>(39)</w:t>
            </w:r>
          </w:p>
        </w:tc>
        <w:tc>
          <w:tcPr>
            <w:tcW w:type="dxa" w:w="1368"/>
            <w:tcMar>
              <w:top w:w="20" w:type="dxa"/>
              <w:bottom w:w="20" w:type="dxa"/>
              <w:left w:w="15" w:type="dxa"/>
              <w:right w:w="15" w:type="dxa"/>
            </w:tcMar>
          </w:tcPr>
          <w:p>
            <w:pPr>
              <w:jc w:val="left"/>
            </w:pPr>
            <w:r>
              <w:rPr>
                <w:sz w:val="14"/>
              </w:rPr>
              <w:t>Method B (Heuristics)</w:t>
            </w:r>
          </w:p>
        </w:tc>
        <w:tc>
          <w:tcPr>
            <w:tcW w:type="dxa" w:w="547"/>
            <w:tcMar>
              <w:top w:w="20" w:type="dxa"/>
              <w:bottom w:w="20" w:type="dxa"/>
              <w:left w:w="15" w:type="dxa"/>
              <w:right w:w="15" w:type="dxa"/>
            </w:tcMar>
          </w:tcPr>
          <w:p>
            <w:pPr>
              <w:jc w:val="center"/>
            </w:pPr>
            <w:r>
              <w:rPr>
                <w:sz w:val="14"/>
              </w:rPr>
              <w:t>79.5%</w:t>
            </w:r>
          </w:p>
        </w:tc>
        <w:tc>
          <w:tcPr>
            <w:tcW w:type="dxa" w:w="547"/>
            <w:tcMar>
              <w:top w:w="20" w:type="dxa"/>
              <w:bottom w:w="20" w:type="dxa"/>
              <w:left w:w="15" w:type="dxa"/>
              <w:right w:w="15" w:type="dxa"/>
            </w:tcMar>
          </w:tcPr>
          <w:p>
            <w:pPr>
              <w:jc w:val="center"/>
            </w:pPr>
            <w:r>
              <w:rPr>
                <w:sz w:val="14"/>
              </w:rPr>
              <w:t>100%</w:t>
            </w:r>
          </w:p>
        </w:tc>
        <w:tc>
          <w:tcPr>
            <w:tcW w:type="dxa" w:w="547"/>
            <w:tcMar>
              <w:top w:w="20" w:type="dxa"/>
              <w:bottom w:w="20" w:type="dxa"/>
              <w:left w:w="15" w:type="dxa"/>
              <w:right w:w="15" w:type="dxa"/>
            </w:tcMar>
          </w:tcPr>
          <w:p>
            <w:pPr>
              <w:jc w:val="center"/>
            </w:pPr>
            <w:r>
              <w:rPr>
                <w:sz w:val="14"/>
              </w:rPr>
              <w:t>79.5%</w:t>
            </w:r>
          </w:p>
        </w:tc>
        <w:tc>
          <w:tcPr>
            <w:tcW w:type="dxa" w:w="547"/>
            <w:tcMar>
              <w:top w:w="20" w:type="dxa"/>
              <w:bottom w:w="20" w:type="dxa"/>
              <w:left w:w="15" w:type="dxa"/>
              <w:right w:w="15" w:type="dxa"/>
            </w:tcMar>
          </w:tcPr>
          <w:p>
            <w:pPr>
              <w:jc w:val="center"/>
            </w:pPr>
            <w:r>
              <w:rPr>
                <w:sz w:val="14"/>
              </w:rPr>
              <w:t>88.6%</w:t>
            </w:r>
          </w:p>
        </w:tc>
        <w:tc>
          <w:tcPr>
            <w:tcW w:type="dxa" w:w="720"/>
            <w:tcMar>
              <w:top w:w="20" w:type="dxa"/>
              <w:bottom w:w="20" w:type="dxa"/>
              <w:left w:w="15" w:type="dxa"/>
              <w:right w:w="15" w:type="dxa"/>
            </w:tcMar>
          </w:tcPr>
          <w:p>
            <w:pPr>
              <w:jc w:val="center"/>
            </w:pPr>
            <w:r>
              <w:rPr>
                <w:sz w:val="14"/>
              </w:rPr>
              <w:t>31/0/0/8</w:t>
            </w:r>
          </w:p>
        </w:tc>
      </w:tr>
      <w:tr>
        <w:trPr>
          <w:cantSplit/>
        </w:trPr>
        <w:tc>
          <w:tcPr>
            <w:tcW w:type="dxa" w:w="792"/>
            <w:tcMar>
              <w:top w:w="20" w:type="dxa"/>
              <w:bottom w:w="20" w:type="dxa"/>
              <w:left w:w="15" w:type="dxa"/>
              <w:right w:w="15" w:type="dxa"/>
            </w:tcMar>
          </w:tcPr>
          <w:p>
            <w:pPr>
              <w:jc w:val="left"/>
            </w:pPr>
            <w:r>
              <w:rPr>
                <w:sz w:val="14"/>
              </w:rPr>
            </w:r>
          </w:p>
        </w:tc>
        <w:tc>
          <w:tcPr>
            <w:tcW w:type="dxa" w:w="1368"/>
            <w:tcMar>
              <w:top w:w="20" w:type="dxa"/>
              <w:bottom w:w="20" w:type="dxa"/>
              <w:left w:w="15" w:type="dxa"/>
              <w:right w:w="15" w:type="dxa"/>
            </w:tcMar>
          </w:tcPr>
          <w:p>
            <w:pPr>
              <w:jc w:val="left"/>
            </w:pPr>
            <w:r>
              <w:rPr>
                <w:sz w:val="14"/>
              </w:rPr>
              <w:t>Method C (Raw Gemini)</w:t>
            </w:r>
          </w:p>
        </w:tc>
        <w:tc>
          <w:tcPr>
            <w:tcW w:type="dxa" w:w="547"/>
            <w:tcMar>
              <w:top w:w="20" w:type="dxa"/>
              <w:bottom w:w="20" w:type="dxa"/>
              <w:left w:w="15" w:type="dxa"/>
              <w:right w:w="15" w:type="dxa"/>
            </w:tcMar>
          </w:tcPr>
          <w:p>
            <w:pPr>
              <w:jc w:val="center"/>
            </w:pPr>
            <w:r>
              <w:rPr>
                <w:sz w:val="14"/>
              </w:rPr>
              <w:t>43.6%</w:t>
            </w:r>
          </w:p>
        </w:tc>
        <w:tc>
          <w:tcPr>
            <w:tcW w:type="dxa" w:w="547"/>
            <w:tcMar>
              <w:top w:w="20" w:type="dxa"/>
              <w:bottom w:w="20" w:type="dxa"/>
              <w:left w:w="15" w:type="dxa"/>
              <w:right w:w="15" w:type="dxa"/>
            </w:tcMar>
          </w:tcPr>
          <w:p>
            <w:pPr>
              <w:jc w:val="center"/>
            </w:pPr>
            <w:r>
              <w:rPr>
                <w:sz w:val="14"/>
              </w:rPr>
              <w:t>100%</w:t>
            </w:r>
          </w:p>
        </w:tc>
        <w:tc>
          <w:tcPr>
            <w:tcW w:type="dxa" w:w="547"/>
            <w:tcMar>
              <w:top w:w="20" w:type="dxa"/>
              <w:bottom w:w="20" w:type="dxa"/>
              <w:left w:w="15" w:type="dxa"/>
              <w:right w:w="15" w:type="dxa"/>
            </w:tcMar>
          </w:tcPr>
          <w:p>
            <w:pPr>
              <w:jc w:val="center"/>
            </w:pPr>
            <w:r>
              <w:rPr>
                <w:sz w:val="14"/>
              </w:rPr>
              <w:t>43.6%</w:t>
            </w:r>
          </w:p>
        </w:tc>
        <w:tc>
          <w:tcPr>
            <w:tcW w:type="dxa" w:w="547"/>
            <w:tcMar>
              <w:top w:w="20" w:type="dxa"/>
              <w:bottom w:w="20" w:type="dxa"/>
              <w:left w:w="15" w:type="dxa"/>
              <w:right w:w="15" w:type="dxa"/>
            </w:tcMar>
          </w:tcPr>
          <w:p>
            <w:pPr>
              <w:jc w:val="center"/>
            </w:pPr>
            <w:r>
              <w:rPr>
                <w:sz w:val="14"/>
              </w:rPr>
              <w:t>60.7%</w:t>
            </w:r>
          </w:p>
        </w:tc>
        <w:tc>
          <w:tcPr>
            <w:tcW w:type="dxa" w:w="720"/>
            <w:tcMar>
              <w:top w:w="20" w:type="dxa"/>
              <w:bottom w:w="20" w:type="dxa"/>
              <w:left w:w="15" w:type="dxa"/>
              <w:right w:w="15" w:type="dxa"/>
            </w:tcMar>
          </w:tcPr>
          <w:p>
            <w:pPr>
              <w:jc w:val="center"/>
            </w:pPr>
            <w:r>
              <w:rPr>
                <w:sz w:val="14"/>
              </w:rPr>
              <w:t>17/0/0/22</w:t>
            </w:r>
          </w:p>
        </w:tc>
      </w:tr>
      <w:tr>
        <w:trPr>
          <w:cantSplit/>
        </w:trPr>
        <w:tc>
          <w:tcPr>
            <w:tcW w:type="dxa" w:w="792"/>
            <w:tcMar>
              <w:top w:w="20" w:type="dxa"/>
              <w:bottom w:w="20" w:type="dxa"/>
              <w:left w:w="15" w:type="dxa"/>
              <w:right w:w="15" w:type="dxa"/>
            </w:tcMar>
          </w:tcPr>
          <w:p>
            <w:pPr>
              <w:jc w:val="left"/>
            </w:pPr>
            <w:r>
              <w:rPr>
                <w:sz w:val="14"/>
              </w:rPr>
            </w:r>
          </w:p>
        </w:tc>
        <w:tc>
          <w:tcPr>
            <w:tcW w:type="dxa" w:w="1368"/>
            <w:tcMar>
              <w:top w:w="20" w:type="dxa"/>
              <w:bottom w:w="20" w:type="dxa"/>
              <w:left w:w="15" w:type="dxa"/>
              <w:right w:w="15" w:type="dxa"/>
            </w:tcMar>
          </w:tcPr>
          <w:p>
            <w:pPr>
              <w:jc w:val="left"/>
            </w:pPr>
            <w:r>
              <w:rPr>
                <w:sz w:val="14"/>
              </w:rPr>
              <w:t>Method D (Gemini+FW)</w:t>
            </w:r>
          </w:p>
        </w:tc>
        <w:tc>
          <w:tcPr>
            <w:tcW w:type="dxa" w:w="547"/>
            <w:tcMar>
              <w:top w:w="20" w:type="dxa"/>
              <w:bottom w:w="20" w:type="dxa"/>
              <w:left w:w="15" w:type="dxa"/>
              <w:right w:w="15" w:type="dxa"/>
            </w:tcMar>
          </w:tcPr>
          <w:p>
            <w:pPr>
              <w:jc w:val="center"/>
            </w:pPr>
            <w:r>
              <w:rPr>
                <w:sz w:val="14"/>
              </w:rPr>
              <w:t>43.6%</w:t>
            </w:r>
          </w:p>
        </w:tc>
        <w:tc>
          <w:tcPr>
            <w:tcW w:type="dxa" w:w="547"/>
            <w:tcMar>
              <w:top w:w="20" w:type="dxa"/>
              <w:bottom w:w="20" w:type="dxa"/>
              <w:left w:w="15" w:type="dxa"/>
              <w:right w:w="15" w:type="dxa"/>
            </w:tcMar>
          </w:tcPr>
          <w:p>
            <w:pPr>
              <w:jc w:val="center"/>
            </w:pPr>
            <w:r>
              <w:rPr>
                <w:sz w:val="14"/>
              </w:rPr>
              <w:t>100%</w:t>
            </w:r>
          </w:p>
        </w:tc>
        <w:tc>
          <w:tcPr>
            <w:tcW w:type="dxa" w:w="547"/>
            <w:tcMar>
              <w:top w:w="20" w:type="dxa"/>
              <w:bottom w:w="20" w:type="dxa"/>
              <w:left w:w="15" w:type="dxa"/>
              <w:right w:w="15" w:type="dxa"/>
            </w:tcMar>
          </w:tcPr>
          <w:p>
            <w:pPr>
              <w:jc w:val="center"/>
            </w:pPr>
            <w:r>
              <w:rPr>
                <w:sz w:val="14"/>
              </w:rPr>
              <w:t>43.6%</w:t>
            </w:r>
          </w:p>
        </w:tc>
        <w:tc>
          <w:tcPr>
            <w:tcW w:type="dxa" w:w="547"/>
            <w:tcMar>
              <w:top w:w="20" w:type="dxa"/>
              <w:bottom w:w="20" w:type="dxa"/>
              <w:left w:w="15" w:type="dxa"/>
              <w:right w:w="15" w:type="dxa"/>
            </w:tcMar>
          </w:tcPr>
          <w:p>
            <w:pPr>
              <w:jc w:val="center"/>
            </w:pPr>
            <w:r>
              <w:rPr>
                <w:sz w:val="14"/>
              </w:rPr>
              <w:t>60.7%</w:t>
            </w:r>
          </w:p>
        </w:tc>
        <w:tc>
          <w:tcPr>
            <w:tcW w:type="dxa" w:w="720"/>
            <w:tcMar>
              <w:top w:w="20" w:type="dxa"/>
              <w:bottom w:w="20" w:type="dxa"/>
              <w:left w:w="15" w:type="dxa"/>
              <w:right w:w="15" w:type="dxa"/>
            </w:tcMar>
          </w:tcPr>
          <w:p>
            <w:pPr>
              <w:jc w:val="center"/>
            </w:pPr>
            <w:r>
              <w:rPr>
                <w:sz w:val="14"/>
              </w:rPr>
              <w:t>17/0/0/22</w:t>
            </w:r>
          </w:p>
        </w:tc>
      </w:tr>
      <w:tr>
        <w:trPr>
          <w:cantSplit/>
        </w:trPr>
        <w:tc>
          <w:tcPr>
            <w:tcW w:type="dxa" w:w="792"/>
            <w:tcMar>
              <w:top w:w="20" w:type="dxa"/>
              <w:bottom w:w="20" w:type="dxa"/>
              <w:left w:w="15" w:type="dxa"/>
              <w:right w:w="15" w:type="dxa"/>
            </w:tcMar>
          </w:tcPr>
          <w:p>
            <w:pPr>
              <w:jc w:val="left"/>
            </w:pPr>
            <w:r>
              <w:rPr>
                <w:sz w:val="14"/>
              </w:rPr>
              <w:t>Unseen</w:t>
            </w:r>
          </w:p>
        </w:tc>
        <w:tc>
          <w:tcPr>
            <w:tcW w:type="dxa" w:w="1368"/>
            <w:tcMar>
              <w:top w:w="20" w:type="dxa"/>
              <w:bottom w:w="20" w:type="dxa"/>
              <w:left w:w="15" w:type="dxa"/>
              <w:right w:w="15" w:type="dxa"/>
            </w:tcMar>
          </w:tcPr>
          <w:p>
            <w:pPr>
              <w:jc w:val="left"/>
            </w:pPr>
            <w:r>
              <w:rPr>
                <w:sz w:val="14"/>
              </w:rPr>
              <w:t>Method A (Rules)</w:t>
            </w:r>
          </w:p>
        </w:tc>
        <w:tc>
          <w:tcPr>
            <w:tcW w:type="dxa" w:w="547"/>
            <w:tcMar>
              <w:top w:w="20" w:type="dxa"/>
              <w:bottom w:w="20" w:type="dxa"/>
              <w:left w:w="15" w:type="dxa"/>
              <w:right w:w="15" w:type="dxa"/>
            </w:tcMar>
          </w:tcPr>
          <w:p>
            <w:pPr>
              <w:jc w:val="center"/>
            </w:pPr>
            <w:r>
              <w:rPr>
                <w:sz w:val="14"/>
              </w:rPr>
              <w:t>3.7%</w:t>
            </w:r>
          </w:p>
        </w:tc>
        <w:tc>
          <w:tcPr>
            <w:tcW w:type="dxa" w:w="547"/>
            <w:tcMar>
              <w:top w:w="20" w:type="dxa"/>
              <w:bottom w:w="20" w:type="dxa"/>
              <w:left w:w="15" w:type="dxa"/>
              <w:right w:w="15" w:type="dxa"/>
            </w:tcMar>
          </w:tcPr>
          <w:p>
            <w:pPr>
              <w:jc w:val="center"/>
            </w:pPr>
            <w:r>
              <w:rPr>
                <w:sz w:val="14"/>
              </w:rPr>
              <w:t>9.7%</w:t>
            </w:r>
          </w:p>
        </w:tc>
        <w:tc>
          <w:tcPr>
            <w:tcW w:type="dxa" w:w="547"/>
            <w:tcMar>
              <w:top w:w="20" w:type="dxa"/>
              <w:bottom w:w="20" w:type="dxa"/>
              <w:left w:w="15" w:type="dxa"/>
              <w:right w:w="15" w:type="dxa"/>
            </w:tcMar>
          </w:tcPr>
          <w:p>
            <w:pPr>
              <w:jc w:val="center"/>
            </w:pPr>
            <w:r>
              <w:rPr>
                <w:sz w:val="14"/>
              </w:rPr>
              <w:t>5.7%</w:t>
            </w:r>
          </w:p>
        </w:tc>
        <w:tc>
          <w:tcPr>
            <w:tcW w:type="dxa" w:w="547"/>
            <w:tcMar>
              <w:top w:w="20" w:type="dxa"/>
              <w:bottom w:w="20" w:type="dxa"/>
              <w:left w:w="15" w:type="dxa"/>
              <w:right w:w="15" w:type="dxa"/>
            </w:tcMar>
          </w:tcPr>
          <w:p>
            <w:pPr>
              <w:jc w:val="center"/>
            </w:pPr>
            <w:r>
              <w:rPr>
                <w:sz w:val="14"/>
              </w:rPr>
              <w:t>7.2%</w:t>
            </w:r>
          </w:p>
        </w:tc>
        <w:tc>
          <w:tcPr>
            <w:tcW w:type="dxa" w:w="720"/>
            <w:tcMar>
              <w:top w:w="20" w:type="dxa"/>
              <w:bottom w:w="20" w:type="dxa"/>
              <w:left w:w="15" w:type="dxa"/>
              <w:right w:w="15" w:type="dxa"/>
            </w:tcMar>
          </w:tcPr>
          <w:p>
            <w:pPr>
              <w:jc w:val="center"/>
            </w:pPr>
            <w:r>
              <w:rPr>
                <w:sz w:val="14"/>
              </w:rPr>
              <w:t>3/28/0/50</w:t>
            </w:r>
          </w:p>
        </w:tc>
      </w:tr>
      <w:tr>
        <w:trPr>
          <w:cantSplit/>
        </w:trPr>
        <w:tc>
          <w:tcPr>
            <w:tcW w:type="dxa" w:w="792"/>
            <w:tcMar>
              <w:top w:w="20" w:type="dxa"/>
              <w:bottom w:w="20" w:type="dxa"/>
              <w:left w:w="15" w:type="dxa"/>
              <w:right w:w="15" w:type="dxa"/>
            </w:tcMar>
          </w:tcPr>
          <w:p>
            <w:pPr>
              <w:jc w:val="left"/>
            </w:pPr>
            <w:r>
              <w:rPr>
                <w:sz w:val="14"/>
              </w:rPr>
              <w:t>(81)</w:t>
            </w:r>
          </w:p>
        </w:tc>
        <w:tc>
          <w:tcPr>
            <w:tcW w:type="dxa" w:w="1368"/>
            <w:tcMar>
              <w:top w:w="20" w:type="dxa"/>
              <w:bottom w:w="20" w:type="dxa"/>
              <w:left w:w="15" w:type="dxa"/>
              <w:right w:w="15" w:type="dxa"/>
            </w:tcMar>
          </w:tcPr>
          <w:p>
            <w:pPr>
              <w:jc w:val="left"/>
            </w:pPr>
            <w:r>
              <w:rPr>
                <w:sz w:val="14"/>
              </w:rPr>
              <w:t>Method B (Heuristics)</w:t>
            </w:r>
          </w:p>
        </w:tc>
        <w:tc>
          <w:tcPr>
            <w:tcW w:type="dxa" w:w="547"/>
            <w:tcMar>
              <w:top w:w="20" w:type="dxa"/>
              <w:bottom w:w="20" w:type="dxa"/>
              <w:left w:w="15" w:type="dxa"/>
              <w:right w:w="15" w:type="dxa"/>
            </w:tcMar>
          </w:tcPr>
          <w:p>
            <w:pPr>
              <w:jc w:val="center"/>
            </w:pPr>
            <w:r>
              <w:rPr>
                <w:sz w:val="14"/>
              </w:rPr>
              <w:t>65.4%</w:t>
            </w:r>
          </w:p>
        </w:tc>
        <w:tc>
          <w:tcPr>
            <w:tcW w:type="dxa" w:w="547"/>
            <w:tcMar>
              <w:top w:w="20" w:type="dxa"/>
              <w:bottom w:w="20" w:type="dxa"/>
              <w:left w:w="15" w:type="dxa"/>
              <w:right w:w="15" w:type="dxa"/>
            </w:tcMar>
          </w:tcPr>
          <w:p>
            <w:pPr>
              <w:jc w:val="center"/>
            </w:pPr>
            <w:r>
              <w:rPr>
                <w:sz w:val="14"/>
              </w:rPr>
              <w:t>77.8%</w:t>
            </w:r>
          </w:p>
        </w:tc>
        <w:tc>
          <w:tcPr>
            <w:tcW w:type="dxa" w:w="547"/>
            <w:tcMar>
              <w:top w:w="20" w:type="dxa"/>
              <w:bottom w:w="20" w:type="dxa"/>
              <w:left w:w="15" w:type="dxa"/>
              <w:right w:w="15" w:type="dxa"/>
            </w:tcMar>
          </w:tcPr>
          <w:p>
            <w:pPr>
              <w:jc w:val="center"/>
            </w:pPr>
            <w:r>
              <w:rPr>
                <w:sz w:val="14"/>
              </w:rPr>
              <w:t>66.0%</w:t>
            </w:r>
          </w:p>
        </w:tc>
        <w:tc>
          <w:tcPr>
            <w:tcW w:type="dxa" w:w="547"/>
            <w:tcMar>
              <w:top w:w="20" w:type="dxa"/>
              <w:bottom w:w="20" w:type="dxa"/>
              <w:left w:w="15" w:type="dxa"/>
              <w:right w:w="15" w:type="dxa"/>
            </w:tcMar>
          </w:tcPr>
          <w:p>
            <w:pPr>
              <w:jc w:val="center"/>
            </w:pPr>
            <w:r>
              <w:rPr>
                <w:sz w:val="14"/>
              </w:rPr>
              <w:t>71.4%</w:t>
            </w:r>
          </w:p>
        </w:tc>
        <w:tc>
          <w:tcPr>
            <w:tcW w:type="dxa" w:w="720"/>
            <w:tcMar>
              <w:top w:w="20" w:type="dxa"/>
              <w:bottom w:w="20" w:type="dxa"/>
              <w:left w:w="15" w:type="dxa"/>
              <w:right w:w="15" w:type="dxa"/>
            </w:tcMar>
          </w:tcPr>
          <w:p>
            <w:pPr>
              <w:jc w:val="center"/>
            </w:pPr>
            <w:r>
              <w:rPr>
                <w:sz w:val="14"/>
              </w:rPr>
              <w:t>35/10/18/18</w:t>
            </w:r>
          </w:p>
        </w:tc>
      </w:tr>
      <w:tr>
        <w:trPr>
          <w:cantSplit/>
        </w:trPr>
        <w:tc>
          <w:tcPr>
            <w:tcW w:type="dxa" w:w="792"/>
            <w:tcMar>
              <w:top w:w="20" w:type="dxa"/>
              <w:bottom w:w="20" w:type="dxa"/>
              <w:left w:w="15" w:type="dxa"/>
              <w:right w:w="15" w:type="dxa"/>
            </w:tcMar>
          </w:tcPr>
          <w:p>
            <w:pPr>
              <w:jc w:val="left"/>
            </w:pPr>
            <w:r>
              <w:rPr>
                <w:sz w:val="14"/>
              </w:rPr>
            </w:r>
          </w:p>
        </w:tc>
        <w:tc>
          <w:tcPr>
            <w:tcW w:type="dxa" w:w="1368"/>
            <w:tcMar>
              <w:top w:w="20" w:type="dxa"/>
              <w:bottom w:w="20" w:type="dxa"/>
              <w:left w:w="15" w:type="dxa"/>
              <w:right w:w="15" w:type="dxa"/>
            </w:tcMar>
          </w:tcPr>
          <w:p>
            <w:pPr>
              <w:jc w:val="left"/>
            </w:pPr>
            <w:r>
              <w:rPr>
                <w:sz w:val="14"/>
              </w:rPr>
              <w:t>Method C (Raw Gemini)</w:t>
            </w:r>
          </w:p>
        </w:tc>
        <w:tc>
          <w:tcPr>
            <w:tcW w:type="dxa" w:w="547"/>
            <w:tcMar>
              <w:top w:w="20" w:type="dxa"/>
              <w:bottom w:w="20" w:type="dxa"/>
              <w:left w:w="15" w:type="dxa"/>
              <w:right w:w="15" w:type="dxa"/>
            </w:tcMar>
          </w:tcPr>
          <w:p>
            <w:pPr>
              <w:jc w:val="center"/>
            </w:pPr>
            <w:r>
              <w:rPr>
                <w:sz w:val="14"/>
              </w:rPr>
              <w:t>39.5%</w:t>
            </w:r>
          </w:p>
        </w:tc>
        <w:tc>
          <w:tcPr>
            <w:tcW w:type="dxa" w:w="547"/>
            <w:tcMar>
              <w:top w:w="20" w:type="dxa"/>
              <w:bottom w:w="20" w:type="dxa"/>
              <w:left w:w="15" w:type="dxa"/>
              <w:right w:w="15" w:type="dxa"/>
            </w:tcMar>
          </w:tcPr>
          <w:p>
            <w:pPr>
              <w:jc w:val="center"/>
            </w:pPr>
            <w:r>
              <w:rPr>
                <w:sz w:val="14"/>
              </w:rPr>
              <w:t>54.5%</w:t>
            </w:r>
          </w:p>
        </w:tc>
        <w:tc>
          <w:tcPr>
            <w:tcW w:type="dxa" w:w="547"/>
            <w:tcMar>
              <w:top w:w="20" w:type="dxa"/>
              <w:bottom w:w="20" w:type="dxa"/>
              <w:left w:w="15" w:type="dxa"/>
              <w:right w:w="15" w:type="dxa"/>
            </w:tcMar>
          </w:tcPr>
          <w:p>
            <w:pPr>
              <w:jc w:val="center"/>
            </w:pPr>
            <w:r>
              <w:rPr>
                <w:sz w:val="14"/>
              </w:rPr>
              <w:t>22.6%</w:t>
            </w:r>
          </w:p>
        </w:tc>
        <w:tc>
          <w:tcPr>
            <w:tcW w:type="dxa" w:w="547"/>
            <w:tcMar>
              <w:top w:w="20" w:type="dxa"/>
              <w:bottom w:w="20" w:type="dxa"/>
              <w:left w:w="15" w:type="dxa"/>
              <w:right w:w="15" w:type="dxa"/>
            </w:tcMar>
          </w:tcPr>
          <w:p>
            <w:pPr>
              <w:jc w:val="center"/>
            </w:pPr>
            <w:r>
              <w:rPr>
                <w:sz w:val="14"/>
              </w:rPr>
              <w:t>32.0%</w:t>
            </w:r>
          </w:p>
        </w:tc>
        <w:tc>
          <w:tcPr>
            <w:tcW w:type="dxa" w:w="720"/>
            <w:tcMar>
              <w:top w:w="20" w:type="dxa"/>
              <w:bottom w:w="20" w:type="dxa"/>
              <w:left w:w="15" w:type="dxa"/>
              <w:right w:w="15" w:type="dxa"/>
            </w:tcMar>
          </w:tcPr>
          <w:p>
            <w:pPr>
              <w:jc w:val="center"/>
            </w:pPr>
            <w:r>
              <w:rPr>
                <w:sz w:val="14"/>
              </w:rPr>
              <w:t>12/10/18/41</w:t>
            </w:r>
          </w:p>
        </w:tc>
      </w:tr>
      <w:tr>
        <w:trPr>
          <w:cantSplit/>
        </w:trPr>
        <w:tc>
          <w:tcPr>
            <w:tcW w:type="dxa" w:w="792"/>
            <w:tcMar>
              <w:top w:w="20" w:type="dxa"/>
              <w:bottom w:w="20" w:type="dxa"/>
              <w:left w:w="15" w:type="dxa"/>
              <w:right w:w="15" w:type="dxa"/>
            </w:tcMar>
          </w:tcPr>
          <w:p>
            <w:pPr>
              <w:jc w:val="left"/>
            </w:pPr>
            <w:r>
              <w:rPr>
                <w:sz w:val="14"/>
              </w:rPr>
            </w:r>
          </w:p>
        </w:tc>
        <w:tc>
          <w:tcPr>
            <w:tcW w:type="dxa" w:w="1368"/>
            <w:tcMar>
              <w:top w:w="20" w:type="dxa"/>
              <w:bottom w:w="20" w:type="dxa"/>
              <w:left w:w="15" w:type="dxa"/>
              <w:right w:w="15" w:type="dxa"/>
            </w:tcMar>
          </w:tcPr>
          <w:p>
            <w:pPr>
              <w:jc w:val="left"/>
            </w:pPr>
            <w:r>
              <w:rPr>
                <w:sz w:val="14"/>
              </w:rPr>
              <w:t>Method D (Gemini+FW)</w:t>
            </w:r>
          </w:p>
        </w:tc>
        <w:tc>
          <w:tcPr>
            <w:tcW w:type="dxa" w:w="547"/>
            <w:tcMar>
              <w:top w:w="20" w:type="dxa"/>
              <w:bottom w:w="20" w:type="dxa"/>
              <w:left w:w="15" w:type="dxa"/>
              <w:right w:w="15" w:type="dxa"/>
            </w:tcMar>
          </w:tcPr>
          <w:p>
            <w:pPr>
              <w:jc w:val="center"/>
            </w:pPr>
            <w:r>
              <w:rPr>
                <w:sz w:val="14"/>
              </w:rPr>
              <w:t>39.5%</w:t>
            </w:r>
          </w:p>
        </w:tc>
        <w:tc>
          <w:tcPr>
            <w:tcW w:type="dxa" w:w="547"/>
            <w:tcMar>
              <w:top w:w="20" w:type="dxa"/>
              <w:bottom w:w="20" w:type="dxa"/>
              <w:left w:w="15" w:type="dxa"/>
              <w:right w:w="15" w:type="dxa"/>
            </w:tcMar>
          </w:tcPr>
          <w:p>
            <w:pPr>
              <w:jc w:val="center"/>
            </w:pPr>
            <w:r>
              <w:rPr>
                <w:sz w:val="14"/>
              </w:rPr>
              <w:t>60.0%</w:t>
            </w:r>
          </w:p>
        </w:tc>
        <w:tc>
          <w:tcPr>
            <w:tcW w:type="dxa" w:w="547"/>
            <w:tcMar>
              <w:top w:w="20" w:type="dxa"/>
              <w:bottom w:w="20" w:type="dxa"/>
              <w:left w:w="15" w:type="dxa"/>
              <w:right w:w="15" w:type="dxa"/>
            </w:tcMar>
          </w:tcPr>
          <w:p>
            <w:pPr>
              <w:jc w:val="center"/>
            </w:pPr>
            <w:r>
              <w:rPr>
                <w:sz w:val="14"/>
              </w:rPr>
              <w:t>22.6%</w:t>
            </w:r>
          </w:p>
        </w:tc>
        <w:tc>
          <w:tcPr>
            <w:tcW w:type="dxa" w:w="547"/>
            <w:tcMar>
              <w:top w:w="20" w:type="dxa"/>
              <w:bottom w:w="20" w:type="dxa"/>
              <w:left w:w="15" w:type="dxa"/>
              <w:right w:w="15" w:type="dxa"/>
            </w:tcMar>
          </w:tcPr>
          <w:p>
            <w:pPr>
              <w:jc w:val="center"/>
            </w:pPr>
            <w:r>
              <w:rPr>
                <w:sz w:val="14"/>
              </w:rPr>
              <w:t>32.8%</w:t>
            </w:r>
          </w:p>
        </w:tc>
        <w:tc>
          <w:tcPr>
            <w:tcW w:type="dxa" w:w="720"/>
            <w:tcMar>
              <w:top w:w="20" w:type="dxa"/>
              <w:bottom w:w="20" w:type="dxa"/>
              <w:left w:w="15" w:type="dxa"/>
              <w:right w:w="15" w:type="dxa"/>
            </w:tcMar>
          </w:tcPr>
          <w:p>
            <w:pPr>
              <w:jc w:val="center"/>
            </w:pPr>
            <w:r>
              <w:rPr>
                <w:sz w:val="14"/>
              </w:rPr>
              <w:t>12/8/20/41</w:t>
            </w:r>
          </w:p>
        </w:tc>
      </w:tr>
    </w:tbl>
    <w:p>
      <w:pPr>
        <w:spacing w:before="0" w:after="80" w:line="245" w:lineRule="auto"/>
        <w:jc w:val="both"/>
      </w:pPr>
      <w:r>
        <w:rPr>
          <w:rFonts w:ascii="Times New Roman" w:hAnsi="Times New Roman"/>
          <w:sz w:val="20"/>
        </w:rPr>
        <w:t>On the 81 audited unseen schemas (zero data leakage), deterministic rules degraded to 3.7% accuracy and 7.2% F1. String heuristics maintained 65.4% accuracy and 71.4% F1 due to character token overlap. The proposed Gemini-Firewall pipeline achieved 39.5% accuracy, 60.0% precision, and 32.8% F1, demonstrating LLM-assisted semantic mapping on unseen schemas while showing that token heuristics remain competitive when raw strings preserve partial lexical tokens.</w:t>
      </w:r>
    </w:p>
    <w:p>
      <w:pPr>
        <w:keepNext/>
        <w:spacing w:before="160" w:after="40"/>
        <w:jc w:val="left"/>
      </w:pPr>
      <w:r>
        <w:rPr>
          <w:rFonts w:ascii="Times New Roman" w:hAnsi="Times New Roman"/>
          <w:i/>
          <w:sz w:val="20"/>
        </w:rPr>
        <w:t>C. Validation Firewall Failure Injection (N = 10)</w:t>
      </w:r>
    </w:p>
    <w:p>
      <w:pPr>
        <w:spacing w:before="0" w:after="80" w:line="245" w:lineRule="auto"/>
        <w:jc w:val="both"/>
      </w:pPr>
      <w:r>
        <w:rPr>
          <w:rFonts w:ascii="Times New Roman" w:hAnsi="Times New Roman"/>
          <w:sz w:val="20"/>
        </w:rPr>
        <w:t>Table III details the boundary injection results.</w:t>
      </w:r>
    </w:p>
    <w:p>
      <w:pPr>
        <w:spacing w:before="80" w:after="40"/>
        <w:jc w:val="center"/>
      </w:pPr>
      <w:r>
        <w:rPr>
          <w:rFonts w:ascii="Times New Roman" w:hAnsi="Times New Roman"/>
          <w:b/>
          <w:sz w:val="16"/>
        </w:rPr>
        <w:t>TABLE III.  10-CASE SAFETY BOUNDARY INJECTION SUITE</w:t>
      </w:r>
    </w:p>
    <w:tbl>
      <w:tblPr>
        <w:tblW w:type="auto" w:w="0"/>
        <w:jc w:val="center"/>
        <w:tblLook w:firstColumn="1" w:firstRow="1" w:lastColumn="0" w:lastRow="0" w:noHBand="0" w:noVBand="1" w:val="04A0"/>
        <w:tblBorders>
          <w:top w:val="single" w:sz="4" w:space="0" w:color="7F8C8D"/>
          <w:bottom w:val="single" w:sz="4" w:space="0" w:color="7F8C8D"/>
          <w:insideH w:val="single" w:sz="4" w:space="0" w:color="D5D8DC"/>
          <w:insideV w:val="none"/>
          <w:left w:val="none"/>
          <w:right w:val="none"/>
        </w:tblBorders>
      </w:tblPr>
      <w:tblGrid>
        <w:gridCol w:w="2610"/>
        <w:gridCol w:w="2610"/>
        <w:gridCol w:w="2610"/>
        <w:gridCol w:w="2610"/>
      </w:tblGrid>
      <w:tr>
        <w:tc>
          <w:tcPr>
            <w:tcW w:type="dxa" w:w="360"/>
            <w:tcMar>
              <w:top w:w="20" w:type="dxa"/>
              <w:bottom w:w="20" w:type="dxa"/>
              <w:left w:w="20" w:type="dxa"/>
              <w:right w:w="20" w:type="dxa"/>
            </w:tcMar>
            <w:shd w:fill="EAECEE"/>
          </w:tcPr>
          <w:p>
            <w:pPr>
              <w:jc w:val="center"/>
            </w:pPr>
            <w:r>
              <w:rPr>
                <w:b/>
                <w:sz w:val="15"/>
              </w:rPr>
              <w:t>ID</w:t>
            </w:r>
          </w:p>
        </w:tc>
        <w:tc>
          <w:tcPr>
            <w:tcW w:type="dxa" w:w="2016"/>
            <w:tcMar>
              <w:top w:w="20" w:type="dxa"/>
              <w:bottom w:w="20" w:type="dxa"/>
              <w:left w:w="20" w:type="dxa"/>
              <w:right w:w="20" w:type="dxa"/>
            </w:tcMar>
            <w:shd w:fill="EAECEE"/>
          </w:tcPr>
          <w:p>
            <w:pPr>
              <w:jc w:val="center"/>
            </w:pPr>
            <w:r>
              <w:rPr>
                <w:b/>
                <w:sz w:val="15"/>
              </w:rPr>
              <w:t>Injected Failure Mode</w:t>
            </w:r>
          </w:p>
        </w:tc>
        <w:tc>
          <w:tcPr>
            <w:tcW w:type="dxa" w:w="2088"/>
            <w:tcMar>
              <w:top w:w="20" w:type="dxa"/>
              <w:bottom w:w="20" w:type="dxa"/>
              <w:left w:w="20" w:type="dxa"/>
              <w:right w:w="20" w:type="dxa"/>
            </w:tcMar>
            <w:shd w:fill="EAECEE"/>
          </w:tcPr>
          <w:p>
            <w:pPr>
              <w:jc w:val="center"/>
            </w:pPr>
            <w:r>
              <w:rPr>
                <w:b/>
                <w:sz w:val="15"/>
              </w:rPr>
              <w:t>Firewall Status Code</w:t>
            </w:r>
          </w:p>
        </w:tc>
        <w:tc>
          <w:tcPr>
            <w:tcW w:type="dxa" w:w="605"/>
            <w:tcMar>
              <w:top w:w="20" w:type="dxa"/>
              <w:bottom w:w="20" w:type="dxa"/>
              <w:left w:w="20" w:type="dxa"/>
              <w:right w:w="20" w:type="dxa"/>
            </w:tcMar>
            <w:shd w:fill="EAECEE"/>
          </w:tcPr>
          <w:p>
            <w:pPr>
              <w:jc w:val="center"/>
            </w:pPr>
            <w:r>
              <w:rPr>
                <w:b/>
                <w:sz w:val="15"/>
              </w:rPr>
              <w:t>Mut?</w:t>
            </w:r>
          </w:p>
        </w:tc>
      </w:tr>
      <w:tr>
        <w:trPr>
          <w:cantSplit/>
        </w:trPr>
        <w:tc>
          <w:tcPr>
            <w:tcW w:type="dxa" w:w="360"/>
            <w:tcMar>
              <w:top w:w="20" w:type="dxa"/>
              <w:bottom w:w="20" w:type="dxa"/>
              <w:left w:w="20" w:type="dxa"/>
              <w:right w:w="20" w:type="dxa"/>
            </w:tcMar>
          </w:tcPr>
          <w:p>
            <w:pPr>
              <w:jc w:val="center"/>
            </w:pPr>
            <w:r>
              <w:rPr>
                <w:sz w:val="15"/>
              </w:rPr>
              <w:t>1</w:t>
            </w:r>
          </w:p>
        </w:tc>
        <w:tc>
          <w:tcPr>
            <w:tcW w:type="dxa" w:w="2016"/>
            <w:tcMar>
              <w:top w:w="20" w:type="dxa"/>
              <w:bottom w:w="20" w:type="dxa"/>
              <w:left w:w="20" w:type="dxa"/>
              <w:right w:w="20" w:type="dxa"/>
            </w:tcMar>
          </w:tcPr>
          <w:p>
            <w:pPr>
              <w:jc w:val="left"/>
            </w:pPr>
            <w:r>
              <w:rPr>
                <w:sz w:val="15"/>
              </w:rPr>
              <w:t>Gemini Timeout / Abort</w:t>
            </w:r>
          </w:p>
        </w:tc>
        <w:tc>
          <w:tcPr>
            <w:tcW w:type="dxa" w:w="2088"/>
            <w:tcMar>
              <w:top w:w="20" w:type="dxa"/>
              <w:bottom w:w="20" w:type="dxa"/>
              <w:left w:w="20" w:type="dxa"/>
              <w:right w:w="20" w:type="dxa"/>
            </w:tcMar>
          </w:tcPr>
          <w:p>
            <w:pPr>
              <w:jc w:val="left"/>
            </w:pPr>
            <w:r>
              <w:rPr>
                <w:sz w:val="15"/>
              </w:rPr>
              <w:t>UNKNOWN_ENTITY (R_1)</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2</w:t>
            </w:r>
          </w:p>
        </w:tc>
        <w:tc>
          <w:tcPr>
            <w:tcW w:type="dxa" w:w="2016"/>
            <w:tcMar>
              <w:top w:w="20" w:type="dxa"/>
              <w:bottom w:w="20" w:type="dxa"/>
              <w:left w:w="20" w:type="dxa"/>
              <w:right w:w="20" w:type="dxa"/>
            </w:tcMar>
          </w:tcPr>
          <w:p>
            <w:pPr>
              <w:jc w:val="left"/>
            </w:pPr>
            <w:r>
              <w:rPr>
                <w:sz w:val="15"/>
              </w:rPr>
              <w:t>HTTP 429 Quota Error</w:t>
            </w:r>
          </w:p>
        </w:tc>
        <w:tc>
          <w:tcPr>
            <w:tcW w:type="dxa" w:w="2088"/>
            <w:tcMar>
              <w:top w:w="20" w:type="dxa"/>
              <w:bottom w:w="20" w:type="dxa"/>
              <w:left w:w="20" w:type="dxa"/>
              <w:right w:w="20" w:type="dxa"/>
            </w:tcMar>
          </w:tcPr>
          <w:p>
            <w:pPr>
              <w:jc w:val="left"/>
            </w:pPr>
            <w:r>
              <w:rPr>
                <w:sz w:val="15"/>
              </w:rPr>
              <w:t>UNKNOWN_ENTITY (R_1)</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3</w:t>
            </w:r>
          </w:p>
        </w:tc>
        <w:tc>
          <w:tcPr>
            <w:tcW w:type="dxa" w:w="2016"/>
            <w:tcMar>
              <w:top w:w="20" w:type="dxa"/>
              <w:bottom w:w="20" w:type="dxa"/>
              <w:left w:w="20" w:type="dxa"/>
              <w:right w:w="20" w:type="dxa"/>
            </w:tcMar>
          </w:tcPr>
          <w:p>
            <w:pPr>
              <w:jc w:val="left"/>
            </w:pPr>
            <w:r>
              <w:rPr>
                <w:sz w:val="15"/>
              </w:rPr>
              <w:t>Malformed JSON Syntax</w:t>
            </w:r>
          </w:p>
        </w:tc>
        <w:tc>
          <w:tcPr>
            <w:tcW w:type="dxa" w:w="2088"/>
            <w:tcMar>
              <w:top w:w="20" w:type="dxa"/>
              <w:bottom w:w="20" w:type="dxa"/>
              <w:left w:w="20" w:type="dxa"/>
              <w:right w:w="20" w:type="dxa"/>
            </w:tcMar>
          </w:tcPr>
          <w:p>
            <w:pPr>
              <w:jc w:val="left"/>
            </w:pPr>
            <w:r>
              <w:rPr>
                <w:sz w:val="15"/>
              </w:rPr>
              <w:t>SCHEMA_ERROR (R_1)</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4</w:t>
            </w:r>
          </w:p>
        </w:tc>
        <w:tc>
          <w:tcPr>
            <w:tcW w:type="dxa" w:w="2016"/>
            <w:tcMar>
              <w:top w:w="20" w:type="dxa"/>
              <w:bottom w:w="20" w:type="dxa"/>
              <w:left w:w="20" w:type="dxa"/>
              <w:right w:w="20" w:type="dxa"/>
            </w:tcMar>
          </w:tcPr>
          <w:p>
            <w:pPr>
              <w:jc w:val="left"/>
            </w:pPr>
            <w:r>
              <w:rPr>
                <w:sz w:val="15"/>
              </w:rPr>
              <w:t>Unregistered Field</w:t>
            </w:r>
          </w:p>
        </w:tc>
        <w:tc>
          <w:tcPr>
            <w:tcW w:type="dxa" w:w="2088"/>
            <w:tcMar>
              <w:top w:w="20" w:type="dxa"/>
              <w:bottom w:w="20" w:type="dxa"/>
              <w:left w:w="20" w:type="dxa"/>
              <w:right w:w="20" w:type="dxa"/>
            </w:tcMar>
          </w:tcPr>
          <w:p>
            <w:pPr>
              <w:jc w:val="left"/>
            </w:pPr>
            <w:r>
              <w:rPr>
                <w:sz w:val="15"/>
              </w:rPr>
              <w:t>REJECTED_UNKNOWN_FIELD (R_6)</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5</w:t>
            </w:r>
          </w:p>
        </w:tc>
        <w:tc>
          <w:tcPr>
            <w:tcW w:type="dxa" w:w="2016"/>
            <w:tcMar>
              <w:top w:w="20" w:type="dxa"/>
              <w:bottom w:w="20" w:type="dxa"/>
              <w:left w:w="20" w:type="dxa"/>
              <w:right w:w="20" w:type="dxa"/>
            </w:tcMar>
          </w:tcPr>
          <w:p>
            <w:pPr>
              <w:jc w:val="left"/>
            </w:pPr>
            <w:r>
              <w:rPr>
                <w:sz w:val="15"/>
              </w:rPr>
              <w:t>Unknown Zone Token</w:t>
            </w:r>
          </w:p>
        </w:tc>
        <w:tc>
          <w:tcPr>
            <w:tcW w:type="dxa" w:w="2088"/>
            <w:tcMar>
              <w:top w:w="20" w:type="dxa"/>
              <w:bottom w:w="20" w:type="dxa"/>
              <w:left w:w="20" w:type="dxa"/>
              <w:right w:w="20" w:type="dxa"/>
            </w:tcMar>
          </w:tcPr>
          <w:p>
            <w:pPr>
              <w:jc w:val="left"/>
            </w:pPr>
            <w:r>
              <w:rPr>
                <w:sz w:val="15"/>
              </w:rPr>
              <w:t>UNKNOWN_ENTITY (R_2)</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6</w:t>
            </w:r>
          </w:p>
        </w:tc>
        <w:tc>
          <w:tcPr>
            <w:tcW w:type="dxa" w:w="2016"/>
            <w:tcMar>
              <w:top w:w="20" w:type="dxa"/>
              <w:bottom w:w="20" w:type="dxa"/>
              <w:left w:w="20" w:type="dxa"/>
              <w:right w:w="20" w:type="dxa"/>
            </w:tcMar>
          </w:tcPr>
          <w:p>
            <w:pPr>
              <w:jc w:val="left"/>
            </w:pPr>
            <w:r>
              <w:rPr>
                <w:sz w:val="15"/>
              </w:rPr>
              <w:t>Hallucinated Space</w:t>
            </w:r>
          </w:p>
        </w:tc>
        <w:tc>
          <w:tcPr>
            <w:tcW w:type="dxa" w:w="2088"/>
            <w:tcMar>
              <w:top w:w="20" w:type="dxa"/>
              <w:bottom w:w="20" w:type="dxa"/>
              <w:left w:w="20" w:type="dxa"/>
              <w:right w:w="20" w:type="dxa"/>
            </w:tcMar>
          </w:tcPr>
          <w:p>
            <w:pPr>
              <w:jc w:val="left"/>
            </w:pPr>
            <w:r>
              <w:rPr>
                <w:sz w:val="15"/>
              </w:rPr>
              <w:t>REJECTED_UNKNOWN_ENTITY (R_3)</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7</w:t>
            </w:r>
          </w:p>
        </w:tc>
        <w:tc>
          <w:tcPr>
            <w:tcW w:type="dxa" w:w="2016"/>
            <w:tcMar>
              <w:top w:w="20" w:type="dxa"/>
              <w:bottom w:w="20" w:type="dxa"/>
              <w:left w:w="20" w:type="dxa"/>
              <w:right w:w="20" w:type="dxa"/>
            </w:tcMar>
          </w:tcPr>
          <w:p>
            <w:pPr>
              <w:jc w:val="left"/>
            </w:pPr>
            <w:r>
              <w:rPr>
                <w:sz w:val="15"/>
              </w:rPr>
              <w:t>Out-of-Bounds Reading</w:t>
            </w:r>
          </w:p>
        </w:tc>
        <w:tc>
          <w:tcPr>
            <w:tcW w:type="dxa" w:w="2088"/>
            <w:tcMar>
              <w:top w:w="20" w:type="dxa"/>
              <w:bottom w:w="20" w:type="dxa"/>
              <w:left w:w="20" w:type="dxa"/>
              <w:right w:w="20" w:type="dxa"/>
            </w:tcMar>
          </w:tcPr>
          <w:p>
            <w:pPr>
              <w:jc w:val="left"/>
            </w:pPr>
            <w:r>
              <w:rPr>
                <w:sz w:val="15"/>
              </w:rPr>
              <w:t>REJECTED_OUT_OF_BOUNDS (R_7)</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8</w:t>
            </w:r>
          </w:p>
        </w:tc>
        <w:tc>
          <w:tcPr>
            <w:tcW w:type="dxa" w:w="2016"/>
            <w:tcMar>
              <w:top w:w="20" w:type="dxa"/>
              <w:bottom w:w="20" w:type="dxa"/>
              <w:left w:w="20" w:type="dxa"/>
              <w:right w:w="20" w:type="dxa"/>
            </w:tcMar>
          </w:tcPr>
          <w:p>
            <w:pPr>
              <w:jc w:val="left"/>
            </w:pPr>
            <w:r>
              <w:rPr>
                <w:sz w:val="15"/>
              </w:rPr>
              <w:t>Ambiguous Match</w:t>
            </w:r>
          </w:p>
        </w:tc>
        <w:tc>
          <w:tcPr>
            <w:tcW w:type="dxa" w:w="2088"/>
            <w:tcMar>
              <w:top w:w="20" w:type="dxa"/>
              <w:bottom w:w="20" w:type="dxa"/>
              <w:left w:w="20" w:type="dxa"/>
              <w:right w:w="20" w:type="dxa"/>
            </w:tcMar>
          </w:tcPr>
          <w:p>
            <w:pPr>
              <w:jc w:val="left"/>
            </w:pPr>
            <w:r>
              <w:rPr>
                <w:sz w:val="15"/>
              </w:rPr>
              <w:t>LOW_CONFIDENCE_MARGIN (R_5)</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9</w:t>
            </w:r>
          </w:p>
        </w:tc>
        <w:tc>
          <w:tcPr>
            <w:tcW w:type="dxa" w:w="2016"/>
            <w:tcMar>
              <w:top w:w="20" w:type="dxa"/>
              <w:bottom w:w="20" w:type="dxa"/>
              <w:left w:w="20" w:type="dxa"/>
              <w:right w:w="20" w:type="dxa"/>
            </w:tcMar>
          </w:tcPr>
          <w:p>
            <w:pPr>
              <w:jc w:val="left"/>
            </w:pPr>
            <w:r>
              <w:rPr>
                <w:sz w:val="15"/>
              </w:rPr>
              <w:t>Sub-Threshold Conf.</w:t>
            </w:r>
          </w:p>
        </w:tc>
        <w:tc>
          <w:tcPr>
            <w:tcW w:type="dxa" w:w="2088"/>
            <w:tcMar>
              <w:top w:w="20" w:type="dxa"/>
              <w:bottom w:w="20" w:type="dxa"/>
              <w:left w:w="20" w:type="dxa"/>
              <w:right w:w="20" w:type="dxa"/>
            </w:tcMar>
          </w:tcPr>
          <w:p>
            <w:pPr>
              <w:jc w:val="left"/>
            </w:pPr>
            <w:r>
              <w:rPr>
                <w:sz w:val="15"/>
              </w:rPr>
              <w:t>LOW_CONFIDENCE_SCORE (R_4)</w:t>
            </w:r>
          </w:p>
        </w:tc>
        <w:tc>
          <w:tcPr>
            <w:tcW w:type="dxa" w:w="605"/>
            <w:tcMar>
              <w:top w:w="20" w:type="dxa"/>
              <w:bottom w:w="20" w:type="dxa"/>
              <w:left w:w="20" w:type="dxa"/>
              <w:right w:w="20" w:type="dxa"/>
            </w:tcMar>
          </w:tcPr>
          <w:p>
            <w:pPr>
              <w:jc w:val="center"/>
            </w:pPr>
            <w:r>
              <w:rPr>
                <w:sz w:val="15"/>
              </w:rPr>
              <w:t>NO</w:t>
            </w:r>
          </w:p>
        </w:tc>
      </w:tr>
      <w:tr>
        <w:trPr>
          <w:cantSplit/>
        </w:trPr>
        <w:tc>
          <w:tcPr>
            <w:tcW w:type="dxa" w:w="360"/>
            <w:tcMar>
              <w:top w:w="20" w:type="dxa"/>
              <w:bottom w:w="20" w:type="dxa"/>
              <w:left w:w="20" w:type="dxa"/>
              <w:right w:w="20" w:type="dxa"/>
            </w:tcMar>
          </w:tcPr>
          <w:p>
            <w:pPr>
              <w:jc w:val="center"/>
            </w:pPr>
            <w:r>
              <w:rPr>
                <w:sz w:val="15"/>
              </w:rPr>
              <w:t>10</w:t>
            </w:r>
          </w:p>
        </w:tc>
        <w:tc>
          <w:tcPr>
            <w:tcW w:type="dxa" w:w="2016"/>
            <w:tcMar>
              <w:top w:w="20" w:type="dxa"/>
              <w:bottom w:w="20" w:type="dxa"/>
              <w:left w:w="20" w:type="dxa"/>
              <w:right w:w="20" w:type="dxa"/>
            </w:tcMar>
          </w:tcPr>
          <w:p>
            <w:pPr>
              <w:jc w:val="left"/>
            </w:pPr>
            <w:r>
              <w:rPr>
                <w:sz w:val="15"/>
              </w:rPr>
              <w:t>Stale Timestamp (3.8s)</w:t>
            </w:r>
          </w:p>
        </w:tc>
        <w:tc>
          <w:tcPr>
            <w:tcW w:type="dxa" w:w="2088"/>
            <w:tcMar>
              <w:top w:w="20" w:type="dxa"/>
              <w:bottom w:w="20" w:type="dxa"/>
              <w:left w:w="20" w:type="dxa"/>
              <w:right w:w="20" w:type="dxa"/>
            </w:tcMar>
          </w:tcPr>
          <w:p>
            <w:pPr>
              <w:jc w:val="left"/>
            </w:pPr>
            <w:r>
              <w:rPr>
                <w:sz w:val="15"/>
              </w:rPr>
              <w:t>Downstream Freshness Rejection</w:t>
            </w:r>
          </w:p>
        </w:tc>
        <w:tc>
          <w:tcPr>
            <w:tcW w:type="dxa" w:w="605"/>
            <w:tcMar>
              <w:top w:w="20" w:type="dxa"/>
              <w:bottom w:w="20" w:type="dxa"/>
              <w:left w:w="20" w:type="dxa"/>
              <w:right w:w="20" w:type="dxa"/>
            </w:tcMar>
          </w:tcPr>
          <w:p>
            <w:pPr>
              <w:jc w:val="center"/>
            </w:pPr>
            <w:r>
              <w:rPr>
                <w:sz w:val="15"/>
              </w:rPr>
              <w:t>NO</w:t>
            </w:r>
          </w:p>
        </w:tc>
      </w:tr>
    </w:tbl>
    <w:p>
      <w:pPr>
        <w:spacing w:before="0" w:after="80" w:line="245" w:lineRule="auto"/>
        <w:jc w:val="both"/>
      </w:pPr>
      <w:r>
        <w:rPr>
          <w:rFonts w:ascii="Times New Roman" w:hAnsi="Times New Roman"/>
          <w:sz w:val="20"/>
        </w:rPr>
        <w:t>Nine of ten anomalous inputs were quarantined at the semantic validation boundary; the remaining stale-telemetry case was rejected downstream by timestamp-freshness validation, resulting in zero unauthorized Digital Twin state mutations.</w:t>
      </w:r>
    </w:p>
    <w:p>
      <w:pPr>
        <w:keepNext/>
        <w:spacing w:before="160" w:after="40"/>
        <w:jc w:val="left"/>
      </w:pPr>
      <w:r>
        <w:rPr>
          <w:rFonts w:ascii="Times New Roman" w:hAnsi="Times New Roman"/>
          <w:i/>
          <w:sz w:val="20"/>
        </w:rPr>
        <w:t>D. System Latency Breakdown</w:t>
      </w:r>
    </w:p>
    <w:p>
      <w:pPr>
        <w:spacing w:before="0" w:after="80" w:line="245" w:lineRule="auto"/>
        <w:jc w:val="both"/>
      </w:pPr>
      <w:r>
        <w:rPr>
          <w:rFonts w:ascii="Times New Roman" w:hAnsi="Times New Roman"/>
          <w:sz w:val="20"/>
        </w:rPr>
        <w:t>Table IV reports execution latency across cold and warm processing paths.</w:t>
      </w:r>
    </w:p>
    <w:p>
      <w:pPr>
        <w:spacing w:before="80" w:after="40"/>
        <w:jc w:val="center"/>
      </w:pPr>
      <w:r>
        <w:rPr>
          <w:rFonts w:ascii="Times New Roman" w:hAnsi="Times New Roman"/>
          <w:b/>
          <w:sz w:val="16"/>
        </w:rPr>
        <w:t>TABLE IV.  SYSTEM LATENCY BREAKDOWN ACROSS PATHS</w:t>
      </w:r>
    </w:p>
    <w:tbl>
      <w:tblPr>
        <w:tblW w:type="auto" w:w="0"/>
        <w:jc w:val="center"/>
        <w:tblLook w:firstColumn="1" w:firstRow="1" w:lastColumn="0" w:lastRow="0" w:noHBand="0" w:noVBand="1" w:val="04A0"/>
        <w:tblBorders>
          <w:top w:val="single" w:sz="4" w:space="0" w:color="7F8C8D"/>
          <w:bottom w:val="single" w:sz="4" w:space="0" w:color="7F8C8D"/>
          <w:insideH w:val="single" w:sz="4" w:space="0" w:color="D5D8DC"/>
          <w:insideV w:val="none"/>
          <w:left w:val="none"/>
          <w:right w:val="none"/>
        </w:tblBorders>
      </w:tblPr>
      <w:tblGrid>
        <w:gridCol w:w="2088"/>
        <w:gridCol w:w="2088"/>
        <w:gridCol w:w="2088"/>
        <w:gridCol w:w="2088"/>
        <w:gridCol w:w="2088"/>
      </w:tblGrid>
      <w:tr>
        <w:tc>
          <w:tcPr>
            <w:tcW w:type="dxa" w:w="2376"/>
            <w:tcMar>
              <w:top w:w="20" w:type="dxa"/>
              <w:bottom w:w="20" w:type="dxa"/>
              <w:left w:w="20" w:type="dxa"/>
              <w:right w:w="20" w:type="dxa"/>
            </w:tcMar>
            <w:shd w:fill="EAECEE"/>
          </w:tcPr>
          <w:p>
            <w:pPr>
              <w:jc w:val="center"/>
            </w:pPr>
            <w:r>
              <w:rPr>
                <w:b/>
                <w:sz w:val="15"/>
              </w:rPr>
              <w:t>Component / Operation</w:t>
            </w:r>
          </w:p>
        </w:tc>
        <w:tc>
          <w:tcPr>
            <w:tcW w:type="dxa" w:w="432"/>
            <w:tcMar>
              <w:top w:w="20" w:type="dxa"/>
              <w:bottom w:w="20" w:type="dxa"/>
              <w:left w:w="20" w:type="dxa"/>
              <w:right w:w="20" w:type="dxa"/>
            </w:tcMar>
            <w:shd w:fill="EAECEE"/>
          </w:tcPr>
          <w:p>
            <w:pPr>
              <w:jc w:val="center"/>
            </w:pPr>
            <w:r>
              <w:rPr>
                <w:b/>
                <w:sz w:val="15"/>
              </w:rPr>
              <w:t>N</w:t>
            </w:r>
          </w:p>
        </w:tc>
        <w:tc>
          <w:tcPr>
            <w:tcW w:type="dxa" w:w="720"/>
            <w:tcMar>
              <w:top w:w="20" w:type="dxa"/>
              <w:bottom w:w="20" w:type="dxa"/>
              <w:left w:w="20" w:type="dxa"/>
              <w:right w:w="20" w:type="dxa"/>
            </w:tcMar>
            <w:shd w:fill="EAECEE"/>
          </w:tcPr>
          <w:p>
            <w:pPr>
              <w:jc w:val="center"/>
            </w:pPr>
            <w:r>
              <w:rPr>
                <w:b/>
                <w:sz w:val="15"/>
              </w:rPr>
              <w:t>Mean(ms)</w:t>
            </w:r>
          </w:p>
        </w:tc>
        <w:tc>
          <w:tcPr>
            <w:tcW w:type="dxa" w:w="720"/>
            <w:tcMar>
              <w:top w:w="20" w:type="dxa"/>
              <w:bottom w:w="20" w:type="dxa"/>
              <w:left w:w="20" w:type="dxa"/>
              <w:right w:w="20" w:type="dxa"/>
            </w:tcMar>
            <w:shd w:fill="EAECEE"/>
          </w:tcPr>
          <w:p>
            <w:pPr>
              <w:jc w:val="center"/>
            </w:pPr>
            <w:r>
              <w:rPr>
                <w:b/>
                <w:sz w:val="15"/>
              </w:rPr>
              <w:t>Med(ms)</w:t>
            </w:r>
          </w:p>
        </w:tc>
        <w:tc>
          <w:tcPr>
            <w:tcW w:type="dxa" w:w="792"/>
            <w:tcMar>
              <w:top w:w="20" w:type="dxa"/>
              <w:bottom w:w="20" w:type="dxa"/>
              <w:left w:w="20" w:type="dxa"/>
              <w:right w:w="20" w:type="dxa"/>
            </w:tcMar>
            <w:shd w:fill="EAECEE"/>
          </w:tcPr>
          <w:p>
            <w:pPr>
              <w:jc w:val="center"/>
            </w:pPr>
            <w:r>
              <w:rPr>
                <w:b/>
                <w:sz w:val="15"/>
              </w:rPr>
              <w:t>P95(ms)</w:t>
            </w:r>
          </w:p>
        </w:tc>
      </w:tr>
      <w:tr>
        <w:trPr>
          <w:cantSplit/>
        </w:trPr>
        <w:tc>
          <w:tcPr>
            <w:tcW w:type="dxa" w:w="2376"/>
            <w:tcMar>
              <w:top w:w="20" w:type="dxa"/>
              <w:bottom w:w="20" w:type="dxa"/>
              <w:left w:w="20" w:type="dxa"/>
              <w:right w:w="20" w:type="dxa"/>
            </w:tcMar>
          </w:tcPr>
          <w:p>
            <w:pPr>
              <w:jc w:val="left"/>
            </w:pPr>
            <w:r>
              <w:rPr>
                <w:sz w:val="15"/>
              </w:rPr>
              <w:t>Cold: Gemini API HTTP Call</w:t>
            </w:r>
          </w:p>
        </w:tc>
        <w:tc>
          <w:tcPr>
            <w:tcW w:type="dxa" w:w="432"/>
            <w:tcMar>
              <w:top w:w="20" w:type="dxa"/>
              <w:bottom w:w="20" w:type="dxa"/>
              <w:left w:w="20" w:type="dxa"/>
              <w:right w:w="20" w:type="dxa"/>
            </w:tcMar>
          </w:tcPr>
          <w:p>
            <w:pPr>
              <w:jc w:val="center"/>
            </w:pPr>
            <w:r>
              <w:rPr>
                <w:sz w:val="15"/>
              </w:rPr>
              <w:t>53</w:t>
            </w:r>
          </w:p>
        </w:tc>
        <w:tc>
          <w:tcPr>
            <w:tcW w:type="dxa" w:w="720"/>
            <w:tcMar>
              <w:top w:w="20" w:type="dxa"/>
              <w:bottom w:w="20" w:type="dxa"/>
              <w:left w:w="20" w:type="dxa"/>
              <w:right w:w="20" w:type="dxa"/>
            </w:tcMar>
          </w:tcPr>
          <w:p>
            <w:pPr>
              <w:jc w:val="center"/>
            </w:pPr>
            <w:r>
              <w:rPr>
                <w:sz w:val="15"/>
              </w:rPr>
              <w:t>2769.91</w:t>
            </w:r>
          </w:p>
        </w:tc>
        <w:tc>
          <w:tcPr>
            <w:tcW w:type="dxa" w:w="720"/>
            <w:tcMar>
              <w:top w:w="20" w:type="dxa"/>
              <w:bottom w:w="20" w:type="dxa"/>
              <w:left w:w="20" w:type="dxa"/>
              <w:right w:w="20" w:type="dxa"/>
            </w:tcMar>
          </w:tcPr>
          <w:p>
            <w:pPr>
              <w:jc w:val="center"/>
            </w:pPr>
            <w:r>
              <w:rPr>
                <w:sz w:val="15"/>
              </w:rPr>
              <w:t>2131.32</w:t>
            </w:r>
          </w:p>
        </w:tc>
        <w:tc>
          <w:tcPr>
            <w:tcW w:type="dxa" w:w="792"/>
            <w:tcMar>
              <w:top w:w="20" w:type="dxa"/>
              <w:bottom w:w="20" w:type="dxa"/>
              <w:left w:w="20" w:type="dxa"/>
              <w:right w:w="20" w:type="dxa"/>
            </w:tcMar>
          </w:tcPr>
          <w:p>
            <w:pPr>
              <w:jc w:val="center"/>
            </w:pPr>
            <w:r>
              <w:rPr>
                <w:sz w:val="15"/>
              </w:rPr>
              <w:t>5997.26</w:t>
            </w:r>
          </w:p>
        </w:tc>
      </w:tr>
      <w:tr>
        <w:trPr>
          <w:cantSplit/>
        </w:trPr>
        <w:tc>
          <w:tcPr>
            <w:tcW w:type="dxa" w:w="2376"/>
            <w:tcMar>
              <w:top w:w="20" w:type="dxa"/>
              <w:bottom w:w="20" w:type="dxa"/>
              <w:left w:w="20" w:type="dxa"/>
              <w:right w:w="20" w:type="dxa"/>
            </w:tcMar>
          </w:tcPr>
          <w:p>
            <w:pPr>
              <w:jc w:val="left"/>
            </w:pPr>
            <w:r>
              <w:rPr>
                <w:sz w:val="15"/>
              </w:rPr>
              <w:t>Cold: Validation Firewall</w:t>
            </w:r>
          </w:p>
        </w:tc>
        <w:tc>
          <w:tcPr>
            <w:tcW w:type="dxa" w:w="432"/>
            <w:tcMar>
              <w:top w:w="20" w:type="dxa"/>
              <w:bottom w:w="20" w:type="dxa"/>
              <w:left w:w="20" w:type="dxa"/>
              <w:right w:w="20" w:type="dxa"/>
            </w:tcMar>
          </w:tcPr>
          <w:p>
            <w:pPr>
              <w:jc w:val="center"/>
            </w:pPr>
            <w:r>
              <w:rPr>
                <w:sz w:val="15"/>
              </w:rPr>
              <w:t>53</w:t>
            </w:r>
          </w:p>
        </w:tc>
        <w:tc>
          <w:tcPr>
            <w:tcW w:type="dxa" w:w="720"/>
            <w:tcMar>
              <w:top w:w="20" w:type="dxa"/>
              <w:bottom w:w="20" w:type="dxa"/>
              <w:left w:w="20" w:type="dxa"/>
              <w:right w:w="20" w:type="dxa"/>
            </w:tcMar>
          </w:tcPr>
          <w:p>
            <w:pPr>
              <w:jc w:val="center"/>
            </w:pPr>
            <w:r>
              <w:rPr>
                <w:sz w:val="15"/>
              </w:rPr>
              <w:t>0.012</w:t>
            </w:r>
          </w:p>
        </w:tc>
        <w:tc>
          <w:tcPr>
            <w:tcW w:type="dxa" w:w="720"/>
            <w:tcMar>
              <w:top w:w="20" w:type="dxa"/>
              <w:bottom w:w="20" w:type="dxa"/>
              <w:left w:w="20" w:type="dxa"/>
              <w:right w:w="20" w:type="dxa"/>
            </w:tcMar>
          </w:tcPr>
          <w:p>
            <w:pPr>
              <w:jc w:val="center"/>
            </w:pPr>
            <w:r>
              <w:rPr>
                <w:sz w:val="15"/>
              </w:rPr>
              <w:t>0.011</w:t>
            </w:r>
          </w:p>
        </w:tc>
        <w:tc>
          <w:tcPr>
            <w:tcW w:type="dxa" w:w="792"/>
            <w:tcMar>
              <w:top w:w="20" w:type="dxa"/>
              <w:bottom w:w="20" w:type="dxa"/>
              <w:left w:w="20" w:type="dxa"/>
              <w:right w:w="20" w:type="dxa"/>
            </w:tcMar>
          </w:tcPr>
          <w:p>
            <w:pPr>
              <w:jc w:val="center"/>
            </w:pPr>
            <w:r>
              <w:rPr>
                <w:sz w:val="15"/>
              </w:rPr>
              <w:t>0.018</w:t>
            </w:r>
          </w:p>
        </w:tc>
      </w:tr>
      <w:tr>
        <w:trPr>
          <w:cantSplit/>
        </w:trPr>
        <w:tc>
          <w:tcPr>
            <w:tcW w:type="dxa" w:w="2376"/>
            <w:tcMar>
              <w:top w:w="20" w:type="dxa"/>
              <w:bottom w:w="20" w:type="dxa"/>
              <w:left w:w="20" w:type="dxa"/>
              <w:right w:w="20" w:type="dxa"/>
            </w:tcMar>
          </w:tcPr>
          <w:p>
            <w:pPr>
              <w:jc w:val="left"/>
            </w:pPr>
            <w:r>
              <w:rPr>
                <w:sz w:val="15"/>
              </w:rPr>
              <w:t>Cold: Total Onboarding Path</w:t>
            </w:r>
          </w:p>
        </w:tc>
        <w:tc>
          <w:tcPr>
            <w:tcW w:type="dxa" w:w="432"/>
            <w:tcMar>
              <w:top w:w="20" w:type="dxa"/>
              <w:bottom w:w="20" w:type="dxa"/>
              <w:left w:w="20" w:type="dxa"/>
              <w:right w:w="20" w:type="dxa"/>
            </w:tcMar>
          </w:tcPr>
          <w:p>
            <w:pPr>
              <w:jc w:val="center"/>
            </w:pPr>
            <w:r>
              <w:rPr>
                <w:sz w:val="15"/>
              </w:rPr>
              <w:t>53</w:t>
            </w:r>
          </w:p>
        </w:tc>
        <w:tc>
          <w:tcPr>
            <w:tcW w:type="dxa" w:w="720"/>
            <w:tcMar>
              <w:top w:w="20" w:type="dxa"/>
              <w:bottom w:w="20" w:type="dxa"/>
              <w:left w:w="20" w:type="dxa"/>
              <w:right w:w="20" w:type="dxa"/>
            </w:tcMar>
          </w:tcPr>
          <w:p>
            <w:pPr>
              <w:jc w:val="center"/>
            </w:pPr>
            <w:r>
              <w:rPr>
                <w:sz w:val="15"/>
              </w:rPr>
              <w:t>2770.02</w:t>
            </w:r>
          </w:p>
        </w:tc>
        <w:tc>
          <w:tcPr>
            <w:tcW w:type="dxa" w:w="720"/>
            <w:tcMar>
              <w:top w:w="20" w:type="dxa"/>
              <w:bottom w:w="20" w:type="dxa"/>
              <w:left w:w="20" w:type="dxa"/>
              <w:right w:w="20" w:type="dxa"/>
            </w:tcMar>
          </w:tcPr>
          <w:p>
            <w:pPr>
              <w:jc w:val="center"/>
            </w:pPr>
            <w:r>
              <w:rPr>
                <w:sz w:val="15"/>
              </w:rPr>
              <w:t>2131.43</w:t>
            </w:r>
          </w:p>
        </w:tc>
        <w:tc>
          <w:tcPr>
            <w:tcW w:type="dxa" w:w="792"/>
            <w:tcMar>
              <w:top w:w="20" w:type="dxa"/>
              <w:bottom w:w="20" w:type="dxa"/>
              <w:left w:w="20" w:type="dxa"/>
              <w:right w:w="20" w:type="dxa"/>
            </w:tcMar>
          </w:tcPr>
          <w:p>
            <w:pPr>
              <w:jc w:val="center"/>
            </w:pPr>
            <w:r>
              <w:rPr>
                <w:sz w:val="15"/>
              </w:rPr>
              <w:t>5997.40</w:t>
            </w:r>
          </w:p>
        </w:tc>
      </w:tr>
      <w:tr>
        <w:trPr>
          <w:cantSplit/>
        </w:trPr>
        <w:tc>
          <w:tcPr>
            <w:tcW w:type="dxa" w:w="2376"/>
            <w:tcMar>
              <w:top w:w="20" w:type="dxa"/>
              <w:bottom w:w="20" w:type="dxa"/>
              <w:left w:w="20" w:type="dxa"/>
              <w:right w:w="20" w:type="dxa"/>
            </w:tcMar>
          </w:tcPr>
          <w:p>
            <w:pPr>
              <w:jc w:val="left"/>
            </w:pPr>
            <w:r>
              <w:rPr>
                <w:sz w:val="15"/>
              </w:rPr>
              <w:t>Warm: Cache Hash Lookup</w:t>
            </w:r>
          </w:p>
        </w:tc>
        <w:tc>
          <w:tcPr>
            <w:tcW w:type="dxa" w:w="432"/>
            <w:tcMar>
              <w:top w:w="20" w:type="dxa"/>
              <w:bottom w:w="20" w:type="dxa"/>
              <w:left w:w="20" w:type="dxa"/>
              <w:right w:w="20" w:type="dxa"/>
            </w:tcMar>
          </w:tcPr>
          <w:p>
            <w:pPr>
              <w:jc w:val="center"/>
            </w:pPr>
            <w:r>
              <w:rPr>
                <w:sz w:val="15"/>
              </w:rPr>
              <w:t>67</w:t>
            </w:r>
          </w:p>
        </w:tc>
        <w:tc>
          <w:tcPr>
            <w:tcW w:type="dxa" w:w="720"/>
            <w:tcMar>
              <w:top w:w="20" w:type="dxa"/>
              <w:bottom w:w="20" w:type="dxa"/>
              <w:left w:w="20" w:type="dxa"/>
              <w:right w:w="20" w:type="dxa"/>
            </w:tcMar>
          </w:tcPr>
          <w:p>
            <w:pPr>
              <w:jc w:val="center"/>
            </w:pPr>
            <w:r>
              <w:rPr>
                <w:sz w:val="15"/>
              </w:rPr>
              <w:t>0.005</w:t>
            </w:r>
          </w:p>
        </w:tc>
        <w:tc>
          <w:tcPr>
            <w:tcW w:type="dxa" w:w="720"/>
            <w:tcMar>
              <w:top w:w="20" w:type="dxa"/>
              <w:bottom w:w="20" w:type="dxa"/>
              <w:left w:w="20" w:type="dxa"/>
              <w:right w:w="20" w:type="dxa"/>
            </w:tcMar>
          </w:tcPr>
          <w:p>
            <w:pPr>
              <w:jc w:val="center"/>
            </w:pPr>
            <w:r>
              <w:rPr>
                <w:sz w:val="15"/>
              </w:rPr>
              <w:t>0.004</w:t>
            </w:r>
          </w:p>
        </w:tc>
        <w:tc>
          <w:tcPr>
            <w:tcW w:type="dxa" w:w="792"/>
            <w:tcMar>
              <w:top w:w="20" w:type="dxa"/>
              <w:bottom w:w="20" w:type="dxa"/>
              <w:left w:w="20" w:type="dxa"/>
              <w:right w:w="20" w:type="dxa"/>
            </w:tcMar>
          </w:tcPr>
          <w:p>
            <w:pPr>
              <w:jc w:val="center"/>
            </w:pPr>
            <w:r>
              <w:rPr>
                <w:sz w:val="15"/>
              </w:rPr>
              <w:t>0.012</w:t>
            </w:r>
          </w:p>
        </w:tc>
      </w:tr>
      <w:tr>
        <w:trPr>
          <w:cantSplit/>
        </w:trPr>
        <w:tc>
          <w:tcPr>
            <w:tcW w:type="dxa" w:w="2376"/>
            <w:tcMar>
              <w:top w:w="20" w:type="dxa"/>
              <w:bottom w:w="20" w:type="dxa"/>
              <w:left w:w="20" w:type="dxa"/>
              <w:right w:w="20" w:type="dxa"/>
            </w:tcMar>
          </w:tcPr>
          <w:p>
            <w:pPr>
              <w:jc w:val="left"/>
            </w:pPr>
            <w:r>
              <w:rPr>
                <w:sz w:val="15"/>
              </w:rPr>
              <w:t>Warm: State Store Mutation</w:t>
            </w:r>
          </w:p>
        </w:tc>
        <w:tc>
          <w:tcPr>
            <w:tcW w:type="dxa" w:w="432"/>
            <w:tcMar>
              <w:top w:w="20" w:type="dxa"/>
              <w:bottom w:w="20" w:type="dxa"/>
              <w:left w:w="20" w:type="dxa"/>
              <w:right w:w="20" w:type="dxa"/>
            </w:tcMar>
          </w:tcPr>
          <w:p>
            <w:pPr>
              <w:jc w:val="center"/>
            </w:pPr>
            <w:r>
              <w:rPr>
                <w:sz w:val="15"/>
              </w:rPr>
              <w:t>67</w:t>
            </w:r>
          </w:p>
        </w:tc>
        <w:tc>
          <w:tcPr>
            <w:tcW w:type="dxa" w:w="720"/>
            <w:tcMar>
              <w:top w:w="20" w:type="dxa"/>
              <w:bottom w:w="20" w:type="dxa"/>
              <w:left w:w="20" w:type="dxa"/>
              <w:right w:w="20" w:type="dxa"/>
            </w:tcMar>
          </w:tcPr>
          <w:p>
            <w:pPr>
              <w:jc w:val="center"/>
            </w:pPr>
            <w:r>
              <w:rPr>
                <w:sz w:val="15"/>
              </w:rPr>
              <w:t>0.045</w:t>
            </w:r>
          </w:p>
        </w:tc>
        <w:tc>
          <w:tcPr>
            <w:tcW w:type="dxa" w:w="720"/>
            <w:tcMar>
              <w:top w:w="20" w:type="dxa"/>
              <w:bottom w:w="20" w:type="dxa"/>
              <w:left w:w="20" w:type="dxa"/>
              <w:right w:w="20" w:type="dxa"/>
            </w:tcMar>
          </w:tcPr>
          <w:p>
            <w:pPr>
              <w:jc w:val="center"/>
            </w:pPr>
            <w:r>
              <w:rPr>
                <w:sz w:val="15"/>
              </w:rPr>
              <w:t>0.041</w:t>
            </w:r>
          </w:p>
        </w:tc>
        <w:tc>
          <w:tcPr>
            <w:tcW w:type="dxa" w:w="792"/>
            <w:tcMar>
              <w:top w:w="20" w:type="dxa"/>
              <w:bottom w:w="20" w:type="dxa"/>
              <w:left w:w="20" w:type="dxa"/>
              <w:right w:w="20" w:type="dxa"/>
            </w:tcMar>
          </w:tcPr>
          <w:p>
            <w:pPr>
              <w:jc w:val="center"/>
            </w:pPr>
            <w:r>
              <w:rPr>
                <w:sz w:val="15"/>
              </w:rPr>
              <w:t>0.068</w:t>
            </w:r>
          </w:p>
        </w:tc>
      </w:tr>
      <w:tr>
        <w:trPr>
          <w:cantSplit/>
        </w:trPr>
        <w:tc>
          <w:tcPr>
            <w:tcW w:type="dxa" w:w="2376"/>
            <w:tcMar>
              <w:top w:w="20" w:type="dxa"/>
              <w:bottom w:w="20" w:type="dxa"/>
              <w:left w:w="20" w:type="dxa"/>
              <w:right w:w="20" w:type="dxa"/>
            </w:tcMar>
          </w:tcPr>
          <w:p>
            <w:pPr>
              <w:jc w:val="left"/>
            </w:pPr>
            <w:r>
              <w:rPr>
                <w:sz w:val="15"/>
              </w:rPr>
              <w:t>Warm: Dijkstra Recalculation</w:t>
            </w:r>
          </w:p>
        </w:tc>
        <w:tc>
          <w:tcPr>
            <w:tcW w:type="dxa" w:w="432"/>
            <w:tcMar>
              <w:top w:w="20" w:type="dxa"/>
              <w:bottom w:w="20" w:type="dxa"/>
              <w:left w:w="20" w:type="dxa"/>
              <w:right w:w="20" w:type="dxa"/>
            </w:tcMar>
          </w:tcPr>
          <w:p>
            <w:pPr>
              <w:jc w:val="center"/>
            </w:pPr>
            <w:r>
              <w:rPr>
                <w:sz w:val="15"/>
              </w:rPr>
              <w:t>67</w:t>
            </w:r>
          </w:p>
        </w:tc>
        <w:tc>
          <w:tcPr>
            <w:tcW w:type="dxa" w:w="720"/>
            <w:tcMar>
              <w:top w:w="20" w:type="dxa"/>
              <w:bottom w:w="20" w:type="dxa"/>
              <w:left w:w="20" w:type="dxa"/>
              <w:right w:w="20" w:type="dxa"/>
            </w:tcMar>
          </w:tcPr>
          <w:p>
            <w:pPr>
              <w:jc w:val="center"/>
            </w:pPr>
            <w:r>
              <w:rPr>
                <w:sz w:val="15"/>
              </w:rPr>
              <w:t>0.052</w:t>
            </w:r>
          </w:p>
        </w:tc>
        <w:tc>
          <w:tcPr>
            <w:tcW w:type="dxa" w:w="720"/>
            <w:tcMar>
              <w:top w:w="20" w:type="dxa"/>
              <w:bottom w:w="20" w:type="dxa"/>
              <w:left w:w="20" w:type="dxa"/>
              <w:right w:w="20" w:type="dxa"/>
            </w:tcMar>
          </w:tcPr>
          <w:p>
            <w:pPr>
              <w:jc w:val="center"/>
            </w:pPr>
            <w:r>
              <w:rPr>
                <w:sz w:val="15"/>
              </w:rPr>
              <w:t>0.048</w:t>
            </w:r>
          </w:p>
        </w:tc>
        <w:tc>
          <w:tcPr>
            <w:tcW w:type="dxa" w:w="792"/>
            <w:tcMar>
              <w:top w:w="20" w:type="dxa"/>
              <w:bottom w:w="20" w:type="dxa"/>
              <w:left w:w="20" w:type="dxa"/>
              <w:right w:w="20" w:type="dxa"/>
            </w:tcMar>
          </w:tcPr>
          <w:p>
            <w:pPr>
              <w:jc w:val="center"/>
            </w:pPr>
            <w:r>
              <w:rPr>
                <w:sz w:val="15"/>
              </w:rPr>
              <w:t>0.089</w:t>
            </w:r>
          </w:p>
        </w:tc>
      </w:tr>
      <w:tr>
        <w:trPr>
          <w:cantSplit/>
        </w:trPr>
        <w:tc>
          <w:tcPr>
            <w:tcW w:type="dxa" w:w="2376"/>
            <w:tcMar>
              <w:top w:w="20" w:type="dxa"/>
              <w:bottom w:w="20" w:type="dxa"/>
              <w:left w:w="20" w:type="dxa"/>
              <w:right w:w="20" w:type="dxa"/>
            </w:tcMar>
          </w:tcPr>
          <w:p>
            <w:pPr>
              <w:jc w:val="left"/>
            </w:pPr>
            <w:r>
              <w:rPr>
                <w:sz w:val="15"/>
              </w:rPr>
              <w:t>Base: String Heuristics</w:t>
            </w:r>
          </w:p>
        </w:tc>
        <w:tc>
          <w:tcPr>
            <w:tcW w:type="dxa" w:w="432"/>
            <w:tcMar>
              <w:top w:w="20" w:type="dxa"/>
              <w:bottom w:w="20" w:type="dxa"/>
              <w:left w:w="20" w:type="dxa"/>
              <w:right w:w="20" w:type="dxa"/>
            </w:tcMar>
          </w:tcPr>
          <w:p>
            <w:pPr>
              <w:jc w:val="center"/>
            </w:pPr>
            <w:r>
              <w:rPr>
                <w:sz w:val="15"/>
              </w:rPr>
              <w:t>120</w:t>
            </w:r>
          </w:p>
        </w:tc>
        <w:tc>
          <w:tcPr>
            <w:tcW w:type="dxa" w:w="720"/>
            <w:tcMar>
              <w:top w:w="20" w:type="dxa"/>
              <w:bottom w:w="20" w:type="dxa"/>
              <w:left w:w="20" w:type="dxa"/>
              <w:right w:w="20" w:type="dxa"/>
            </w:tcMar>
          </w:tcPr>
          <w:p>
            <w:pPr>
              <w:jc w:val="center"/>
            </w:pPr>
            <w:r>
              <w:rPr>
                <w:sz w:val="15"/>
              </w:rPr>
              <w:t>0.560</w:t>
            </w:r>
          </w:p>
        </w:tc>
        <w:tc>
          <w:tcPr>
            <w:tcW w:type="dxa" w:w="720"/>
            <w:tcMar>
              <w:top w:w="20" w:type="dxa"/>
              <w:bottom w:w="20" w:type="dxa"/>
              <w:left w:w="20" w:type="dxa"/>
              <w:right w:w="20" w:type="dxa"/>
            </w:tcMar>
          </w:tcPr>
          <w:p>
            <w:pPr>
              <w:jc w:val="center"/>
            </w:pPr>
            <w:r>
              <w:rPr>
                <w:sz w:val="15"/>
              </w:rPr>
              <w:t>0.392</w:t>
            </w:r>
          </w:p>
        </w:tc>
        <w:tc>
          <w:tcPr>
            <w:tcW w:type="dxa" w:w="792"/>
            <w:tcMar>
              <w:top w:w="20" w:type="dxa"/>
              <w:bottom w:w="20" w:type="dxa"/>
              <w:left w:w="20" w:type="dxa"/>
              <w:right w:w="20" w:type="dxa"/>
            </w:tcMar>
          </w:tcPr>
          <w:p>
            <w:pPr>
              <w:jc w:val="center"/>
            </w:pPr>
            <w:r>
              <w:rPr>
                <w:sz w:val="15"/>
              </w:rPr>
              <w:t>1.773</w:t>
            </w:r>
          </w:p>
        </w:tc>
      </w:tr>
    </w:tbl>
    <w:p>
      <w:pPr>
        <w:spacing w:before="0" w:after="80" w:line="245" w:lineRule="auto"/>
        <w:jc w:val="both"/>
      </w:pPr>
      <w:r>
        <w:rPr>
          <w:rFonts w:ascii="Times New Roman" w:hAnsi="Times New Roman"/>
          <w:sz w:val="20"/>
        </w:rPr>
        <w:t>Live HTTP calls to Gemini averaged 2769.91 ms (minimum 999.26 ms, maximum 8074.60 ms), confirming that LLMs must be excluded from synchronous sensor loops. In-memory cache lookups executed in 0.005 ms, and warm stream processing executed in 0.062 ms under the evaluated workload.</w:t>
      </w:r>
    </w:p>
    <w:p>
      <w:pPr>
        <w:keepNext/>
        <w:spacing w:before="160" w:after="40"/>
        <w:jc w:val="left"/>
      </w:pPr>
      <w:r>
        <w:rPr>
          <w:rFonts w:ascii="Times New Roman" w:hAnsi="Times New Roman"/>
          <w:i/>
          <w:sz w:val="20"/>
        </w:rPr>
        <w:t>E. Route Divergence Statistics (150 Instances)</w:t>
      </w:r>
    </w:p>
    <w:p>
      <w:pPr>
        <w:spacing w:before="0" w:after="80" w:line="245" w:lineRule="auto"/>
        <w:jc w:val="both"/>
      </w:pPr>
      <w:r>
        <w:rPr>
          <w:rFonts w:ascii="Times New Roman" w:hAnsi="Times New Roman"/>
          <w:sz w:val="20"/>
        </w:rPr>
        <w:t>The divergence audit across the 150 scenario instances established:</w:t>
      </w:r>
    </w:p>
    <w:p>
      <w:pPr>
        <w:spacing w:before="0" w:after="80" w:line="245" w:lineRule="auto"/>
        <w:jc w:val="both"/>
      </w:pPr>
      <w:r>
        <w:rPr>
          <w:rFonts w:ascii="Times New Roman" w:hAnsi="Times New Roman"/>
          <w:sz w:val="20"/>
        </w:rPr>
        <w:t>- Graph cost recalculations: 630 events</w:t>
        <w:br/>
        <w:t>- Route recalculation calls: 630 invocations</w:t>
        <w:br/>
        <w:t>- Occupant reroute evaluations: 31,500 agent checks</w:t>
        <w:br/>
        <w:t>- Actual waypoint sequence modifications: 22,870 updates</w:t>
        <w:br/>
        <w:t>- Runs with &gt;= 1 waypoint modification: 150 of 150 (100.0%)</w:t>
        <w:br/>
        <w:t>- Runs with exit-choice modification: 0 of 150 (0.0%)</w:t>
        <w:br/>
        <w:t>- Runs with evacuation-time difference: 0 of 150 (0.0%)</w:t>
      </w:r>
    </w:p>
    <w:p>
      <w:pPr>
        <w:spacing w:before="0" w:after="80" w:line="245" w:lineRule="auto"/>
        <w:jc w:val="both"/>
      </w:pPr>
      <w:r>
        <w:rPr>
          <w:rFonts w:ascii="Times New Roman" w:hAnsi="Times New Roman"/>
          <w:sz w:val="20"/>
        </w:rPr>
        <w:t>Dynamic routing produced substantial intermediate path adaptation (22,870 waypoint updates across 100% of runs), but no aggregate change in evacuation time, unsafe exposure, or exit choice was observed in the baseline benchmark.</w:t>
      </w:r>
    </w:p>
    <w:p>
      <w:pPr>
        <w:keepNext/>
        <w:spacing w:before="160" w:after="40"/>
        <w:jc w:val="left"/>
      </w:pPr>
      <w:r>
        <w:rPr>
          <w:rFonts w:ascii="Times New Roman" w:hAnsi="Times New Roman"/>
          <w:i/>
          <w:sz w:val="20"/>
        </w:rPr>
        <w:t>F. Static vs. Dynamic Evacuation Benchmark (300 Executions)</w:t>
      </w:r>
    </w:p>
    <w:p>
      <w:pPr>
        <w:spacing w:before="0" w:after="80" w:line="245" w:lineRule="auto"/>
        <w:jc w:val="both"/>
      </w:pPr>
      <w:r>
        <w:rPr>
          <w:rFonts w:ascii="Times New Roman" w:hAnsi="Times New Roman"/>
          <w:sz w:val="20"/>
        </w:rPr>
        <w:t>Table V summarizes evacuation metrics across the five hazard scenarios.</w:t>
      </w:r>
    </w:p>
    <w:p>
      <w:pPr>
        <w:spacing w:before="80" w:after="40"/>
        <w:jc w:val="center"/>
      </w:pPr>
      <w:r>
        <w:rPr>
          <w:rFonts w:ascii="Times New Roman" w:hAnsi="Times New Roman"/>
          <w:b/>
          <w:sz w:val="16"/>
        </w:rPr>
        <w:t>TABLE V.  STATIC VS. DYNAMIC EVACUATION BENCHMARK RESULTS</w:t>
      </w:r>
    </w:p>
    <w:tbl>
      <w:tblPr>
        <w:tblW w:type="auto" w:w="0"/>
        <w:jc w:val="center"/>
        <w:tblLook w:firstColumn="1" w:firstRow="1" w:lastColumn="0" w:lastRow="0" w:noHBand="0" w:noVBand="1" w:val="04A0"/>
        <w:tblBorders>
          <w:top w:val="single" w:sz="4" w:space="0" w:color="7F8C8D"/>
          <w:bottom w:val="single" w:sz="4" w:space="0" w:color="7F8C8D"/>
          <w:insideH w:val="single" w:sz="4" w:space="0" w:color="D5D8DC"/>
          <w:insideV w:val="none"/>
          <w:left w:val="none"/>
          <w:right w:val="none"/>
        </w:tblBorders>
      </w:tblPr>
      <w:tblGrid>
        <w:gridCol w:w="2088"/>
        <w:gridCol w:w="2088"/>
        <w:gridCol w:w="2088"/>
        <w:gridCol w:w="2088"/>
        <w:gridCol w:w="2088"/>
      </w:tblGrid>
      <w:tr>
        <w:tc>
          <w:tcPr>
            <w:tcW w:type="dxa" w:w="2016"/>
            <w:tcMar>
              <w:top w:w="20" w:type="dxa"/>
              <w:bottom w:w="20" w:type="dxa"/>
              <w:left w:w="20" w:type="dxa"/>
              <w:right w:w="20" w:type="dxa"/>
            </w:tcMar>
            <w:shd w:fill="EAECEE"/>
          </w:tcPr>
          <w:p>
            <w:pPr>
              <w:jc w:val="center"/>
            </w:pPr>
            <w:r>
              <w:rPr>
                <w:b/>
                <w:sz w:val="15"/>
              </w:rPr>
              <w:t>Scenario &amp; Description</w:t>
            </w:r>
          </w:p>
        </w:tc>
        <w:tc>
          <w:tcPr>
            <w:tcW w:type="dxa" w:w="720"/>
            <w:tcMar>
              <w:top w:w="20" w:type="dxa"/>
              <w:bottom w:w="20" w:type="dxa"/>
              <w:left w:w="20" w:type="dxa"/>
              <w:right w:w="20" w:type="dxa"/>
            </w:tcMar>
            <w:shd w:fill="EAECEE"/>
          </w:tcPr>
          <w:p>
            <w:pPr>
              <w:jc w:val="center"/>
            </w:pPr>
            <w:r>
              <w:rPr>
                <w:b/>
                <w:sz w:val="15"/>
              </w:rPr>
              <w:t>Mode</w:t>
            </w:r>
          </w:p>
        </w:tc>
        <w:tc>
          <w:tcPr>
            <w:tcW w:type="dxa" w:w="792"/>
            <w:tcMar>
              <w:top w:w="20" w:type="dxa"/>
              <w:bottom w:w="20" w:type="dxa"/>
              <w:left w:w="20" w:type="dxa"/>
              <w:right w:w="20" w:type="dxa"/>
            </w:tcMar>
            <w:shd w:fill="EAECEE"/>
          </w:tcPr>
          <w:p>
            <w:pPr>
              <w:jc w:val="center"/>
            </w:pPr>
            <w:r>
              <w:rPr>
                <w:b/>
                <w:sz w:val="15"/>
              </w:rPr>
              <w:t>Time (s)</w:t>
            </w:r>
          </w:p>
        </w:tc>
        <w:tc>
          <w:tcPr>
            <w:tcW w:type="dxa" w:w="720"/>
            <w:tcMar>
              <w:top w:w="20" w:type="dxa"/>
              <w:bottom w:w="20" w:type="dxa"/>
              <w:left w:w="20" w:type="dxa"/>
              <w:right w:w="20" w:type="dxa"/>
            </w:tcMar>
            <w:shd w:fill="EAECEE"/>
          </w:tcPr>
          <w:p>
            <w:pPr>
              <w:jc w:val="center"/>
            </w:pPr>
            <w:r>
              <w:rPr>
                <w:b/>
                <w:sz w:val="15"/>
              </w:rPr>
              <w:t>Success</w:t>
            </w:r>
          </w:p>
        </w:tc>
        <w:tc>
          <w:tcPr>
            <w:tcW w:type="dxa" w:w="792"/>
            <w:tcMar>
              <w:top w:w="20" w:type="dxa"/>
              <w:bottom w:w="20" w:type="dxa"/>
              <w:left w:w="20" w:type="dxa"/>
              <w:right w:w="20" w:type="dxa"/>
            </w:tcMar>
            <w:shd w:fill="EAECEE"/>
          </w:tcPr>
          <w:p>
            <w:pPr>
              <w:jc w:val="center"/>
            </w:pPr>
            <w:r>
              <w:rPr>
                <w:b/>
                <w:sz w:val="15"/>
              </w:rPr>
              <w:t>Unsafe</w:t>
            </w:r>
          </w:p>
        </w:tc>
      </w:tr>
      <w:tr>
        <w:trPr>
          <w:cantSplit/>
        </w:trPr>
        <w:tc>
          <w:tcPr>
            <w:tcW w:type="dxa" w:w="2016"/>
            <w:tcMar>
              <w:top w:w="20" w:type="dxa"/>
              <w:bottom w:w="20" w:type="dxa"/>
              <w:left w:w="20" w:type="dxa"/>
              <w:right w:w="20" w:type="dxa"/>
            </w:tcMar>
          </w:tcPr>
          <w:p>
            <w:pPr>
              <w:jc w:val="left"/>
            </w:pPr>
            <w:r>
              <w:rPr>
                <w:sz w:val="15"/>
              </w:rPr>
              <w:t>1: Room 101 Fire Spread</w:t>
            </w:r>
          </w:p>
        </w:tc>
        <w:tc>
          <w:tcPr>
            <w:tcW w:type="dxa" w:w="720"/>
            <w:tcMar>
              <w:top w:w="20" w:type="dxa"/>
              <w:bottom w:w="20" w:type="dxa"/>
              <w:left w:w="20" w:type="dxa"/>
              <w:right w:w="20" w:type="dxa"/>
            </w:tcMar>
          </w:tcPr>
          <w:p>
            <w:pPr>
              <w:jc w:val="center"/>
            </w:pPr>
            <w:r>
              <w:rPr>
                <w:sz w:val="15"/>
              </w:rPr>
              <w:t>Stat/Dyn</w:t>
            </w:r>
          </w:p>
        </w:tc>
        <w:tc>
          <w:tcPr>
            <w:tcW w:type="dxa" w:w="792"/>
            <w:tcMar>
              <w:top w:w="20" w:type="dxa"/>
              <w:bottom w:w="20" w:type="dxa"/>
              <w:left w:w="20" w:type="dxa"/>
              <w:right w:w="20" w:type="dxa"/>
            </w:tcMar>
          </w:tcPr>
          <w:p>
            <w:pPr>
              <w:jc w:val="center"/>
            </w:pPr>
            <w:r>
              <w:rPr>
                <w:sz w:val="15"/>
              </w:rPr>
              <w:t>15.84±0.84</w:t>
            </w:r>
          </w:p>
        </w:tc>
        <w:tc>
          <w:tcPr>
            <w:tcW w:type="dxa" w:w="720"/>
            <w:tcMar>
              <w:top w:w="20" w:type="dxa"/>
              <w:bottom w:w="20" w:type="dxa"/>
              <w:left w:w="20" w:type="dxa"/>
              <w:right w:w="20" w:type="dxa"/>
            </w:tcMar>
          </w:tcPr>
          <w:p>
            <w:pPr>
              <w:jc w:val="center"/>
            </w:pPr>
            <w:r>
              <w:rPr>
                <w:sz w:val="15"/>
              </w:rPr>
              <w:t>100.0%</w:t>
            </w:r>
          </w:p>
        </w:tc>
        <w:tc>
          <w:tcPr>
            <w:tcW w:type="dxa" w:w="792"/>
            <w:tcMar>
              <w:top w:w="20" w:type="dxa"/>
              <w:bottom w:w="20" w:type="dxa"/>
              <w:left w:w="20" w:type="dxa"/>
              <w:right w:w="20" w:type="dxa"/>
            </w:tcMar>
          </w:tcPr>
          <w:p>
            <w:pPr>
              <w:jc w:val="center"/>
            </w:pPr>
            <w:r>
              <w:rPr>
                <w:sz w:val="15"/>
              </w:rPr>
              <w:t>13.00</w:t>
            </w:r>
          </w:p>
        </w:tc>
      </w:tr>
      <w:tr>
        <w:trPr>
          <w:cantSplit/>
        </w:trPr>
        <w:tc>
          <w:tcPr>
            <w:tcW w:type="dxa" w:w="2016"/>
            <w:tcMar>
              <w:top w:w="20" w:type="dxa"/>
              <w:bottom w:w="20" w:type="dxa"/>
              <w:left w:w="20" w:type="dxa"/>
              <w:right w:w="20" w:type="dxa"/>
            </w:tcMar>
          </w:tcPr>
          <w:p>
            <w:pPr>
              <w:jc w:val="left"/>
            </w:pPr>
            <w:r>
              <w:rPr>
                <w:sz w:val="15"/>
              </w:rPr>
              <w:t>2: Corridor Choke Point</w:t>
            </w:r>
          </w:p>
        </w:tc>
        <w:tc>
          <w:tcPr>
            <w:tcW w:type="dxa" w:w="720"/>
            <w:tcMar>
              <w:top w:w="20" w:type="dxa"/>
              <w:bottom w:w="20" w:type="dxa"/>
              <w:left w:w="20" w:type="dxa"/>
              <w:right w:w="20" w:type="dxa"/>
            </w:tcMar>
          </w:tcPr>
          <w:p>
            <w:pPr>
              <w:jc w:val="center"/>
            </w:pPr>
            <w:r>
              <w:rPr>
                <w:sz w:val="15"/>
              </w:rPr>
              <w:t>Stat/Dyn</w:t>
            </w:r>
          </w:p>
        </w:tc>
        <w:tc>
          <w:tcPr>
            <w:tcW w:type="dxa" w:w="792"/>
            <w:tcMar>
              <w:top w:w="20" w:type="dxa"/>
              <w:bottom w:w="20" w:type="dxa"/>
              <w:left w:w="20" w:type="dxa"/>
              <w:right w:w="20" w:type="dxa"/>
            </w:tcMar>
          </w:tcPr>
          <w:p>
            <w:pPr>
              <w:jc w:val="center"/>
            </w:pPr>
            <w:r>
              <w:rPr>
                <w:sz w:val="15"/>
              </w:rPr>
              <w:t>6.36±0.46</w:t>
            </w:r>
          </w:p>
        </w:tc>
        <w:tc>
          <w:tcPr>
            <w:tcW w:type="dxa" w:w="720"/>
            <w:tcMar>
              <w:top w:w="20" w:type="dxa"/>
              <w:bottom w:w="20" w:type="dxa"/>
              <w:left w:w="20" w:type="dxa"/>
              <w:right w:w="20" w:type="dxa"/>
            </w:tcMar>
          </w:tcPr>
          <w:p>
            <w:pPr>
              <w:jc w:val="center"/>
            </w:pPr>
            <w:r>
              <w:rPr>
                <w:sz w:val="15"/>
              </w:rPr>
              <w:t>31.07%</w:t>
            </w:r>
          </w:p>
        </w:tc>
        <w:tc>
          <w:tcPr>
            <w:tcW w:type="dxa" w:w="792"/>
            <w:tcMar>
              <w:top w:w="20" w:type="dxa"/>
              <w:bottom w:w="20" w:type="dxa"/>
              <w:left w:w="20" w:type="dxa"/>
              <w:right w:w="20" w:type="dxa"/>
            </w:tcMar>
          </w:tcPr>
          <w:p>
            <w:pPr>
              <w:jc w:val="center"/>
            </w:pPr>
            <w:r>
              <w:rPr>
                <w:sz w:val="15"/>
              </w:rPr>
              <w:t>0.00*</w:t>
            </w:r>
          </w:p>
        </w:tc>
      </w:tr>
      <w:tr>
        <w:trPr>
          <w:cantSplit/>
        </w:trPr>
        <w:tc>
          <w:tcPr>
            <w:tcW w:type="dxa" w:w="2016"/>
            <w:tcMar>
              <w:top w:w="20" w:type="dxa"/>
              <w:bottom w:w="20" w:type="dxa"/>
              <w:left w:w="20" w:type="dxa"/>
              <w:right w:w="20" w:type="dxa"/>
            </w:tcMar>
          </w:tcPr>
          <w:p>
            <w:pPr>
              <w:jc w:val="left"/>
            </w:pPr>
            <w:r>
              <w:rPr>
                <w:sz w:val="15"/>
              </w:rPr>
              <w:t>3: Smoke Degradation</w:t>
            </w:r>
          </w:p>
        </w:tc>
        <w:tc>
          <w:tcPr>
            <w:tcW w:type="dxa" w:w="720"/>
            <w:tcMar>
              <w:top w:w="20" w:type="dxa"/>
              <w:bottom w:w="20" w:type="dxa"/>
              <w:left w:w="20" w:type="dxa"/>
              <w:right w:w="20" w:type="dxa"/>
            </w:tcMar>
          </w:tcPr>
          <w:p>
            <w:pPr>
              <w:jc w:val="center"/>
            </w:pPr>
            <w:r>
              <w:rPr>
                <w:sz w:val="15"/>
              </w:rPr>
              <w:t>Stat/Dyn</w:t>
            </w:r>
          </w:p>
        </w:tc>
        <w:tc>
          <w:tcPr>
            <w:tcW w:type="dxa" w:w="792"/>
            <w:tcMar>
              <w:top w:w="20" w:type="dxa"/>
              <w:bottom w:w="20" w:type="dxa"/>
              <w:left w:w="20" w:type="dxa"/>
              <w:right w:w="20" w:type="dxa"/>
            </w:tcMar>
          </w:tcPr>
          <w:p>
            <w:pPr>
              <w:jc w:val="center"/>
            </w:pPr>
            <w:r>
              <w:rPr>
                <w:sz w:val="15"/>
              </w:rPr>
              <w:t>15.84±0.84</w:t>
            </w:r>
          </w:p>
        </w:tc>
        <w:tc>
          <w:tcPr>
            <w:tcW w:type="dxa" w:w="720"/>
            <w:tcMar>
              <w:top w:w="20" w:type="dxa"/>
              <w:bottom w:w="20" w:type="dxa"/>
              <w:left w:w="20" w:type="dxa"/>
              <w:right w:w="20" w:type="dxa"/>
            </w:tcMar>
          </w:tcPr>
          <w:p>
            <w:pPr>
              <w:jc w:val="center"/>
            </w:pPr>
            <w:r>
              <w:rPr>
                <w:sz w:val="15"/>
              </w:rPr>
              <w:t>100.0%</w:t>
            </w:r>
          </w:p>
        </w:tc>
        <w:tc>
          <w:tcPr>
            <w:tcW w:type="dxa" w:w="792"/>
            <w:tcMar>
              <w:top w:w="20" w:type="dxa"/>
              <w:bottom w:w="20" w:type="dxa"/>
              <w:left w:w="20" w:type="dxa"/>
              <w:right w:w="20" w:type="dxa"/>
            </w:tcMar>
          </w:tcPr>
          <w:p>
            <w:pPr>
              <w:jc w:val="center"/>
            </w:pPr>
            <w:r>
              <w:rPr>
                <w:sz w:val="15"/>
              </w:rPr>
              <w:t>13.00</w:t>
            </w:r>
          </w:p>
        </w:tc>
      </w:tr>
      <w:tr>
        <w:trPr>
          <w:cantSplit/>
        </w:trPr>
        <w:tc>
          <w:tcPr>
            <w:tcW w:type="dxa" w:w="2016"/>
            <w:tcMar>
              <w:top w:w="20" w:type="dxa"/>
              <w:bottom w:w="20" w:type="dxa"/>
              <w:left w:w="20" w:type="dxa"/>
              <w:right w:w="20" w:type="dxa"/>
            </w:tcMar>
          </w:tcPr>
          <w:p>
            <w:pPr>
              <w:jc w:val="left"/>
            </w:pPr>
            <w:r>
              <w:rPr>
                <w:sz w:val="15"/>
              </w:rPr>
              <w:t>4: Multi-Zone Hazard</w:t>
            </w:r>
          </w:p>
        </w:tc>
        <w:tc>
          <w:tcPr>
            <w:tcW w:type="dxa" w:w="720"/>
            <w:tcMar>
              <w:top w:w="20" w:type="dxa"/>
              <w:bottom w:w="20" w:type="dxa"/>
              <w:left w:w="20" w:type="dxa"/>
              <w:right w:w="20" w:type="dxa"/>
            </w:tcMar>
          </w:tcPr>
          <w:p>
            <w:pPr>
              <w:jc w:val="center"/>
            </w:pPr>
            <w:r>
              <w:rPr>
                <w:sz w:val="15"/>
              </w:rPr>
              <w:t>Stat/Dyn</w:t>
            </w:r>
          </w:p>
        </w:tc>
        <w:tc>
          <w:tcPr>
            <w:tcW w:type="dxa" w:w="792"/>
            <w:tcMar>
              <w:top w:w="20" w:type="dxa"/>
              <w:bottom w:w="20" w:type="dxa"/>
              <w:left w:w="20" w:type="dxa"/>
              <w:right w:w="20" w:type="dxa"/>
            </w:tcMar>
          </w:tcPr>
          <w:p>
            <w:pPr>
              <w:jc w:val="center"/>
            </w:pPr>
            <w:r>
              <w:rPr>
                <w:sz w:val="15"/>
              </w:rPr>
              <w:t>15.84±0.84</w:t>
            </w:r>
          </w:p>
        </w:tc>
        <w:tc>
          <w:tcPr>
            <w:tcW w:type="dxa" w:w="720"/>
            <w:tcMar>
              <w:top w:w="20" w:type="dxa"/>
              <w:bottom w:w="20" w:type="dxa"/>
              <w:left w:w="20" w:type="dxa"/>
              <w:right w:w="20" w:type="dxa"/>
            </w:tcMar>
          </w:tcPr>
          <w:p>
            <w:pPr>
              <w:jc w:val="center"/>
            </w:pPr>
            <w:r>
              <w:rPr>
                <w:sz w:val="15"/>
              </w:rPr>
              <w:t>100.0%</w:t>
            </w:r>
          </w:p>
        </w:tc>
        <w:tc>
          <w:tcPr>
            <w:tcW w:type="dxa" w:w="792"/>
            <w:tcMar>
              <w:top w:w="20" w:type="dxa"/>
              <w:bottom w:w="20" w:type="dxa"/>
              <w:left w:w="20" w:type="dxa"/>
              <w:right w:w="20" w:type="dxa"/>
            </w:tcMar>
          </w:tcPr>
          <w:p>
            <w:pPr>
              <w:jc w:val="center"/>
            </w:pPr>
            <w:r>
              <w:rPr>
                <w:sz w:val="15"/>
              </w:rPr>
              <w:t>22.33</w:t>
            </w:r>
          </w:p>
        </w:tc>
      </w:tr>
      <w:tr>
        <w:trPr>
          <w:cantSplit/>
        </w:trPr>
        <w:tc>
          <w:tcPr>
            <w:tcW w:type="dxa" w:w="2016"/>
            <w:tcMar>
              <w:top w:w="20" w:type="dxa"/>
              <w:bottom w:w="20" w:type="dxa"/>
              <w:left w:w="20" w:type="dxa"/>
              <w:right w:w="20" w:type="dxa"/>
            </w:tcMar>
          </w:tcPr>
          <w:p>
            <w:pPr>
              <w:jc w:val="left"/>
            </w:pPr>
            <w:r>
              <w:rPr>
                <w:sz w:val="15"/>
              </w:rPr>
              <w:t>5: Telemetry Uncertainty</w:t>
            </w:r>
          </w:p>
        </w:tc>
        <w:tc>
          <w:tcPr>
            <w:tcW w:type="dxa" w:w="720"/>
            <w:tcMar>
              <w:top w:w="20" w:type="dxa"/>
              <w:bottom w:w="20" w:type="dxa"/>
              <w:left w:w="20" w:type="dxa"/>
              <w:right w:w="20" w:type="dxa"/>
            </w:tcMar>
          </w:tcPr>
          <w:p>
            <w:pPr>
              <w:jc w:val="center"/>
            </w:pPr>
            <w:r>
              <w:rPr>
                <w:sz w:val="15"/>
              </w:rPr>
              <w:t>Stat/Dyn</w:t>
            </w:r>
          </w:p>
        </w:tc>
        <w:tc>
          <w:tcPr>
            <w:tcW w:type="dxa" w:w="792"/>
            <w:tcMar>
              <w:top w:w="20" w:type="dxa"/>
              <w:bottom w:w="20" w:type="dxa"/>
              <w:left w:w="20" w:type="dxa"/>
              <w:right w:w="20" w:type="dxa"/>
            </w:tcMar>
          </w:tcPr>
          <w:p>
            <w:pPr>
              <w:jc w:val="center"/>
            </w:pPr>
            <w:r>
              <w:rPr>
                <w:sz w:val="15"/>
              </w:rPr>
              <w:t>15.84±0.84</w:t>
            </w:r>
          </w:p>
        </w:tc>
        <w:tc>
          <w:tcPr>
            <w:tcW w:type="dxa" w:w="720"/>
            <w:tcMar>
              <w:top w:w="20" w:type="dxa"/>
              <w:bottom w:w="20" w:type="dxa"/>
              <w:left w:w="20" w:type="dxa"/>
              <w:right w:w="20" w:type="dxa"/>
            </w:tcMar>
          </w:tcPr>
          <w:p>
            <w:pPr>
              <w:jc w:val="center"/>
            </w:pPr>
            <w:r>
              <w:rPr>
                <w:sz w:val="15"/>
              </w:rPr>
              <w:t>100.0%</w:t>
            </w:r>
          </w:p>
        </w:tc>
        <w:tc>
          <w:tcPr>
            <w:tcW w:type="dxa" w:w="792"/>
            <w:tcMar>
              <w:top w:w="20" w:type="dxa"/>
              <w:bottom w:w="20" w:type="dxa"/>
              <w:left w:w="20" w:type="dxa"/>
              <w:right w:w="20" w:type="dxa"/>
            </w:tcMar>
          </w:tcPr>
          <w:p>
            <w:pPr>
              <w:jc w:val="center"/>
            </w:pPr>
            <w:r>
              <w:rPr>
                <w:sz w:val="15"/>
              </w:rPr>
              <w:t>13.00</w:t>
            </w:r>
          </w:p>
        </w:tc>
      </w:tr>
    </w:tbl>
    <w:p>
      <w:pPr>
        <w:spacing w:before="0" w:after="80" w:line="245" w:lineRule="auto"/>
        <w:jc w:val="both"/>
      </w:pPr>
      <w:r>
        <w:rPr>
          <w:rFonts w:ascii="Times New Roman" w:hAnsi="Times New Roman"/>
          <w:sz w:val="20"/>
        </w:rPr>
        <w:t>(*Note: Scenario 2 produced 34.47 blocked occupants per run due to corridor isolation.) Across all five baseline scenarios, aggregate evacuation time difference was Δt = 0.0 s and unsafe occupants ΔN_unsafe = 0.00. Egressing occupants (walking velocity 1.2 m/s) reached the central corridor at median time t = 4.4 s, clearing the primary hazard prior to full smoke spread.</w:t>
      </w:r>
    </w:p>
    <w:p>
      <w:pPr>
        <w:keepNext/>
        <w:spacing w:before="160" w:after="40"/>
        <w:jc w:val="left"/>
      </w:pPr>
      <w:r>
        <w:rPr>
          <w:rFonts w:ascii="Times New Roman" w:hAnsi="Times New Roman"/>
          <w:i/>
          <w:sz w:val="20"/>
        </w:rPr>
        <w:t>G. Temporal Sensitivity Experiment (N = 80 Runs)</w:t>
      </w:r>
    </w:p>
    <w:p>
      <w:pPr>
        <w:spacing w:before="0" w:after="80" w:line="245" w:lineRule="auto"/>
        <w:jc w:val="both"/>
      </w:pPr>
      <w:r>
        <w:rPr>
          <w:rFonts w:ascii="Times New Roman" w:hAnsi="Times New Roman"/>
          <w:sz w:val="20"/>
        </w:rPr>
        <w:t>Table VI details the controlled temporal sensitivity experiment across earlier hazard activations.</w:t>
      </w:r>
    </w:p>
    <w:p>
      <w:pPr>
        <w:spacing w:before="80" w:after="40"/>
        <w:jc w:val="center"/>
      </w:pPr>
      <w:r>
        <w:rPr>
          <w:rFonts w:ascii="Times New Roman" w:hAnsi="Times New Roman"/>
          <w:b/>
          <w:sz w:val="16"/>
        </w:rPr>
        <w:t>TABLE VI.  TEMPORAL SENSITIVITY EXPERIMENT (N=80)</w:t>
      </w:r>
    </w:p>
    <w:tbl>
      <w:tblPr>
        <w:tblW w:type="auto" w:w="0"/>
        <w:jc w:val="center"/>
        <w:tblLook w:firstColumn="1" w:firstRow="1" w:lastColumn="0" w:lastRow="0" w:noHBand="0" w:noVBand="1" w:val="04A0"/>
        <w:tblBorders>
          <w:top w:val="single" w:sz="4" w:space="0" w:color="7F8C8D"/>
          <w:bottom w:val="single" w:sz="4" w:space="0" w:color="7F8C8D"/>
          <w:insideH w:val="single" w:sz="4" w:space="0" w:color="D5D8DC"/>
          <w:insideV w:val="none"/>
          <w:left w:val="none"/>
          <w:right w:val="none"/>
        </w:tblBorders>
      </w:tblPr>
      <w:tblGrid>
        <w:gridCol w:w="2088"/>
        <w:gridCol w:w="2088"/>
        <w:gridCol w:w="2088"/>
        <w:gridCol w:w="2088"/>
        <w:gridCol w:w="2088"/>
      </w:tblGrid>
      <w:tr>
        <w:tc>
          <w:tcPr>
            <w:tcW w:type="dxa" w:w="1008"/>
            <w:tcMar>
              <w:top w:w="20" w:type="dxa"/>
              <w:bottom w:w="20" w:type="dxa"/>
              <w:left w:w="20" w:type="dxa"/>
              <w:right w:w="20" w:type="dxa"/>
            </w:tcMar>
            <w:shd w:fill="EAECEE"/>
          </w:tcPr>
          <w:p>
            <w:pPr>
              <w:jc w:val="center"/>
            </w:pPr>
            <w:r>
              <w:rPr>
                <w:b/>
                <w:sz w:val="15"/>
              </w:rPr>
              <w:t>Onset (t)</w:t>
            </w:r>
          </w:p>
        </w:tc>
        <w:tc>
          <w:tcPr>
            <w:tcW w:type="dxa" w:w="936"/>
            <w:tcMar>
              <w:top w:w="20" w:type="dxa"/>
              <w:bottom w:w="20" w:type="dxa"/>
              <w:left w:w="20" w:type="dxa"/>
              <w:right w:w="20" w:type="dxa"/>
            </w:tcMar>
            <w:shd w:fill="EAECEE"/>
          </w:tcPr>
          <w:p>
            <w:pPr>
              <w:jc w:val="center"/>
            </w:pPr>
            <w:r>
              <w:rPr>
                <w:b/>
                <w:sz w:val="15"/>
              </w:rPr>
              <w:t>Dyn Time</w:t>
            </w:r>
          </w:p>
        </w:tc>
        <w:tc>
          <w:tcPr>
            <w:tcW w:type="dxa" w:w="936"/>
            <w:tcMar>
              <w:top w:w="20" w:type="dxa"/>
              <w:bottom w:w="20" w:type="dxa"/>
              <w:left w:w="20" w:type="dxa"/>
              <w:right w:w="20" w:type="dxa"/>
            </w:tcMar>
            <w:shd w:fill="EAECEE"/>
          </w:tcPr>
          <w:p>
            <w:pPr>
              <w:jc w:val="center"/>
            </w:pPr>
            <w:r>
              <w:rPr>
                <w:b/>
                <w:sz w:val="15"/>
              </w:rPr>
              <w:t>Stat Time</w:t>
            </w:r>
          </w:p>
        </w:tc>
        <w:tc>
          <w:tcPr>
            <w:tcW w:type="dxa" w:w="1080"/>
            <w:tcMar>
              <w:top w:w="20" w:type="dxa"/>
              <w:bottom w:w="20" w:type="dxa"/>
              <w:left w:w="20" w:type="dxa"/>
              <w:right w:w="20" w:type="dxa"/>
            </w:tcMar>
            <w:shd w:fill="EAECEE"/>
          </w:tcPr>
          <w:p>
            <w:pPr>
              <w:jc w:val="center"/>
            </w:pPr>
            <w:r>
              <w:rPr>
                <w:b/>
                <w:sz w:val="15"/>
              </w:rPr>
              <w:t>Dyn Unsafe</w:t>
            </w:r>
          </w:p>
        </w:tc>
        <w:tc>
          <w:tcPr>
            <w:tcW w:type="dxa" w:w="1080"/>
            <w:tcMar>
              <w:top w:w="20" w:type="dxa"/>
              <w:bottom w:w="20" w:type="dxa"/>
              <w:left w:w="20" w:type="dxa"/>
              <w:right w:w="20" w:type="dxa"/>
            </w:tcMar>
            <w:shd w:fill="EAECEE"/>
          </w:tcPr>
          <w:p>
            <w:pPr>
              <w:jc w:val="center"/>
            </w:pPr>
            <w:r>
              <w:rPr>
                <w:b/>
                <w:sz w:val="15"/>
              </w:rPr>
              <w:t>Updates</w:t>
            </w:r>
          </w:p>
        </w:tc>
      </w:tr>
      <w:tr>
        <w:trPr>
          <w:cantSplit/>
        </w:trPr>
        <w:tc>
          <w:tcPr>
            <w:tcW w:type="dxa" w:w="1008"/>
            <w:tcMar>
              <w:top w:w="20" w:type="dxa"/>
              <w:bottom w:w="20" w:type="dxa"/>
              <w:left w:w="20" w:type="dxa"/>
              <w:right w:w="20" w:type="dxa"/>
            </w:tcMar>
          </w:tcPr>
          <w:p>
            <w:pPr>
              <w:jc w:val="left"/>
            </w:pPr>
            <w:r>
              <w:rPr>
                <w:sz w:val="15"/>
              </w:rPr>
              <w:t>t = 0.5 s</w:t>
            </w:r>
          </w:p>
        </w:tc>
        <w:tc>
          <w:tcPr>
            <w:tcW w:type="dxa" w:w="936"/>
            <w:tcMar>
              <w:top w:w="20" w:type="dxa"/>
              <w:bottom w:w="20" w:type="dxa"/>
              <w:left w:w="20" w:type="dxa"/>
              <w:right w:w="20" w:type="dxa"/>
            </w:tcMar>
          </w:tcPr>
          <w:p>
            <w:pPr>
              <w:jc w:val="center"/>
            </w:pPr>
            <w:r>
              <w:rPr>
                <w:sz w:val="15"/>
              </w:rPr>
              <w:t>16.3 s</w:t>
            </w:r>
          </w:p>
        </w:tc>
        <w:tc>
          <w:tcPr>
            <w:tcW w:type="dxa" w:w="936"/>
            <w:tcMar>
              <w:top w:w="20" w:type="dxa"/>
              <w:bottom w:w="20" w:type="dxa"/>
              <w:left w:w="20" w:type="dxa"/>
              <w:right w:w="20" w:type="dxa"/>
            </w:tcMar>
          </w:tcPr>
          <w:p>
            <w:pPr>
              <w:jc w:val="center"/>
            </w:pPr>
            <w:r>
              <w:rPr>
                <w:sz w:val="15"/>
              </w:rPr>
              <w:t>16.3 s</w:t>
            </w:r>
          </w:p>
        </w:tc>
        <w:tc>
          <w:tcPr>
            <w:tcW w:type="dxa" w:w="1080"/>
            <w:tcMar>
              <w:top w:w="20" w:type="dxa"/>
              <w:bottom w:w="20" w:type="dxa"/>
              <w:left w:w="20" w:type="dxa"/>
              <w:right w:w="20" w:type="dxa"/>
            </w:tcMar>
          </w:tcPr>
          <w:p>
            <w:pPr>
              <w:jc w:val="center"/>
            </w:pPr>
            <w:r>
              <w:rPr>
                <w:sz w:val="15"/>
              </w:rPr>
              <w:t>14.00</w:t>
            </w:r>
          </w:p>
        </w:tc>
        <w:tc>
          <w:tcPr>
            <w:tcW w:type="dxa" w:w="1080"/>
            <w:tcMar>
              <w:top w:w="20" w:type="dxa"/>
              <w:bottom w:w="20" w:type="dxa"/>
              <w:left w:w="20" w:type="dxa"/>
              <w:right w:w="20" w:type="dxa"/>
            </w:tcMar>
          </w:tcPr>
          <w:p>
            <w:pPr>
              <w:jc w:val="center"/>
            </w:pPr>
            <w:r>
              <w:rPr>
                <w:sz w:val="15"/>
              </w:rPr>
              <w:t>1360</w:t>
            </w:r>
          </w:p>
        </w:tc>
      </w:tr>
      <w:tr>
        <w:trPr>
          <w:cantSplit/>
        </w:trPr>
        <w:tc>
          <w:tcPr>
            <w:tcW w:type="dxa" w:w="1008"/>
            <w:tcMar>
              <w:top w:w="20" w:type="dxa"/>
              <w:bottom w:w="20" w:type="dxa"/>
              <w:left w:w="20" w:type="dxa"/>
              <w:right w:w="20" w:type="dxa"/>
            </w:tcMar>
          </w:tcPr>
          <w:p>
            <w:pPr>
              <w:jc w:val="left"/>
            </w:pPr>
            <w:r>
              <w:rPr>
                <w:sz w:val="15"/>
              </w:rPr>
              <w:t>t = 1.0 s</w:t>
            </w:r>
          </w:p>
        </w:tc>
        <w:tc>
          <w:tcPr>
            <w:tcW w:type="dxa" w:w="936"/>
            <w:tcMar>
              <w:top w:w="20" w:type="dxa"/>
              <w:bottom w:w="20" w:type="dxa"/>
              <w:left w:w="20" w:type="dxa"/>
              <w:right w:w="20" w:type="dxa"/>
            </w:tcMar>
          </w:tcPr>
          <w:p>
            <w:pPr>
              <w:jc w:val="center"/>
            </w:pPr>
            <w:r>
              <w:rPr>
                <w:sz w:val="15"/>
              </w:rPr>
              <w:t>15.9 s</w:t>
            </w:r>
          </w:p>
        </w:tc>
        <w:tc>
          <w:tcPr>
            <w:tcW w:type="dxa" w:w="936"/>
            <w:tcMar>
              <w:top w:w="20" w:type="dxa"/>
              <w:bottom w:w="20" w:type="dxa"/>
              <w:left w:w="20" w:type="dxa"/>
              <w:right w:w="20" w:type="dxa"/>
            </w:tcMar>
          </w:tcPr>
          <w:p>
            <w:pPr>
              <w:jc w:val="center"/>
            </w:pPr>
            <w:r>
              <w:rPr>
                <w:sz w:val="15"/>
              </w:rPr>
              <w:t>15.9 s</w:t>
            </w:r>
          </w:p>
        </w:tc>
        <w:tc>
          <w:tcPr>
            <w:tcW w:type="dxa" w:w="1080"/>
            <w:tcMar>
              <w:top w:w="20" w:type="dxa"/>
              <w:bottom w:w="20" w:type="dxa"/>
              <w:left w:w="20" w:type="dxa"/>
              <w:right w:w="20" w:type="dxa"/>
            </w:tcMar>
          </w:tcPr>
          <w:p>
            <w:pPr>
              <w:jc w:val="center"/>
            </w:pPr>
            <w:r>
              <w:rPr>
                <w:sz w:val="15"/>
              </w:rPr>
              <w:t>14.00</w:t>
            </w:r>
          </w:p>
        </w:tc>
        <w:tc>
          <w:tcPr>
            <w:tcW w:type="dxa" w:w="1080"/>
            <w:tcMar>
              <w:top w:w="20" w:type="dxa"/>
              <w:bottom w:w="20" w:type="dxa"/>
              <w:left w:w="20" w:type="dxa"/>
              <w:right w:w="20" w:type="dxa"/>
            </w:tcMar>
          </w:tcPr>
          <w:p>
            <w:pPr>
              <w:jc w:val="center"/>
            </w:pPr>
            <w:r>
              <w:rPr>
                <w:sz w:val="15"/>
              </w:rPr>
              <w:t>1360</w:t>
            </w:r>
          </w:p>
        </w:tc>
      </w:tr>
      <w:tr>
        <w:trPr>
          <w:cantSplit/>
        </w:trPr>
        <w:tc>
          <w:tcPr>
            <w:tcW w:type="dxa" w:w="1008"/>
            <w:tcMar>
              <w:top w:w="20" w:type="dxa"/>
              <w:bottom w:w="20" w:type="dxa"/>
              <w:left w:w="20" w:type="dxa"/>
              <w:right w:w="20" w:type="dxa"/>
            </w:tcMar>
          </w:tcPr>
          <w:p>
            <w:pPr>
              <w:jc w:val="left"/>
            </w:pPr>
            <w:r>
              <w:rPr>
                <w:sz w:val="15"/>
              </w:rPr>
              <w:t>t = 2.0 s</w:t>
            </w:r>
          </w:p>
        </w:tc>
        <w:tc>
          <w:tcPr>
            <w:tcW w:type="dxa" w:w="936"/>
            <w:tcMar>
              <w:top w:w="20" w:type="dxa"/>
              <w:bottom w:w="20" w:type="dxa"/>
              <w:left w:w="20" w:type="dxa"/>
              <w:right w:w="20" w:type="dxa"/>
            </w:tcMar>
          </w:tcPr>
          <w:p>
            <w:pPr>
              <w:jc w:val="center"/>
            </w:pPr>
            <w:r>
              <w:rPr>
                <w:sz w:val="15"/>
              </w:rPr>
              <w:t>14.9 s</w:t>
            </w:r>
          </w:p>
        </w:tc>
        <w:tc>
          <w:tcPr>
            <w:tcW w:type="dxa" w:w="936"/>
            <w:tcMar>
              <w:top w:w="20" w:type="dxa"/>
              <w:bottom w:w="20" w:type="dxa"/>
              <w:left w:w="20" w:type="dxa"/>
              <w:right w:w="20" w:type="dxa"/>
            </w:tcMar>
          </w:tcPr>
          <w:p>
            <w:pPr>
              <w:jc w:val="center"/>
            </w:pPr>
            <w:r>
              <w:rPr>
                <w:sz w:val="15"/>
              </w:rPr>
              <w:t>14.9 s</w:t>
            </w:r>
          </w:p>
        </w:tc>
        <w:tc>
          <w:tcPr>
            <w:tcW w:type="dxa" w:w="1080"/>
            <w:tcMar>
              <w:top w:w="20" w:type="dxa"/>
              <w:bottom w:w="20" w:type="dxa"/>
              <w:left w:w="20" w:type="dxa"/>
              <w:right w:w="20" w:type="dxa"/>
            </w:tcMar>
          </w:tcPr>
          <w:p>
            <w:pPr>
              <w:jc w:val="center"/>
            </w:pPr>
            <w:r>
              <w:rPr>
                <w:sz w:val="15"/>
              </w:rPr>
              <w:t>13.70</w:t>
            </w:r>
          </w:p>
        </w:tc>
        <w:tc>
          <w:tcPr>
            <w:tcW w:type="dxa" w:w="1080"/>
            <w:tcMar>
              <w:top w:w="20" w:type="dxa"/>
              <w:bottom w:w="20" w:type="dxa"/>
              <w:left w:w="20" w:type="dxa"/>
              <w:right w:w="20" w:type="dxa"/>
            </w:tcMar>
          </w:tcPr>
          <w:p>
            <w:pPr>
              <w:jc w:val="center"/>
            </w:pPr>
            <w:r>
              <w:rPr>
                <w:sz w:val="15"/>
              </w:rPr>
              <w:t>1370</w:t>
            </w:r>
          </w:p>
        </w:tc>
      </w:tr>
      <w:tr>
        <w:trPr>
          <w:cantSplit/>
        </w:trPr>
        <w:tc>
          <w:tcPr>
            <w:tcW w:type="dxa" w:w="1008"/>
            <w:tcMar>
              <w:top w:w="20" w:type="dxa"/>
              <w:bottom w:w="20" w:type="dxa"/>
              <w:left w:w="20" w:type="dxa"/>
              <w:right w:w="20" w:type="dxa"/>
            </w:tcMar>
          </w:tcPr>
          <w:p>
            <w:pPr>
              <w:jc w:val="left"/>
            </w:pPr>
            <w:r>
              <w:rPr>
                <w:sz w:val="15"/>
              </w:rPr>
              <w:t>t = 4.0 s</w:t>
            </w:r>
          </w:p>
        </w:tc>
        <w:tc>
          <w:tcPr>
            <w:tcW w:type="dxa" w:w="936"/>
            <w:tcMar>
              <w:top w:w="20" w:type="dxa"/>
              <w:bottom w:w="20" w:type="dxa"/>
              <w:left w:w="20" w:type="dxa"/>
              <w:right w:w="20" w:type="dxa"/>
            </w:tcMar>
          </w:tcPr>
          <w:p>
            <w:pPr>
              <w:jc w:val="center"/>
            </w:pPr>
            <w:r>
              <w:rPr>
                <w:sz w:val="15"/>
              </w:rPr>
              <w:t>15.1 s</w:t>
            </w:r>
          </w:p>
        </w:tc>
        <w:tc>
          <w:tcPr>
            <w:tcW w:type="dxa" w:w="936"/>
            <w:tcMar>
              <w:top w:w="20" w:type="dxa"/>
              <w:bottom w:w="20" w:type="dxa"/>
              <w:left w:w="20" w:type="dxa"/>
              <w:right w:w="20" w:type="dxa"/>
            </w:tcMar>
          </w:tcPr>
          <w:p>
            <w:pPr>
              <w:jc w:val="center"/>
            </w:pPr>
            <w:r>
              <w:rPr>
                <w:sz w:val="15"/>
              </w:rPr>
              <w:t>15.1 s</w:t>
            </w:r>
          </w:p>
        </w:tc>
        <w:tc>
          <w:tcPr>
            <w:tcW w:type="dxa" w:w="1080"/>
            <w:tcMar>
              <w:top w:w="20" w:type="dxa"/>
              <w:bottom w:w="20" w:type="dxa"/>
              <w:left w:w="20" w:type="dxa"/>
              <w:right w:w="20" w:type="dxa"/>
            </w:tcMar>
          </w:tcPr>
          <w:p>
            <w:pPr>
              <w:jc w:val="center"/>
            </w:pPr>
            <w:r>
              <w:rPr>
                <w:sz w:val="15"/>
              </w:rPr>
              <w:t>14.80</w:t>
            </w:r>
          </w:p>
        </w:tc>
        <w:tc>
          <w:tcPr>
            <w:tcW w:type="dxa" w:w="1080"/>
            <w:tcMar>
              <w:top w:w="20" w:type="dxa"/>
              <w:bottom w:w="20" w:type="dxa"/>
              <w:left w:w="20" w:type="dxa"/>
              <w:right w:w="20" w:type="dxa"/>
            </w:tcMar>
          </w:tcPr>
          <w:p>
            <w:pPr>
              <w:jc w:val="center"/>
            </w:pPr>
            <w:r>
              <w:rPr>
                <w:sz w:val="15"/>
              </w:rPr>
              <w:t>1772</w:t>
            </w:r>
          </w:p>
        </w:tc>
      </w:tr>
    </w:tbl>
    <w:p>
      <w:pPr>
        <w:spacing w:before="0" w:after="80" w:line="245" w:lineRule="auto"/>
        <w:jc w:val="both"/>
      </w:pPr>
      <w:r>
        <w:rPr>
          <w:rFonts w:ascii="Times New Roman" w:hAnsi="Times New Roman"/>
          <w:sz w:val="20"/>
        </w:rPr>
        <w:t>Even under immediate hazard onset (t = 0.5 s), aggregate evacuation duration (16.3 s vs. 16.3 s) and unsafe exposures remained identical because single-corridor geometry constrained all egress paths to the same physical hallway portals.</w:t>
      </w:r>
    </w:p>
    <w:p>
      <w:pPr>
        <w:keepNext/>
        <w:spacing w:before="160" w:after="40"/>
        <w:jc w:val="left"/>
      </w:pPr>
      <w:r>
        <w:rPr>
          <w:rFonts w:ascii="Times New Roman" w:hAnsi="Times New Roman"/>
          <w:i/>
          <w:sz w:val="20"/>
        </w:rPr>
        <w:t>H. Gamma Hazard Penalty Sensitivity Sweep (N = 100 Runs)</w:t>
      </w:r>
    </w:p>
    <w:p>
      <w:pPr>
        <w:spacing w:before="0" w:after="80" w:line="245" w:lineRule="auto"/>
        <w:jc w:val="both"/>
      </w:pPr>
      <w:r>
        <w:rPr>
          <w:rFonts w:ascii="Times New Roman" w:hAnsi="Times New Roman"/>
          <w:sz w:val="20"/>
        </w:rPr>
        <w:t>Table VII presents the sensitivity sweep over the hazard penalty factor γ in the gamma hazard-penalty sensitivity experiment.</w:t>
      </w:r>
    </w:p>
    <w:p>
      <w:pPr>
        <w:spacing w:before="80" w:after="40"/>
        <w:jc w:val="center"/>
      </w:pPr>
      <w:r>
        <w:rPr>
          <w:rFonts w:ascii="Times New Roman" w:hAnsi="Times New Roman"/>
          <w:b/>
          <w:sz w:val="16"/>
        </w:rPr>
        <w:t>TABLE VII.  GAMMA (γ) HAZARD PENALTY SWEEP (N=100)</w:t>
      </w:r>
    </w:p>
    <w:tbl>
      <w:tblPr>
        <w:tblW w:type="auto" w:w="0"/>
        <w:jc w:val="center"/>
        <w:tblLook w:firstColumn="1" w:firstRow="1" w:lastColumn="0" w:lastRow="0" w:noHBand="0" w:noVBand="1" w:val="04A0"/>
        <w:tblBorders>
          <w:top w:val="single" w:sz="4" w:space="0" w:color="7F8C8D"/>
          <w:bottom w:val="single" w:sz="4" w:space="0" w:color="7F8C8D"/>
          <w:insideH w:val="single" w:sz="4" w:space="0" w:color="D5D8DC"/>
          <w:insideV w:val="none"/>
          <w:left w:val="none"/>
          <w:right w:val="none"/>
        </w:tblBorders>
      </w:tblPr>
      <w:tblGrid>
        <w:gridCol w:w="2088"/>
        <w:gridCol w:w="2088"/>
        <w:gridCol w:w="2088"/>
        <w:gridCol w:w="2088"/>
        <w:gridCol w:w="2088"/>
      </w:tblGrid>
      <w:tr>
        <w:tc>
          <w:tcPr>
            <w:tcW w:type="dxa" w:w="864"/>
            <w:tcMar>
              <w:top w:w="20" w:type="dxa"/>
              <w:bottom w:w="20" w:type="dxa"/>
              <w:left w:w="20" w:type="dxa"/>
              <w:right w:w="20" w:type="dxa"/>
            </w:tcMar>
            <w:shd w:fill="EAECEE"/>
          </w:tcPr>
          <w:p>
            <w:pPr>
              <w:jc w:val="center"/>
            </w:pPr>
            <w:r>
              <w:rPr>
                <w:b/>
                <w:sz w:val="15"/>
              </w:rPr>
              <w:t>Penalty γ</w:t>
            </w:r>
          </w:p>
        </w:tc>
        <w:tc>
          <w:tcPr>
            <w:tcW w:type="dxa" w:w="720"/>
            <w:tcMar>
              <w:top w:w="20" w:type="dxa"/>
              <w:bottom w:w="20" w:type="dxa"/>
              <w:left w:w="20" w:type="dxa"/>
              <w:right w:w="20" w:type="dxa"/>
            </w:tcMar>
            <w:shd w:fill="EAECEE"/>
          </w:tcPr>
          <w:p>
            <w:pPr>
              <w:jc w:val="center"/>
            </w:pPr>
            <w:r>
              <w:rPr>
                <w:b/>
                <w:sz w:val="15"/>
              </w:rPr>
              <w:t>Cost</w:t>
            </w:r>
          </w:p>
        </w:tc>
        <w:tc>
          <w:tcPr>
            <w:tcW w:type="dxa" w:w="2016"/>
            <w:tcMar>
              <w:top w:w="20" w:type="dxa"/>
              <w:bottom w:w="20" w:type="dxa"/>
              <w:left w:w="20" w:type="dxa"/>
              <w:right w:w="20" w:type="dxa"/>
            </w:tcMar>
            <w:shd w:fill="EAECEE"/>
          </w:tcPr>
          <w:p>
            <w:pPr>
              <w:jc w:val="center"/>
            </w:pPr>
            <w:r>
              <w:rPr>
                <w:b/>
                <w:sz w:val="15"/>
              </w:rPr>
              <w:t>Routing Path (Room 102)</w:t>
            </w:r>
          </w:p>
        </w:tc>
        <w:tc>
          <w:tcPr>
            <w:tcW w:type="dxa" w:w="720"/>
            <w:tcMar>
              <w:top w:w="20" w:type="dxa"/>
              <w:bottom w:w="20" w:type="dxa"/>
              <w:left w:w="20" w:type="dxa"/>
              <w:right w:w="20" w:type="dxa"/>
            </w:tcMar>
            <w:shd w:fill="EAECEE"/>
          </w:tcPr>
          <w:p>
            <w:pPr>
              <w:jc w:val="center"/>
            </w:pPr>
            <w:r>
              <w:rPr>
                <w:b/>
                <w:sz w:val="15"/>
              </w:rPr>
              <w:t>Time</w:t>
            </w:r>
          </w:p>
        </w:tc>
        <w:tc>
          <w:tcPr>
            <w:tcW w:type="dxa" w:w="720"/>
            <w:tcMar>
              <w:top w:w="20" w:type="dxa"/>
              <w:bottom w:w="20" w:type="dxa"/>
              <w:left w:w="20" w:type="dxa"/>
              <w:right w:w="20" w:type="dxa"/>
            </w:tcMar>
            <w:shd w:fill="EAECEE"/>
          </w:tcPr>
          <w:p>
            <w:pPr>
              <w:jc w:val="center"/>
            </w:pPr>
            <w:r>
              <w:rPr>
                <w:b/>
                <w:sz w:val="15"/>
              </w:rPr>
              <w:t>Unsafe</w:t>
            </w:r>
          </w:p>
        </w:tc>
      </w:tr>
      <w:tr>
        <w:trPr>
          <w:cantSplit/>
        </w:trPr>
        <w:tc>
          <w:tcPr>
            <w:tcW w:type="dxa" w:w="864"/>
            <w:tcMar>
              <w:top w:w="20" w:type="dxa"/>
              <w:bottom w:w="20" w:type="dxa"/>
              <w:left w:w="20" w:type="dxa"/>
              <w:right w:w="20" w:type="dxa"/>
            </w:tcMar>
          </w:tcPr>
          <w:p>
            <w:pPr>
              <w:jc w:val="center"/>
            </w:pPr>
            <w:r>
              <w:rPr>
                <w:sz w:val="15"/>
              </w:rPr>
              <w:t>γ = 1.5</w:t>
            </w:r>
          </w:p>
        </w:tc>
        <w:tc>
          <w:tcPr>
            <w:tcW w:type="dxa" w:w="720"/>
            <w:tcMar>
              <w:top w:w="20" w:type="dxa"/>
              <w:bottom w:w="20" w:type="dxa"/>
              <w:left w:w="20" w:type="dxa"/>
              <w:right w:w="20" w:type="dxa"/>
            </w:tcMar>
          </w:tcPr>
          <w:p>
            <w:pPr>
              <w:jc w:val="center"/>
            </w:pPr>
            <w:r>
              <w:rPr>
                <w:sz w:val="15"/>
              </w:rPr>
              <w:t>W=4.5</w:t>
            </w:r>
          </w:p>
        </w:tc>
        <w:tc>
          <w:tcPr>
            <w:tcW w:type="dxa" w:w="2016"/>
            <w:tcMar>
              <w:top w:w="20" w:type="dxa"/>
              <w:bottom w:w="20" w:type="dxa"/>
              <w:left w:w="20" w:type="dxa"/>
              <w:right w:w="20" w:type="dxa"/>
            </w:tcMar>
          </w:tcPr>
          <w:p>
            <w:pPr>
              <w:jc w:val="left"/>
            </w:pPr>
            <w:r>
              <w:rPr>
                <w:sz w:val="15"/>
              </w:rPr>
              <w:t>JUNC_102 -&gt; JUNC_E -&gt; EXIT_EAST</w:t>
            </w:r>
          </w:p>
        </w:tc>
        <w:tc>
          <w:tcPr>
            <w:tcW w:type="dxa" w:w="720"/>
            <w:tcMar>
              <w:top w:w="20" w:type="dxa"/>
              <w:bottom w:w="20" w:type="dxa"/>
              <w:left w:w="20" w:type="dxa"/>
              <w:right w:w="20" w:type="dxa"/>
            </w:tcMar>
          </w:tcPr>
          <w:p>
            <w:pPr>
              <w:jc w:val="center"/>
            </w:pPr>
            <w:r>
              <w:rPr>
                <w:sz w:val="15"/>
              </w:rPr>
              <w:t>20.1 s</w:t>
            </w:r>
          </w:p>
        </w:tc>
        <w:tc>
          <w:tcPr>
            <w:tcW w:type="dxa" w:w="720"/>
            <w:tcMar>
              <w:top w:w="20" w:type="dxa"/>
              <w:bottom w:w="20" w:type="dxa"/>
              <w:left w:w="20" w:type="dxa"/>
              <w:right w:w="20" w:type="dxa"/>
            </w:tcMar>
          </w:tcPr>
          <w:p>
            <w:pPr>
              <w:jc w:val="center"/>
            </w:pPr>
            <w:r>
              <w:rPr>
                <w:sz w:val="15"/>
              </w:rPr>
              <w:t>29.00</w:t>
            </w:r>
          </w:p>
        </w:tc>
      </w:tr>
      <w:tr>
        <w:trPr>
          <w:cantSplit/>
        </w:trPr>
        <w:tc>
          <w:tcPr>
            <w:tcW w:type="dxa" w:w="864"/>
            <w:tcMar>
              <w:top w:w="20" w:type="dxa"/>
              <w:bottom w:w="20" w:type="dxa"/>
              <w:left w:w="20" w:type="dxa"/>
              <w:right w:w="20" w:type="dxa"/>
            </w:tcMar>
          </w:tcPr>
          <w:p>
            <w:pPr>
              <w:jc w:val="center"/>
            </w:pPr>
            <w:r>
              <w:rPr>
                <w:sz w:val="15"/>
              </w:rPr>
              <w:t>γ = 2.0</w:t>
            </w:r>
          </w:p>
        </w:tc>
        <w:tc>
          <w:tcPr>
            <w:tcW w:type="dxa" w:w="720"/>
            <w:tcMar>
              <w:top w:w="20" w:type="dxa"/>
              <w:bottom w:w="20" w:type="dxa"/>
              <w:left w:w="20" w:type="dxa"/>
              <w:right w:w="20" w:type="dxa"/>
            </w:tcMar>
          </w:tcPr>
          <w:p>
            <w:pPr>
              <w:jc w:val="center"/>
            </w:pPr>
            <w:r>
              <w:rPr>
                <w:sz w:val="15"/>
              </w:rPr>
              <w:t>W=5.0</w:t>
            </w:r>
          </w:p>
        </w:tc>
        <w:tc>
          <w:tcPr>
            <w:tcW w:type="dxa" w:w="2016"/>
            <w:tcMar>
              <w:top w:w="20" w:type="dxa"/>
              <w:bottom w:w="20" w:type="dxa"/>
              <w:left w:w="20" w:type="dxa"/>
              <w:right w:w="20" w:type="dxa"/>
            </w:tcMar>
          </w:tcPr>
          <w:p>
            <w:pPr>
              <w:jc w:val="left"/>
            </w:pPr>
            <w:r>
              <w:rPr>
                <w:sz w:val="15"/>
              </w:rPr>
              <w:t>JUNC_102 -&gt; RM_103 -&gt; EXIT_NORTH</w:t>
            </w:r>
          </w:p>
        </w:tc>
        <w:tc>
          <w:tcPr>
            <w:tcW w:type="dxa" w:w="720"/>
            <w:tcMar>
              <w:top w:w="20" w:type="dxa"/>
              <w:bottom w:w="20" w:type="dxa"/>
              <w:left w:w="20" w:type="dxa"/>
              <w:right w:w="20" w:type="dxa"/>
            </w:tcMar>
          </w:tcPr>
          <w:p>
            <w:pPr>
              <w:jc w:val="center"/>
            </w:pPr>
            <w:r>
              <w:rPr>
                <w:sz w:val="15"/>
              </w:rPr>
              <w:t>20.1 s</w:t>
            </w:r>
          </w:p>
        </w:tc>
        <w:tc>
          <w:tcPr>
            <w:tcW w:type="dxa" w:w="720"/>
            <w:tcMar>
              <w:top w:w="20" w:type="dxa"/>
              <w:bottom w:w="20" w:type="dxa"/>
              <w:left w:w="20" w:type="dxa"/>
              <w:right w:w="20" w:type="dxa"/>
            </w:tcMar>
          </w:tcPr>
          <w:p>
            <w:pPr>
              <w:jc w:val="center"/>
            </w:pPr>
            <w:r>
              <w:rPr>
                <w:sz w:val="15"/>
              </w:rPr>
              <w:t>29.00</w:t>
            </w:r>
          </w:p>
        </w:tc>
      </w:tr>
      <w:tr>
        <w:trPr>
          <w:cantSplit/>
        </w:trPr>
        <w:tc>
          <w:tcPr>
            <w:tcW w:type="dxa" w:w="864"/>
            <w:tcMar>
              <w:top w:w="20" w:type="dxa"/>
              <w:bottom w:w="20" w:type="dxa"/>
              <w:left w:w="20" w:type="dxa"/>
              <w:right w:w="20" w:type="dxa"/>
            </w:tcMar>
          </w:tcPr>
          <w:p>
            <w:pPr>
              <w:jc w:val="center"/>
            </w:pPr>
            <w:r>
              <w:rPr>
                <w:sz w:val="15"/>
              </w:rPr>
              <w:t>γ = 2.5</w:t>
            </w:r>
          </w:p>
        </w:tc>
        <w:tc>
          <w:tcPr>
            <w:tcW w:type="dxa" w:w="720"/>
            <w:tcMar>
              <w:top w:w="20" w:type="dxa"/>
              <w:bottom w:w="20" w:type="dxa"/>
              <w:left w:w="20" w:type="dxa"/>
              <w:right w:w="20" w:type="dxa"/>
            </w:tcMar>
          </w:tcPr>
          <w:p>
            <w:pPr>
              <w:jc w:val="center"/>
            </w:pPr>
            <w:r>
              <w:rPr>
                <w:sz w:val="15"/>
              </w:rPr>
              <w:t>W=5.5</w:t>
            </w:r>
          </w:p>
        </w:tc>
        <w:tc>
          <w:tcPr>
            <w:tcW w:type="dxa" w:w="2016"/>
            <w:tcMar>
              <w:top w:w="20" w:type="dxa"/>
              <w:bottom w:w="20" w:type="dxa"/>
              <w:left w:w="20" w:type="dxa"/>
              <w:right w:w="20" w:type="dxa"/>
            </w:tcMar>
          </w:tcPr>
          <w:p>
            <w:pPr>
              <w:jc w:val="left"/>
            </w:pPr>
            <w:r>
              <w:rPr>
                <w:sz w:val="15"/>
              </w:rPr>
              <w:t>JUNC_102 -&gt; RM_103 -&gt; EXIT_NORTH</w:t>
            </w:r>
          </w:p>
        </w:tc>
        <w:tc>
          <w:tcPr>
            <w:tcW w:type="dxa" w:w="720"/>
            <w:tcMar>
              <w:top w:w="20" w:type="dxa"/>
              <w:bottom w:w="20" w:type="dxa"/>
              <w:left w:w="20" w:type="dxa"/>
              <w:right w:w="20" w:type="dxa"/>
            </w:tcMar>
          </w:tcPr>
          <w:p>
            <w:pPr>
              <w:jc w:val="center"/>
            </w:pPr>
            <w:r>
              <w:rPr>
                <w:sz w:val="15"/>
              </w:rPr>
              <w:t>20.1 s</w:t>
            </w:r>
          </w:p>
        </w:tc>
        <w:tc>
          <w:tcPr>
            <w:tcW w:type="dxa" w:w="720"/>
            <w:tcMar>
              <w:top w:w="20" w:type="dxa"/>
              <w:bottom w:w="20" w:type="dxa"/>
              <w:left w:w="20" w:type="dxa"/>
              <w:right w:w="20" w:type="dxa"/>
            </w:tcMar>
          </w:tcPr>
          <w:p>
            <w:pPr>
              <w:jc w:val="center"/>
            </w:pPr>
            <w:r>
              <w:rPr>
                <w:sz w:val="15"/>
              </w:rPr>
              <w:t>29.00</w:t>
            </w:r>
          </w:p>
        </w:tc>
      </w:tr>
      <w:tr>
        <w:trPr>
          <w:cantSplit/>
        </w:trPr>
        <w:tc>
          <w:tcPr>
            <w:tcW w:type="dxa" w:w="864"/>
            <w:tcMar>
              <w:top w:w="20" w:type="dxa"/>
              <w:bottom w:w="20" w:type="dxa"/>
              <w:left w:w="20" w:type="dxa"/>
              <w:right w:w="20" w:type="dxa"/>
            </w:tcMar>
          </w:tcPr>
          <w:p>
            <w:pPr>
              <w:jc w:val="center"/>
            </w:pPr>
            <w:r>
              <w:rPr>
                <w:sz w:val="15"/>
              </w:rPr>
              <w:t>γ = 3.5</w:t>
            </w:r>
          </w:p>
        </w:tc>
        <w:tc>
          <w:tcPr>
            <w:tcW w:type="dxa" w:w="720"/>
            <w:tcMar>
              <w:top w:w="20" w:type="dxa"/>
              <w:bottom w:w="20" w:type="dxa"/>
              <w:left w:w="20" w:type="dxa"/>
              <w:right w:w="20" w:type="dxa"/>
            </w:tcMar>
          </w:tcPr>
          <w:p>
            <w:pPr>
              <w:jc w:val="center"/>
            </w:pPr>
            <w:r>
              <w:rPr>
                <w:sz w:val="15"/>
              </w:rPr>
              <w:t>W=6.5</w:t>
            </w:r>
          </w:p>
        </w:tc>
        <w:tc>
          <w:tcPr>
            <w:tcW w:type="dxa" w:w="2016"/>
            <w:tcMar>
              <w:top w:w="20" w:type="dxa"/>
              <w:bottom w:w="20" w:type="dxa"/>
              <w:left w:w="20" w:type="dxa"/>
              <w:right w:w="20" w:type="dxa"/>
            </w:tcMar>
          </w:tcPr>
          <w:p>
            <w:pPr>
              <w:jc w:val="left"/>
            </w:pPr>
            <w:r>
              <w:rPr>
                <w:sz w:val="15"/>
              </w:rPr>
              <w:t>JUNC_102 -&gt; RM_103 -&gt; EXIT_NORTH</w:t>
            </w:r>
          </w:p>
        </w:tc>
        <w:tc>
          <w:tcPr>
            <w:tcW w:type="dxa" w:w="720"/>
            <w:tcMar>
              <w:top w:w="20" w:type="dxa"/>
              <w:bottom w:w="20" w:type="dxa"/>
              <w:left w:w="20" w:type="dxa"/>
              <w:right w:w="20" w:type="dxa"/>
            </w:tcMar>
          </w:tcPr>
          <w:p>
            <w:pPr>
              <w:jc w:val="center"/>
            </w:pPr>
            <w:r>
              <w:rPr>
                <w:sz w:val="15"/>
              </w:rPr>
              <w:t>15.8 s</w:t>
            </w:r>
          </w:p>
        </w:tc>
        <w:tc>
          <w:tcPr>
            <w:tcW w:type="dxa" w:w="720"/>
            <w:tcMar>
              <w:top w:w="20" w:type="dxa"/>
              <w:bottom w:w="20" w:type="dxa"/>
              <w:left w:w="20" w:type="dxa"/>
              <w:right w:w="20" w:type="dxa"/>
            </w:tcMar>
          </w:tcPr>
          <w:p>
            <w:pPr>
              <w:jc w:val="center"/>
            </w:pPr>
            <w:r>
              <w:rPr>
                <w:sz w:val="15"/>
              </w:rPr>
              <w:t>13.00</w:t>
            </w:r>
          </w:p>
        </w:tc>
      </w:tr>
      <w:tr>
        <w:trPr>
          <w:cantSplit/>
        </w:trPr>
        <w:tc>
          <w:tcPr>
            <w:tcW w:type="dxa" w:w="864"/>
            <w:tcMar>
              <w:top w:w="20" w:type="dxa"/>
              <w:bottom w:w="20" w:type="dxa"/>
              <w:left w:w="20" w:type="dxa"/>
              <w:right w:w="20" w:type="dxa"/>
            </w:tcMar>
          </w:tcPr>
          <w:p>
            <w:pPr>
              <w:jc w:val="center"/>
            </w:pPr>
            <w:r>
              <w:rPr>
                <w:sz w:val="15"/>
              </w:rPr>
              <w:t>γ = 5.0</w:t>
            </w:r>
          </w:p>
        </w:tc>
        <w:tc>
          <w:tcPr>
            <w:tcW w:type="dxa" w:w="720"/>
            <w:tcMar>
              <w:top w:w="20" w:type="dxa"/>
              <w:bottom w:w="20" w:type="dxa"/>
              <w:left w:w="20" w:type="dxa"/>
              <w:right w:w="20" w:type="dxa"/>
            </w:tcMar>
          </w:tcPr>
          <w:p>
            <w:pPr>
              <w:jc w:val="center"/>
            </w:pPr>
            <w:r>
              <w:rPr>
                <w:sz w:val="15"/>
              </w:rPr>
              <w:t>W=8.0</w:t>
            </w:r>
          </w:p>
        </w:tc>
        <w:tc>
          <w:tcPr>
            <w:tcW w:type="dxa" w:w="2016"/>
            <w:tcMar>
              <w:top w:w="20" w:type="dxa"/>
              <w:bottom w:w="20" w:type="dxa"/>
              <w:left w:w="20" w:type="dxa"/>
              <w:right w:w="20" w:type="dxa"/>
            </w:tcMar>
          </w:tcPr>
          <w:p>
            <w:pPr>
              <w:jc w:val="left"/>
            </w:pPr>
            <w:r>
              <w:rPr>
                <w:sz w:val="15"/>
              </w:rPr>
              <w:t>JUNC_102 -&gt; RM_103 -&gt; EXIT_NORTH</w:t>
            </w:r>
          </w:p>
        </w:tc>
        <w:tc>
          <w:tcPr>
            <w:tcW w:type="dxa" w:w="720"/>
            <w:tcMar>
              <w:top w:w="20" w:type="dxa"/>
              <w:bottom w:w="20" w:type="dxa"/>
              <w:left w:w="20" w:type="dxa"/>
              <w:right w:w="20" w:type="dxa"/>
            </w:tcMar>
          </w:tcPr>
          <w:p>
            <w:pPr>
              <w:jc w:val="center"/>
            </w:pPr>
            <w:r>
              <w:rPr>
                <w:sz w:val="15"/>
              </w:rPr>
              <w:t>15.8 s</w:t>
            </w:r>
          </w:p>
        </w:tc>
        <w:tc>
          <w:tcPr>
            <w:tcW w:type="dxa" w:w="720"/>
            <w:tcMar>
              <w:top w:w="20" w:type="dxa"/>
              <w:bottom w:w="20" w:type="dxa"/>
              <w:left w:w="20" w:type="dxa"/>
              <w:right w:w="20" w:type="dxa"/>
            </w:tcMar>
          </w:tcPr>
          <w:p>
            <w:pPr>
              <w:jc w:val="center"/>
            </w:pPr>
            <w:r>
              <w:rPr>
                <w:sz w:val="15"/>
              </w:rPr>
              <w:t>13.00</w:t>
            </w:r>
          </w:p>
        </w:tc>
      </w:tr>
    </w:tbl>
    <w:p>
      <w:pPr>
        <w:spacing w:before="0" w:after="80" w:line="245" w:lineRule="auto"/>
        <w:jc w:val="both"/>
      </w:pPr>
      <w:r>
        <w:rPr>
          <w:rFonts w:ascii="Times New Roman" w:hAnsi="Times New Roman"/>
          <w:sz w:val="20"/>
        </w:rPr>
        <w:t>In the gamma hazard-penalty sensitivity experiment, the results distinguish between route switching and exposure reduction: (1) Route Switching Threshold (γ = 2.0): At γ = 2.0, edge costs along CORRIDOR_MAIN exceed the alternate path cost through Room 103, causing the representative path for Seed 42 to switch from EXIT_EAST to EXIT_NORTH_103. (2) Measurable Safety Improvement (γ &gt;= 3.5): At γ = 2.0 and γ = 2.5, the route switches but aggregate clearance time (20.1 s) and unsafe occupants (29.00) remain unchanged. Only when γ &gt;= 3.5 in this sensitivity experiment does aggressive graph penalization enforce early diversion before corridor smoke concentration peaks, reducing mean evacuation time to 15.8 s and unsafe occupants to 13.00.</w:t>
      </w:r>
    </w:p>
    <w:p>
      <w:pPr>
        <w:keepNext/>
        <w:spacing w:before="240" w:after="60"/>
        <w:jc w:val="center"/>
      </w:pPr>
      <w:r>
        <w:rPr>
          <w:rFonts w:ascii="Times New Roman" w:hAnsi="Times New Roman"/>
          <w:b/>
          <w:sz w:val="20"/>
        </w:rPr>
        <w:t>VI. DISCUSSION</w:t>
      </w:r>
    </w:p>
    <w:p>
      <w:pPr>
        <w:spacing w:before="0" w:after="80" w:line="245" w:lineRule="auto"/>
        <w:jc w:val="both"/>
      </w:pPr>
      <w:r>
        <w:rPr>
          <w:rFonts w:ascii="Times New Roman" w:hAnsi="Times New Roman"/>
          <w:sz w:val="20"/>
        </w:rPr>
        <w:t>The empirical findings highlight the architectural trade-offs between LLM semantic flexibility and cyber-physical runtime determinism.</w:t>
      </w:r>
    </w:p>
    <w:p>
      <w:pPr>
        <w:spacing w:before="0" w:after="80" w:line="245" w:lineRule="auto"/>
        <w:jc w:val="both"/>
      </w:pPr>
      <w:r>
        <w:rPr>
          <w:rFonts w:ascii="Times New Roman" w:hAnsi="Times New Roman"/>
          <w:sz w:val="20"/>
        </w:rPr>
        <w:t>A. Semantic Performance and Baseline Superiority: A central finding is that string heuristics (Method B) outperformed the LLM-assisted pipeline (Method D) in overall F1-score (78.5% vs. 44.9%) and accuracy (70.0% vs. 40.8%) across the 120-case dataset. This occurred because building telemetry tags frequently retain structured sub-tokens (e.g., Z101, TEMP, RM-102) that Levenshtein distance and token overlap resolve effectively with sub-millisecond execution (0.56 ms). The LLM pipeline demonstrated value primarily in interpreting unstructured, semantic descriptions (e.g., "Department Head Office Thermistor") where exact character matches failed. This establishes that LLMs should not replace deterministic heuristics, but rather serve as a fallback tier within a hybrid integration stack.</w:t>
      </w:r>
    </w:p>
    <w:p>
      <w:pPr>
        <w:spacing w:before="0" w:after="80" w:line="245" w:lineRule="auto"/>
        <w:jc w:val="both"/>
      </w:pPr>
      <w:r>
        <w:rPr>
          <w:rFonts w:ascii="Times New Roman" w:hAnsi="Times New Roman"/>
          <w:sz w:val="20"/>
        </w:rPr>
        <w:t>B. Validation Firewall as a Necessary Safety Boundary: The seven-point validation firewall proved critical in preventing unauthorized Digital Twin state corruption. In the 120-case evaluation, the firewall improved precision from 74.4% to 78.4% on admitted data. In the 10-case failure injection suite, nine of ten anomalous inputs were quarantined at the semantic validation boundary; the remaining stale-telemetry case was rejected downstream by timestamp-freshness validation, resulting in zero unauthorized Digital Twin state mutations. Decoupling proposal generation from state admission ensures that LLM hallucination risks are bounded by deterministic domain constraints.</w:t>
      </w:r>
    </w:p>
    <w:p>
      <w:pPr>
        <w:spacing w:before="0" w:after="80" w:line="245" w:lineRule="auto"/>
        <w:jc w:val="both"/>
      </w:pPr>
      <w:r>
        <w:rPr>
          <w:rFonts w:ascii="Times New Roman" w:hAnsi="Times New Roman"/>
          <w:sz w:val="20"/>
        </w:rPr>
        <w:t>C. Latency and Architectural Decoupling: Live network profiling demonstrated that Gemini cold-path API calls averaged 2769.91 ms (p95 = 5997.26 ms). Directly invoking an LLM within a sensor stream would bottleneck building state updates to &lt; 0.4 Hz. By caching validated mappings in SemanticMemory, runtime stream resolution executes in 0.005 ms, isolating cold-path semantic inference from the deterministic runtime routing loop (0.052 ms).</w:t>
      </w:r>
    </w:p>
    <w:p>
      <w:pPr>
        <w:spacing w:before="0" w:after="80" w:line="245" w:lineRule="auto"/>
        <w:jc w:val="both"/>
      </w:pPr>
      <w:r>
        <w:rPr>
          <w:rFonts w:ascii="Times New Roman" w:hAnsi="Times New Roman"/>
          <w:sz w:val="20"/>
        </w:rPr>
        <w:t>D. Interpreting the Negative Evacuation Baseline: The absence of aggregate evacuation time improvement (Δt = 0.0 s) in the baseline benchmark is an important scientific result. Dynamic graph shortest-path routing actively recomputed paths in 100% of runs (22,870 waypoint updates). However, in a coarse single-corridor floor plan where egress paths share arterial hallway segments, local waypoint adjustments do not inherently alter gross room-to-exit traversal durations. Dynamic routing provides measurable safety gains only when alternative, topologically independent egress corridors exist and when hazard penalties (γ &gt;= 3.5) aggressively force early route commitment in the sensitivity experiment.</w:t>
      </w:r>
    </w:p>
    <w:p>
      <w:pPr>
        <w:keepNext/>
        <w:spacing w:before="240" w:after="60"/>
        <w:jc w:val="center"/>
      </w:pPr>
      <w:r>
        <w:rPr>
          <w:rFonts w:ascii="Times New Roman" w:hAnsi="Times New Roman"/>
          <w:b/>
          <w:sz w:val="20"/>
        </w:rPr>
        <w:t>VII. LIMITATIONS</w:t>
      </w:r>
    </w:p>
    <w:p>
      <w:pPr>
        <w:spacing w:before="0" w:after="80" w:line="245" w:lineRule="auto"/>
        <w:jc w:val="both"/>
      </w:pPr>
      <w:r>
        <w:rPr>
          <w:rFonts w:ascii="Times New Roman" w:hAnsi="Times New Roman"/>
          <w:sz w:val="20"/>
        </w:rPr>
        <w:t>This prototype evaluation is subject to several engineering limitations:</w:t>
      </w:r>
    </w:p>
    <w:p>
      <w:pPr>
        <w:spacing w:before="0" w:after="80" w:line="245" w:lineRule="auto"/>
        <w:jc w:val="both"/>
      </w:pPr>
      <w:r>
        <w:rPr>
          <w:rFonts w:ascii="Times New Roman" w:hAnsi="Times New Roman"/>
          <w:sz w:val="20"/>
        </w:rPr>
        <w:t>1) Synthetic Telemetry Benchmark: Evaluations were conducted using a curated 120-case benchmark rather than a live multi-year industrial BMS/FAS deployment.</w:t>
      </w:r>
    </w:p>
    <w:p>
      <w:pPr>
        <w:spacing w:before="0" w:after="80" w:line="245" w:lineRule="auto"/>
        <w:jc w:val="both"/>
      </w:pPr>
      <w:r>
        <w:rPr>
          <w:rFonts w:ascii="Times New Roman" w:hAnsi="Times New Roman"/>
          <w:sz w:val="20"/>
        </w:rPr>
        <w:t>2) Coarse 2D Spatial Representation: Corridors are modeled as single contiguous polygons (CORRIDOR_MAIN). Localized smoke events penalize the entire corridor rather than fine-grained sub-grid cells.</w:t>
      </w:r>
    </w:p>
    <w:p>
      <w:pPr>
        <w:spacing w:before="0" w:after="80" w:line="245" w:lineRule="auto"/>
        <w:jc w:val="both"/>
      </w:pPr>
      <w:r>
        <w:rPr>
          <w:rFonts w:ascii="Times New Roman" w:hAnsi="Times New Roman"/>
          <w:sz w:val="20"/>
        </w:rPr>
        <w:t>3) Simplified Corridor Topology: Single arterial corridor bounds alternate routing paths on the evaluated floor plan.</w:t>
      </w:r>
    </w:p>
    <w:p>
      <w:pPr>
        <w:spacing w:before="0" w:after="80" w:line="245" w:lineRule="auto"/>
        <w:jc w:val="both"/>
      </w:pPr>
      <w:r>
        <w:rPr>
          <w:rFonts w:ascii="Times New Roman" w:hAnsi="Times New Roman"/>
          <w:sz w:val="20"/>
        </w:rPr>
        <w:t>4) Kinematic Point-Mass Occupants: The agent simulator uses constant velocities and reaction delays without doorway social force dynamics, panic modeling, or bidirectional crowd counter-flow.</w:t>
      </w:r>
    </w:p>
    <w:p>
      <w:pPr>
        <w:spacing w:before="0" w:after="80" w:line="245" w:lineRule="auto"/>
        <w:jc w:val="both"/>
      </w:pPr>
      <w:r>
        <w:rPr>
          <w:rFonts w:ascii="Times New Roman" w:hAnsi="Times New Roman"/>
          <w:sz w:val="20"/>
        </w:rPr>
        <w:t>5) Hazard Timing Sensitivity: In the baseline benchmark, rapid occupant egress relative to delayed hazard propagation limited measurable static-versus-dynamic exposure differences.</w:t>
      </w:r>
    </w:p>
    <w:p>
      <w:pPr>
        <w:spacing w:before="0" w:after="80" w:line="245" w:lineRule="auto"/>
        <w:jc w:val="both"/>
      </w:pPr>
      <w:r>
        <w:rPr>
          <w:rFonts w:ascii="Times New Roman" w:hAnsi="Times New Roman"/>
          <w:sz w:val="20"/>
        </w:rPr>
        <w:t>6) In-Memory Semantic Cache: SemanticMemory is volatile and resets upon server restart, requiring database persistence for multi-tenant production.</w:t>
      </w:r>
    </w:p>
    <w:p>
      <w:pPr>
        <w:spacing w:before="0" w:after="80" w:line="245" w:lineRule="auto"/>
        <w:jc w:val="both"/>
      </w:pPr>
      <w:r>
        <w:rPr>
          <w:rFonts w:ascii="Times New Roman" w:hAnsi="Times New Roman"/>
          <w:sz w:val="20"/>
        </w:rPr>
        <w:t>7) No Physical BMS/FAS Deployment: Evaluated in a simulated testbed without physical sensor hardware interfaces.</w:t>
      </w:r>
    </w:p>
    <w:p>
      <w:pPr>
        <w:spacing w:before="0" w:after="80" w:line="245" w:lineRule="auto"/>
        <w:jc w:val="both"/>
      </w:pPr>
      <w:r>
        <w:rPr>
          <w:rFonts w:ascii="Times New Roman" w:hAnsi="Times New Roman"/>
          <w:sz w:val="20"/>
        </w:rPr>
        <w:t>8) No CFD Fire/Smoke Simulation: Hazard propagation relies on rule-based tenability thresholds rather than computational fluid dynamics (CFD / NIST FDS) fire modeling.</w:t>
      </w:r>
    </w:p>
    <w:p>
      <w:pPr>
        <w:spacing w:before="0" w:after="80" w:line="245" w:lineRule="auto"/>
        <w:jc w:val="both"/>
      </w:pPr>
      <w:r>
        <w:rPr>
          <w:rFonts w:ascii="Times New Roman" w:hAnsi="Times New Roman"/>
          <w:sz w:val="20"/>
        </w:rPr>
        <w:t>9) No Physical Sensor Validation: Environmental readings were generated from scenario models rather than physical smoke/fire sensors.</w:t>
      </w:r>
    </w:p>
    <w:p>
      <w:pPr>
        <w:spacing w:before="0" w:after="80" w:line="245" w:lineRule="auto"/>
        <w:jc w:val="both"/>
      </w:pPr>
      <w:r>
        <w:rPr>
          <w:rFonts w:ascii="Times New Roman" w:hAnsi="Times New Roman"/>
          <w:sz w:val="20"/>
        </w:rPr>
        <w:t>10) No Statutory Life-Safety Certification: The software is an engineering research prototype and has not undergone statutory certification under NFPA 72 or EN 54.</w:t>
      </w:r>
    </w:p>
    <w:p>
      <w:pPr>
        <w:spacing w:before="0" w:after="80" w:line="245" w:lineRule="auto"/>
        <w:jc w:val="both"/>
      </w:pPr>
      <w:r>
        <w:rPr>
          <w:rFonts w:ascii="Times New Roman" w:hAnsi="Times New Roman"/>
          <w:sz w:val="20"/>
        </w:rPr>
        <w:t>11) Cold-Path Latency Scale: LLM inference latency spans seconds (mean 2.77 s), confining LLM execution strictly to commissioning and offline schema onboarding.</w:t>
      </w:r>
    </w:p>
    <w:p>
      <w:pPr>
        <w:spacing w:before="0" w:after="80" w:line="245" w:lineRule="auto"/>
        <w:jc w:val="both"/>
      </w:pPr>
      <w:r>
        <w:rPr>
          <w:rFonts w:ascii="Times New Roman" w:hAnsi="Times New Roman"/>
          <w:sz w:val="20"/>
        </w:rPr>
        <w:t>12) Three Configured Topologies: Evaluated across three configured building topologies (Buildings A, B, and C), which demonstrates structural adaptability but does not prove universal generalization across arbitrary multi-story architectures.</w:t>
      </w:r>
    </w:p>
    <w:p>
      <w:pPr>
        <w:spacing w:before="0" w:after="80" w:line="245" w:lineRule="auto"/>
        <w:jc w:val="both"/>
      </w:pPr>
      <w:r>
        <w:rPr>
          <w:rFonts w:ascii="Times New Roman" w:hAnsi="Times New Roman"/>
          <w:sz w:val="20"/>
        </w:rPr>
        <w:t>13) Limited Benchmark Size: The semantic benchmark comprises 120 test cases and 10 failure injection scenarios.</w:t>
      </w:r>
    </w:p>
    <w:p>
      <w:pPr>
        <w:spacing w:before="0" w:after="80" w:line="245" w:lineRule="auto"/>
        <w:jc w:val="both"/>
      </w:pPr>
      <w:r>
        <w:rPr>
          <w:rFonts w:ascii="Times New Roman" w:hAnsi="Times New Roman"/>
          <w:sz w:val="20"/>
        </w:rPr>
        <w:t>14) LLM Performance Boundary: The Gemini LLM pipeline does not outperform the deterministic heuristic baseline on the aggregate semantic benchmark.</w:t>
      </w:r>
    </w:p>
    <w:p>
      <w:pPr>
        <w:keepNext/>
        <w:spacing w:before="240" w:after="60"/>
        <w:jc w:val="center"/>
      </w:pPr>
      <w:r>
        <w:rPr>
          <w:rFonts w:ascii="Times New Roman" w:hAnsi="Times New Roman"/>
          <w:b/>
          <w:sz w:val="20"/>
        </w:rPr>
        <w:t>VIII. CONCLUSION</w:t>
      </w:r>
    </w:p>
    <w:p>
      <w:pPr>
        <w:spacing w:before="0" w:after="80" w:line="245" w:lineRule="auto"/>
        <w:jc w:val="both"/>
      </w:pPr>
      <w:r>
        <w:rPr>
          <w:rFonts w:ascii="Times New Roman" w:hAnsi="Times New Roman"/>
          <w:sz w:val="20"/>
        </w:rPr>
        <w:t>This paper presented the design, implementation, and empirical evaluation of a tiered semantic middleware and Digital Twin prototype for building emergency evacuation simulation. By confining LLM semantic inference to a cold-path onboarding role guarded by a deterministic seven-point validation firewall and in-memory caching, the architecture achieves 78.4% precision on in-domain admissions, zero data leakage across 81 unseen schemas, zero unauthorized Digital Twin mutations, and 0.005 ms warm-path resolution latency. Live simulation confirmed that dynamic hazard-weighted Dijkstra pathfinding successfully recomputes agent paths from current navigation waypoints (22,870 path updates). While baseline evacuation experiments demonstrated that coarse corridor topologies bound aggregate clearance improvements, parameter sweeps identified the critical thresholds (γ = 2.0 for route switching, γ &gt;= 3.5 for exposure reduction in sensitivity testing) governing dynamic routing efficacy. Future work will integrate fine-grained spatial discretization, CFD smoke coupling, and persistent semantic registries for large-scale multi-facility deployments.</w:t>
      </w:r>
    </w:p>
    <w:p>
      <w:pPr>
        <w:keepNext/>
        <w:spacing w:before="240" w:after="60"/>
        <w:jc w:val="center"/>
      </w:pPr>
      <w:r>
        <w:rPr>
          <w:rFonts w:ascii="Times New Roman" w:hAnsi="Times New Roman"/>
          <w:b/>
          <w:sz w:val="20"/>
        </w:rPr>
        <w:t>REFERENCES</w:t>
      </w:r>
    </w:p>
    <w:p>
      <w:pPr>
        <w:spacing w:before="0" w:after="50" w:line="240" w:lineRule="auto"/>
        <w:ind w:left="259" w:hanging="259"/>
        <w:jc w:val="both"/>
      </w:pPr>
      <w:r>
        <w:rPr>
          <w:rFonts w:ascii="Times New Roman" w:hAnsi="Times New Roman"/>
          <w:sz w:val="16"/>
        </w:rPr>
        <w:t>[1] F. Tao, H. Zhang, A. Liu, and A. Y. C. Nee, "Digital twin in industry: State-of-the-art," IEEE Transactions on Industrial Informatics, vol. 15, no. 4, pp. 2405-2415, Apr. 2019.</w:t>
      </w:r>
    </w:p>
    <w:p>
      <w:pPr>
        <w:spacing w:before="0" w:after="50" w:line="240" w:lineRule="auto"/>
        <w:ind w:left="259" w:hanging="259"/>
        <w:jc w:val="both"/>
      </w:pPr>
      <w:r>
        <w:rPr>
          <w:rFonts w:ascii="Times New Roman" w:hAnsi="Times New Roman"/>
          <w:sz w:val="16"/>
        </w:rPr>
        <w:t>[2] K. Lu, X. Xie, M. Parlikad, and J. Schooling, "Digital twin-enabled smart campus: Architecture, applications, and challenges," Automation in Construction, vol. 127, p. 103726, Jul. 2021.</w:t>
      </w:r>
    </w:p>
    <w:p>
      <w:pPr>
        <w:spacing w:before="0" w:after="50" w:line="240" w:lineRule="auto"/>
        <w:ind w:left="259" w:hanging="259"/>
        <w:jc w:val="both"/>
      </w:pPr>
      <w:r>
        <w:rPr>
          <w:rFonts w:ascii="Times New Roman" w:hAnsi="Times New Roman"/>
          <w:sz w:val="16"/>
        </w:rPr>
        <w:t>[3] Q. Lu, A. K. Parlikad, P. Woodall, G. Don Ranasinghe, X. Xie, Z. Liang, E. Konstantinou, J. Heaton, and J. Schooling, "Developing a dynamic digital twin at a building level: Using Cambridge campus as a case study," Advanced Engineering Informatics, vol. 46, p. 101187, Oct. 2020.</w:t>
      </w:r>
    </w:p>
    <w:p>
      <w:pPr>
        <w:spacing w:before="0" w:after="50" w:line="240" w:lineRule="auto"/>
        <w:ind w:left="259" w:hanging="259"/>
        <w:jc w:val="both"/>
      </w:pPr>
      <w:r>
        <w:rPr>
          <w:rFonts w:ascii="Times New Roman" w:hAnsi="Times New Roman"/>
          <w:sz w:val="16"/>
        </w:rPr>
        <w:t>[4] J. Teizer, "Status quo and future directions for construction safety and health through advanced digital technologies," Safety Science, vol. 80, pp. 1-13, Dec. 2015.</w:t>
      </w:r>
    </w:p>
    <w:p>
      <w:pPr>
        <w:spacing w:before="0" w:after="50" w:line="240" w:lineRule="auto"/>
        <w:ind w:left="259" w:hanging="259"/>
        <w:jc w:val="both"/>
      </w:pPr>
      <w:r>
        <w:rPr>
          <w:rFonts w:ascii="Times New Roman" w:hAnsi="Times New Roman"/>
          <w:sz w:val="16"/>
        </w:rPr>
        <w:t>[5] S. Tang, B. C. M. Fung, and E. E. E. Zayed, "Digital twin for building fire evacuation: A comprehensive review," Safety Science, vol. 165, p. 106197, Sep. 2023.</w:t>
      </w:r>
    </w:p>
    <w:p>
      <w:pPr>
        <w:spacing w:before="0" w:after="50" w:line="240" w:lineRule="auto"/>
        <w:ind w:left="259" w:hanging="259"/>
        <w:jc w:val="both"/>
      </w:pPr>
      <w:r>
        <w:rPr>
          <w:rFonts w:ascii="Times New Roman" w:hAnsi="Times New Roman"/>
          <w:sz w:val="16"/>
        </w:rPr>
        <w:t>[6] C. Boje, A. Guerriero, S. Kubicki, and Y. Rezgui, "Towards a semantic Construction Digital Twin: Directions for ontology development," Automation in Construction, vol. 114, p. 103179, Jun. 2020.</w:t>
      </w:r>
    </w:p>
    <w:p>
      <w:pPr>
        <w:spacing w:before="0" w:after="50" w:line="240" w:lineRule="auto"/>
        <w:ind w:left="259" w:hanging="259"/>
        <w:jc w:val="both"/>
      </w:pPr>
      <w:r>
        <w:rPr>
          <w:rFonts w:ascii="Times New Roman" w:hAnsi="Times New Roman"/>
          <w:sz w:val="16"/>
        </w:rPr>
        <w:t>[7] P. Pauwels, S. Zhang, and Y. C. Lee, "Semantic web technologies in AEC industry: A literature overview," Automation in Construction, vol. 73, pp. 145-165, Jan. 2017.</w:t>
      </w:r>
    </w:p>
    <w:p>
      <w:pPr>
        <w:spacing w:before="0" w:after="50" w:line="240" w:lineRule="auto"/>
        <w:ind w:left="259" w:hanging="259"/>
        <w:jc w:val="both"/>
      </w:pPr>
      <w:r>
        <w:rPr>
          <w:rFonts w:ascii="Times New Roman" w:hAnsi="Times New Roman"/>
          <w:sz w:val="16"/>
        </w:rPr>
        <w:t>[8] S. T. Bushby, "BACnet: a standard communication infrastructure for intelligent buildings," Automation in Construction, vol. 6, no. 5-6, pp. 529-540, Dec. 1997.</w:t>
      </w:r>
    </w:p>
    <w:p>
      <w:pPr>
        <w:spacing w:before="0" w:after="50" w:line="240" w:lineRule="auto"/>
        <w:ind w:left="259" w:hanging="259"/>
        <w:jc w:val="both"/>
      </w:pPr>
      <w:r>
        <w:rPr>
          <w:rFonts w:ascii="Times New Roman" w:hAnsi="Times New Roman"/>
          <w:sz w:val="16"/>
        </w:rPr>
        <w:t>[9] A. Kastner, W. Granzer, and W. Kastner, "Open communication in building automation: A comparison of BACnet, KNX, and LONWORKS," IEEE Transactions on Industrial Electronics, vol. 57, no. 11, pp. 3577-3586, Nov. 2010.</w:t>
      </w:r>
    </w:p>
    <w:p>
      <w:pPr>
        <w:spacing w:before="0" w:after="50" w:line="240" w:lineRule="auto"/>
        <w:ind w:left="259" w:hanging="259"/>
        <w:jc w:val="both"/>
      </w:pPr>
      <w:r>
        <w:rPr>
          <w:rFonts w:ascii="Times New Roman" w:hAnsi="Times New Roman"/>
          <w:sz w:val="16"/>
        </w:rPr>
        <w:t>[10] B. Balaji, A. Bhattacharya, G. Fierro, J. Gao, J. Gluck, D. Hong, A. Johansen, J. Koh, J. Ploennigs, Y. Agarwal, M. Berges, D. Culler, R. Gupta, M. B. Kjærgaard, M. Srivastava, and K. Whitehouse, "Brick: Towards a unified metadata schema for buildings," in Proc. ACM BuildSys, 2016, pp. 41-50.</w:t>
      </w:r>
    </w:p>
    <w:p>
      <w:pPr>
        <w:spacing w:before="0" w:after="50" w:line="240" w:lineRule="auto"/>
        <w:ind w:left="259" w:hanging="259"/>
        <w:jc w:val="both"/>
      </w:pPr>
      <w:r>
        <w:rPr>
          <w:rFonts w:ascii="Times New Roman" w:hAnsi="Times New Roman"/>
          <w:sz w:val="16"/>
        </w:rPr>
        <w:t>[11] E. Hammar, K. Hammar, and P. Karlberg, "RealEstateCore: A modular ontology for smart buildings," in Proc. Extended Semantic Web Conference (ESWC), 2019, pp. 124-128.</w:t>
      </w:r>
    </w:p>
    <w:p>
      <w:pPr>
        <w:spacing w:before="0" w:after="50" w:line="240" w:lineRule="auto"/>
        <w:ind w:left="259" w:hanging="259"/>
        <w:jc w:val="both"/>
      </w:pPr>
      <w:r>
        <w:rPr>
          <w:rFonts w:ascii="Times New Roman" w:hAnsi="Times New Roman"/>
          <w:sz w:val="16"/>
        </w:rPr>
        <w:t>[12] J. Koh, B. Balaji, V. Sengupta, J. Bender, and Y. Agarwal, "Plaster: An integration platform for semantic metadata parsing and schema matching in buildings," in Proc. ACM BuildSys, 2018, pp. 1-10.</w:t>
      </w:r>
    </w:p>
    <w:p>
      <w:pPr>
        <w:spacing w:before="0" w:after="50" w:line="240" w:lineRule="auto"/>
        <w:ind w:left="259" w:hanging="259"/>
        <w:jc w:val="both"/>
      </w:pPr>
      <w:r>
        <w:rPr>
          <w:rFonts w:ascii="Times New Roman" w:hAnsi="Times New Roman"/>
          <w:sz w:val="16"/>
        </w:rPr>
        <w:t>[13] H. Li, J. Feng, and Y. Mao, "Large language models for data integration: A survey," IEEE Transactions on Knowledge and Data Engineering, early access, 2024.</w:t>
      </w:r>
    </w:p>
    <w:p>
      <w:pPr>
        <w:spacing w:before="0" w:after="50" w:line="240" w:lineRule="auto"/>
        <w:ind w:left="259" w:hanging="259"/>
        <w:jc w:val="both"/>
      </w:pPr>
      <w:r>
        <w:rPr>
          <w:rFonts w:ascii="Times New Roman" w:hAnsi="Times New Roman"/>
          <w:sz w:val="16"/>
        </w:rPr>
        <w:t>[14] A. Narayan, I. Chami, L. Orr, and C. Ré, "Can foundation models wrangle your data?" Proceedings of the VLDB Endowment, vol. 16, no. 4, pp. 738-746, Dec. 2022.</w:t>
      </w:r>
    </w:p>
    <w:p>
      <w:pPr>
        <w:spacing w:before="0" w:after="50" w:line="240" w:lineRule="auto"/>
        <w:ind w:left="259" w:hanging="259"/>
        <w:jc w:val="both"/>
      </w:pPr>
      <w:r>
        <w:rPr>
          <w:rFonts w:ascii="Times New Roman" w:hAnsi="Times New Roman"/>
          <w:sz w:val="16"/>
        </w:rPr>
        <w:t>[15] T. Ahmed, M. S. Islam, and A. Rahman, "LLM-assisted building management systems: Opportunities and security challenges," IEEE Internet of Things Magazine, vol. 6, no. 4, pp. 62-68, Dec. 2023.</w:t>
      </w:r>
    </w:p>
    <w:p>
      <w:pPr>
        <w:spacing w:before="0" w:after="50" w:line="240" w:lineRule="auto"/>
        <w:ind w:left="259" w:hanging="259"/>
        <w:jc w:val="both"/>
      </w:pPr>
      <w:r>
        <w:rPr>
          <w:rFonts w:ascii="Times New Roman" w:hAnsi="Times New Roman"/>
          <w:sz w:val="16"/>
        </w:rPr>
        <w:t>[16] Y. Ji, Y. Zhang, L. Zhang, and X. Huang, "A survey on hallucination in large language models: Principles, taxonomy, and challenges," ACM Computing Surveys, vol. 56, no. 10, pp. 1-38, Jun. 2024.</w:t>
      </w:r>
    </w:p>
    <w:p>
      <w:pPr>
        <w:spacing w:before="0" w:after="50" w:line="240" w:lineRule="auto"/>
        <w:ind w:left="259" w:hanging="259"/>
        <w:jc w:val="both"/>
      </w:pPr>
      <w:r>
        <w:rPr>
          <w:rFonts w:ascii="Times New Roman" w:hAnsi="Times New Roman"/>
          <w:sz w:val="16"/>
        </w:rPr>
        <w:t>[17] X. Zheng, T. Zhong, and M. Liu, "Modeling crowd evacuation of a building based on cellular automata and dynamic hazard field," Fire Safety Journal, vol. 107, pp. 162-172, Jul. 2019.</w:t>
      </w:r>
    </w:p>
    <w:p>
      <w:pPr>
        <w:spacing w:before="0" w:after="50" w:line="240" w:lineRule="auto"/>
        <w:ind w:left="259" w:hanging="259"/>
        <w:jc w:val="both"/>
      </w:pPr>
      <w:r>
        <w:rPr>
          <w:rFonts w:ascii="Times New Roman" w:hAnsi="Times New Roman"/>
          <w:sz w:val="16"/>
        </w:rPr>
        <w:t>[18] M. Poveda-Villalón, R. García-Castro, and A. Gómez-Pérez, "SAREF4BLDG: An extension of SAREF for the building domain," Semantic Web, vol. 11, no. 2, pp. 285-300, 2020.</w:t>
      </w:r>
    </w:p>
    <w:p>
      <w:pPr>
        <w:spacing w:before="0" w:after="50" w:line="240" w:lineRule="auto"/>
        <w:ind w:left="259" w:hanging="259"/>
        <w:jc w:val="both"/>
      </w:pPr>
      <w:r>
        <w:rPr>
          <w:rFonts w:ascii="Times New Roman" w:hAnsi="Times New Roman"/>
          <w:sz w:val="16"/>
        </w:rPr>
        <w:t>[19] M. Kovatsch, R. Matsukura, M. Lagally, T. Kawaguchi, T. Toumura, and K. Kajimoto, "W3C Web of Things (WoT) Thing Description," W3C Recommendation, 2020.</w:t>
      </w:r>
    </w:p>
    <w:p>
      <w:pPr>
        <w:spacing w:before="0" w:after="50" w:line="240" w:lineRule="auto"/>
        <w:ind w:left="259" w:hanging="259"/>
        <w:jc w:val="both"/>
      </w:pPr>
      <w:r>
        <w:rPr>
          <w:rFonts w:ascii="Times New Roman" w:hAnsi="Times New Roman"/>
          <w:sz w:val="16"/>
        </w:rPr>
        <w:t>[20] E. W. Dijkstra, "A note on two problems in connexion with graphs," Numerische Mathematik, vol. 1, no. 1, pp. 269-271, 1959.</w:t>
      </w:r>
    </w:p>
    <w:p>
      <w:pPr>
        <w:spacing w:before="0" w:after="50" w:line="240" w:lineRule="auto"/>
        <w:ind w:left="259" w:hanging="259"/>
        <w:jc w:val="both"/>
      </w:pPr>
      <w:r>
        <w:rPr>
          <w:rFonts w:ascii="Times New Roman" w:hAnsi="Times New Roman"/>
          <w:sz w:val="16"/>
        </w:rPr>
        <w:t>[21] D. Helbing and P. Molnar, "Social force model for pedestrian dynamics," Physical Review E, vol. 51, no. 5, pp. 4282-4286, May 1995.</w:t>
      </w:r>
    </w:p>
    <w:p>
      <w:pPr>
        <w:spacing w:before="0" w:after="50" w:line="240" w:lineRule="auto"/>
        <w:ind w:left="259" w:hanging="259"/>
        <w:jc w:val="both"/>
      </w:pPr>
      <w:r>
        <w:rPr>
          <w:rFonts w:ascii="Times New Roman" w:hAnsi="Times New Roman"/>
          <w:sz w:val="16"/>
        </w:rPr>
        <w:t>[22] M. Lovreglio, V. Gonzalez, Z. Feng, R. Amor, M. Spearpoint, J. Thomas, M. Trotter, and R. Sacks, "Prototyping virtual reality serious games for building evacuation training," Advanced Engineering Informatics, vol. 38, pp. 145-154, Oct. 2018.</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