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60"/>
        <w:jc w:val="center"/>
      </w:pPr>
      <w:r>
        <w:rPr>
          <w:b/>
          <w:bCs/>
          <w:color w:val="1E3A5F"/>
          <w:sz w:val="64"/>
          <w:szCs w:val="64"/>
        </w:rPr>
        <w:t xml:space="preserve">AI CONTRACT COPILOT</w:t>
      </w:r>
    </w:p>
    <w:p>
      <w:pPr>
        <w:spacing w:before="0" w:after="60"/>
        <w:jc w:val="center"/>
      </w:pPr>
      <w:r>
        <w:rPr>
          <w:color w:val="2E86AB"/>
          <w:sz w:val="36"/>
          <w:szCs w:val="36"/>
        </w:rPr>
        <w:t xml:space="preserve">Complete Product Build Blueprint</w:t>
      </w:r>
    </w:p>
    <w:p>
      <w:pPr>
        <w:spacing w:before="0" w:after="400"/>
        <w:jc w:val="center"/>
      </w:pPr>
      <w:r>
        <w:rPr>
          <w:i/>
          <w:iCs/>
          <w:color w:val="555555"/>
          <w:sz w:val="24"/>
          <w:szCs w:val="24"/>
        </w:rPr>
        <w:t xml:space="preserve">From NDA Analyzer MVP to $100M+ Legal AI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ACCEE" w:sz="1"/>
              <w:left w:val="single" w:color="AACCEE" w:sz="1"/>
              <w:bottom w:val="single" w:color="AACCEE" w:sz="1"/>
              <w:right w:val="single" w:color="AACCEE" w:sz="1"/>
            </w:tcBorders>
            <w:shd w:fill="1E3A5F" w:val="clear"/>
            <w:tcMar>
              <w:top w:type="dxa" w:w="120"/>
              <w:left w:type="dxa" w:w="120"/>
              <w:bottom w:type="dxa" w:w="120"/>
              <w:right w:type="dxa" w:w="120"/>
            </w:tcMar>
          </w:tcPr>
          <w:p>
            <w:pPr>
              <w:jc w:val="center"/>
            </w:pPr>
            <w:r>
              <w:rPr>
                <w:b/>
                <w:bCs/>
                <w:color w:val="FFFFFF"/>
                <w:sz w:val="22"/>
                <w:szCs w:val="22"/>
              </w:rPr>
              <w:t xml:space="preserve">Market Size</w:t>
            </w:r>
          </w:p>
          <w:p>
            <w:pPr>
              <w:jc w:val="center"/>
            </w:pPr>
            <w:r>
              <w:rPr>
                <w:color w:val="CCDDFF"/>
                <w:sz w:val="20"/>
                <w:szCs w:val="20"/>
              </w:rPr>
              <w:t xml:space="preserve">$800B+ Legal Industry</w:t>
            </w:r>
          </w:p>
        </w:tc>
        <w:tc>
          <w:tcPr>
            <w:tcW w:type="dxa" w:w="3120"/>
            <w:tcBorders>
              <w:top w:val="single" w:color="AACCEE" w:sz="1"/>
              <w:left w:val="single" w:color="AACCEE" w:sz="1"/>
              <w:bottom w:val="single" w:color="AACCEE" w:sz="1"/>
              <w:right w:val="single" w:color="AACCEE" w:sz="1"/>
            </w:tcBorders>
            <w:shd w:fill="2E86AB" w:val="clear"/>
            <w:tcMar>
              <w:top w:type="dxa" w:w="120"/>
              <w:left w:type="dxa" w:w="120"/>
              <w:bottom w:type="dxa" w:w="120"/>
              <w:right w:type="dxa" w:w="120"/>
            </w:tcMar>
          </w:tcPr>
          <w:p>
            <w:pPr>
              <w:jc w:val="center"/>
            </w:pPr>
            <w:r>
              <w:rPr>
                <w:b/>
                <w:bCs/>
                <w:color w:val="FFFFFF"/>
                <w:sz w:val="22"/>
                <w:szCs w:val="22"/>
              </w:rPr>
              <w:t xml:space="preserve">Target Price</w:t>
            </w:r>
          </w:p>
          <w:p>
            <w:pPr>
              <w:jc w:val="center"/>
            </w:pPr>
            <w:r>
              <w:rPr>
                <w:color w:val="DDEEFF"/>
                <w:sz w:val="20"/>
                <w:szCs w:val="20"/>
              </w:rPr>
              <w:t xml:space="preserve">$19 - $299 / month</w:t>
            </w:r>
          </w:p>
        </w:tc>
        <w:tc>
          <w:tcPr>
            <w:tcW w:type="dxa" w:w="3120"/>
            <w:tcBorders>
              <w:top w:val="single" w:color="AACCEE" w:sz="1"/>
              <w:left w:val="single" w:color="AACCEE" w:sz="1"/>
              <w:bottom w:val="single" w:color="AACCEE" w:sz="1"/>
              <w:right w:val="single" w:color="AACCEE" w:sz="1"/>
            </w:tcBorders>
            <w:shd w:fill="2A7A4F" w:val="clear"/>
            <w:tcMar>
              <w:top w:type="dxa" w:w="120"/>
              <w:left w:type="dxa" w:w="120"/>
              <w:bottom w:type="dxa" w:w="120"/>
              <w:right w:type="dxa" w:w="120"/>
            </w:tcMar>
          </w:tcPr>
          <w:p>
            <w:pPr>
              <w:jc w:val="center"/>
            </w:pPr>
            <w:r>
              <w:rPr>
                <w:b/>
                <w:bCs/>
                <w:color w:val="FFFFFF"/>
                <w:sz w:val="22"/>
                <w:szCs w:val="22"/>
              </w:rPr>
              <w:t xml:space="preserve">MVP Timeline</w:t>
            </w:r>
          </w:p>
          <w:p>
            <w:pPr>
              <w:jc w:val="center"/>
            </w:pPr>
            <w:r>
              <w:rPr>
                <w:color w:val="CCFFDD"/>
                <w:sz w:val="20"/>
                <w:szCs w:val="20"/>
              </w:rPr>
              <w:t xml:space="preserve">30 Days to Launch</w:t>
            </w:r>
          </w:p>
        </w:tc>
      </w:tr>
    </w:tbl>
    <w:p>
      <w:r>
        <w:rPr>
          <w:sz w:val="44"/>
          <w:szCs w:val="44"/>
        </w:rPr>
        <w:t xml:space="preserve"/>
      </w:r>
    </w:p>
    <w:p>
      <w:pPr>
        <w:pStyle w:val="Heading1"/>
        <w:spacing w:before="360" w:after="120"/>
      </w:pPr>
      <w:r>
        <w:rPr>
          <w:b/>
          <w:bCs/>
          <w:color w:val="1E3A5F"/>
          <w:sz w:val="36"/>
          <w:szCs w:val="36"/>
        </w:rPr>
        <w:t xml:space="preserve">SECTION 1 — EXECUTIVE SUMMARY</w:t>
      </w:r>
    </w:p>
    <w:p>
      <w:pPr>
        <w:pBdr>
          <w:bottom w:val="single" w:color="AACCEE" w:sz="4" w:space="1"/>
        </w:pBdr>
        <w:spacing w:before="120" w:after="120"/>
      </w:pPr>
      <w:r>
        <w:t xml:space="preserve"/>
      </w:r>
    </w:p>
    <w:p>
      <w:pPr>
        <w:spacing w:before="60" w:after="60"/>
      </w:pPr>
      <w:r>
        <w:rPr>
          <w:color w:val="222222"/>
          <w:sz w:val="22"/>
          <w:szCs w:val="22"/>
        </w:rPr>
        <w:t xml:space="preserve">The legal industry runs on documents. Every startup, freelancer, small firm, and enterprise signs contracts daily — NDAs, employment agreements, SaaS terms, vendor agreements, and more. The overwhelming majority of these contracts are reviewed without proper legal analysis. The result: missed risks, missed deadlines, and expensive disputes.</w:t>
      </w:r>
    </w:p>
    <w:p>
      <w:r>
        <w:rPr>
          <w:sz w:val="22"/>
          <w:szCs w:val="22"/>
        </w:rPr>
        <w:t xml:space="preserve"/>
      </w:r>
    </w:p>
    <w:p>
      <w:pPr>
        <w:spacing w:before="60" w:after="60"/>
      </w:pPr>
      <w:r>
        <w:rPr>
          <w:color w:val="222222"/>
          <w:sz w:val="22"/>
          <w:szCs w:val="22"/>
        </w:rPr>
        <w:t xml:space="preserve">Enterprise legal AI tools like Spellbook, Harvey AI, Ironclad, and Luminance exist, but they are priced at $200–$2,000 per user per month, require months of onboarding, and are built for Fortune 500 legal teams — not for the tens of millions of small firms, startups, and SMBs that need affordable help right now.</w:t>
      </w:r>
    </w:p>
    <w:p>
      <w:r>
        <w:rPr>
          <w:sz w:val="22"/>
          <w:szCs w:val="22"/>
        </w:rPr>
        <w:t xml:space="preserve"/>
      </w:r>
    </w:p>
    <w:p>
      <w:pPr>
        <w:spacing w:before="60" w:after="60"/>
      </w:pPr>
      <w:r>
        <w:rPr>
          <w:color w:val="222222"/>
          <w:sz w:val="22"/>
          <w:szCs w:val="22"/>
        </w:rPr>
        <w:t xml:space="preserve">The opportunity is to build AI Contract Copilot: a simple, affordable, powerful SaaS product that lets any user upload a contract, receive an instant risk analysis, understand every clause in plain English, and get actionable negotiation suggestions in under 60 seconds.</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CCEE" w:sz="1"/>
              <w:left w:val="single" w:color="AACCEE" w:sz="1"/>
              <w:bottom w:val="single" w:color="AACCEE" w:sz="1"/>
              <w:right w:val="single" w:color="AACCEE" w:sz="1"/>
            </w:tcBorders>
            <w:shd w:fill="1E3A5F" w:val="clear"/>
            <w:tcMar>
              <w:top w:type="dxa" w:w="80"/>
              <w:left w:type="dxa" w:w="160"/>
              <w:bottom w:type="dxa" w:w="80"/>
              <w:right w:type="dxa" w:w="160"/>
            </w:tcMar>
          </w:tcPr>
          <w:p>
            <w:r>
              <w:rPr>
                <w:b/>
                <w:bCs/>
                <w:color w:val="FFFFFF"/>
                <w:sz w:val="22"/>
                <w:szCs w:val="22"/>
              </w:rPr>
              <w:t xml:space="preserve">The Core Value Proposition</w:t>
            </w:r>
          </w:p>
        </w:tc>
      </w:tr>
      <w:tr>
        <w:tc>
          <w:tcPr>
            <w:tcW w:type="dxa" w:w="9360"/>
            <w:tcBorders>
              <w:top w:val="single" w:color="AACCEE" w:sz="1"/>
              <w:left w:val="single" w:color="AACCEE" w:sz="1"/>
              <w:bottom w:val="single" w:color="AACCEE" w:sz="1"/>
              <w:right w:val="single" w:color="AACCEE" w:sz="1"/>
            </w:tcBorders>
            <w:shd w:fill="EEF4FB" w:val="clear"/>
            <w:tcMar>
              <w:top w:type="dxa" w:w="60"/>
              <w:left w:type="dxa" w:w="160"/>
              <w:bottom w:type="dxa" w:w="60"/>
              <w:right w:type="dxa" w:w="160"/>
            </w:tcMar>
          </w:tcPr>
          <w:p>
            <w:r>
              <w:rPr>
                <w:color w:val="222222"/>
                <w:sz w:val="21"/>
                <w:szCs w:val="21"/>
              </w:rPr>
              <w:t xml:space="preserve">Upload any contract  →  Get a risk score, clause breakdown, plain-language explanation, and suggested edits — in 60 seconds.</w:t>
            </w:r>
          </w:p>
        </w:tc>
      </w:tr>
      <w:tr>
        <w:tc>
          <w:tcPr>
            <w:tcW w:type="dxa" w:w="9360"/>
            <w:tcBorders>
              <w:top w:val="single" w:color="AACCEE" w:sz="1"/>
              <w:left w:val="single" w:color="AACCEE" w:sz="1"/>
              <w:bottom w:val="single" w:color="AACCEE" w:sz="1"/>
              <w:right w:val="single" w:color="AACCEE" w:sz="1"/>
            </w:tcBorders>
            <w:shd w:fill="EEF4FB" w:val="clear"/>
            <w:tcMar>
              <w:top w:type="dxa" w:w="60"/>
              <w:left w:type="dxa" w:w="160"/>
              <w:bottom w:type="dxa" w:w="60"/>
              <w:right w:type="dxa" w:w="160"/>
            </w:tcMar>
          </w:tcPr>
          <w:p>
            <w:r>
              <w:rPr>
                <w:color w:val="222222"/>
                <w:sz w:val="21"/>
                <w:szCs w:val="21"/>
              </w:rPr>
              <w:t xml:space="preserve">Priced at $19-$299/month vs $500-$2000/month for enterprise alternatives.</w:t>
            </w:r>
          </w:p>
        </w:tc>
      </w:tr>
      <w:tr>
        <w:tc>
          <w:tcPr>
            <w:tcW w:type="dxa" w:w="9360"/>
            <w:tcBorders>
              <w:top w:val="single" w:color="AACCEE" w:sz="1"/>
              <w:left w:val="single" w:color="AACCEE" w:sz="1"/>
              <w:bottom w:val="single" w:color="AACCEE" w:sz="1"/>
              <w:right w:val="single" w:color="AACCEE" w:sz="1"/>
            </w:tcBorders>
            <w:shd w:fill="EEF4FB" w:val="clear"/>
            <w:tcMar>
              <w:top w:type="dxa" w:w="60"/>
              <w:left w:type="dxa" w:w="160"/>
              <w:bottom w:type="dxa" w:w="60"/>
              <w:right w:type="dxa" w:w="160"/>
            </w:tcMar>
          </w:tcPr>
          <w:p>
            <w:r>
              <w:rPr>
                <w:color w:val="222222"/>
                <w:sz w:val="21"/>
                <w:szCs w:val="21"/>
              </w:rPr>
              <w:t xml:space="preserve">Starts focused on NDAs (easiest, most common) and expands to full legal copilot.</w:t>
            </w:r>
          </w:p>
        </w:tc>
      </w:tr>
    </w:tbl>
    <w:p>
      <w:r>
        <w:rPr>
          <w:sz w:val="22"/>
          <w:szCs w:val="22"/>
        </w:rPr>
        <w:t xml:space="preserve"/>
      </w:r>
    </w:p>
    <w:p>
      <w:pPr>
        <w:pStyle w:val="Heading1"/>
        <w:spacing w:before="360" w:after="120"/>
      </w:pPr>
      <w:r>
        <w:rPr>
          <w:b/>
          <w:bCs/>
          <w:color w:val="1E3A5F"/>
          <w:sz w:val="36"/>
          <w:szCs w:val="36"/>
        </w:rPr>
        <w:t xml:space="preserve">SECTION 2 — PROBLEM STATEMENT (Deep Dive)</w:t>
      </w:r>
    </w:p>
    <w:p>
      <w:pPr>
        <w:pBdr>
          <w:bottom w:val="single" w:color="AACCEE" w:sz="4" w:space="1"/>
        </w:pBdr>
        <w:spacing w:before="120" w:after="120"/>
      </w:pPr>
      <w:r>
        <w:t xml:space="preserve"/>
      </w:r>
    </w:p>
    <w:p>
      <w:pPr>
        <w:pStyle w:val="Heading2"/>
        <w:spacing w:before="240" w:after="80"/>
      </w:pPr>
      <w:r>
        <w:rPr>
          <w:b/>
          <w:bCs/>
          <w:color w:val="2E86AB"/>
          <w:sz w:val="28"/>
          <w:szCs w:val="28"/>
        </w:rPr>
        <w:t xml:space="preserve">2.1  Who Has This Problem?</w:t>
      </w:r>
    </w:p>
    <w:p>
      <w:pPr>
        <w:spacing w:before="60" w:after="60"/>
      </w:pPr>
      <w:r>
        <w:rPr>
          <w:color w:val="222222"/>
          <w:sz w:val="22"/>
          <w:szCs w:val="22"/>
        </w:rPr>
        <w:t xml:space="preserve">Three major groups suffer from this problem daily:</w:t>
      </w:r>
    </w:p>
    <w:p>
      <w:pPr>
        <w:pStyle w:val="ListParagraph"/>
        <w:numPr>
          <w:ilvl w:val="0"/>
          <w:numId w:val="2"/>
        </w:numPr>
        <w:spacing w:before="40" w:after="40"/>
      </w:pPr>
      <w:r>
        <w:rPr>
          <w:color w:val="222222"/>
          <w:sz w:val="22"/>
          <w:szCs w:val="22"/>
        </w:rPr>
        <w:t xml:space="preserve">Startup founders who sign contracts without lawyers — NDAs, SaaS agreements, vendor contracts, employment offers. They accept risk they don't understand.</w:t>
      </w:r>
    </w:p>
    <w:p>
      <w:pPr>
        <w:pStyle w:val="ListParagraph"/>
        <w:numPr>
          <w:ilvl w:val="0"/>
          <w:numId w:val="2"/>
        </w:numPr>
        <w:spacing w:before="40" w:after="40"/>
      </w:pPr>
      <w:r>
        <w:rPr>
          <w:color w:val="222222"/>
          <w:sz w:val="22"/>
          <w:szCs w:val="22"/>
        </w:rPr>
        <w:t xml:space="preserve">Small law firms (1-10 lawyers) who need to review contracts fast, but lack expensive enterprise tools and still do most analysis manually or from memory.</w:t>
      </w:r>
    </w:p>
    <w:p>
      <w:pPr>
        <w:pStyle w:val="ListParagraph"/>
        <w:numPr>
          <w:ilvl w:val="0"/>
          <w:numId w:val="2"/>
        </w:numPr>
        <w:spacing w:before="40" w:after="40"/>
      </w:pPr>
      <w:r>
        <w:rPr>
          <w:color w:val="222222"/>
          <w:sz w:val="22"/>
          <w:szCs w:val="22"/>
        </w:rPr>
        <w:t xml:space="preserve">SMBs and freelancers who receive supplier, client, or employment contracts and have no way to quickly understand what they are signing.</w:t>
      </w:r>
    </w:p>
    <w:p>
      <w:r>
        <w:rPr>
          <w:sz w:val="22"/>
          <w:szCs w:val="22"/>
        </w:rPr>
        <w:t xml:space="preserve"/>
      </w:r>
    </w:p>
    <w:p>
      <w:pPr>
        <w:pStyle w:val="Heading2"/>
        <w:spacing w:before="240" w:after="80"/>
      </w:pPr>
      <w:r>
        <w:rPr>
          <w:b/>
          <w:bCs/>
          <w:color w:val="2E86AB"/>
          <w:sz w:val="28"/>
          <w:szCs w:val="28"/>
        </w:rPr>
        <w:t xml:space="preserve">2.2  What Exactly Is the Problem?</w:t>
      </w:r>
    </w:p>
    <w:p>
      <w:pPr>
        <w:spacing w:before="60" w:after="60"/>
      </w:pPr>
      <w:r>
        <w:rPr>
          <w:color w:val="222222"/>
          <w:sz w:val="22"/>
          <w:szCs w:val="22"/>
        </w:rPr>
        <w:t xml:space="preserve">The core problem is a combination of three compounding issues:</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960"/>
        <w:gridCol w:w="2900"/>
      </w:tblGrid>
      <w:tr>
        <w:tc>
          <w:tcPr>
            <w:tcW w:type="dxa" w:w="3500"/>
            <w:tcBorders>
              <w:top w:val="single" w:color="AACCEE" w:sz="1"/>
              <w:left w:val="single" w:color="AACCEE" w:sz="1"/>
              <w:bottom w:val="single" w:color="AACCEE" w:sz="1"/>
              <w:right w:val="single" w:color="AACCEE" w:sz="1"/>
            </w:tcBorders>
            <w:shd w:fill="1E3A5F" w:val="clear"/>
            <w:tcMar>
              <w:top w:type="dxa" w:w="80"/>
              <w:left w:type="dxa" w:w="120"/>
              <w:bottom w:type="dxa" w:w="80"/>
              <w:right w:type="dxa" w:w="120"/>
            </w:tcMar>
          </w:tcPr>
          <w:p>
            <w:r>
              <w:rPr>
                <w:b/>
                <w:bCs/>
                <w:color w:val="FFFFFF"/>
                <w:sz w:val="20"/>
                <w:szCs w:val="20"/>
              </w:rPr>
              <w:t xml:space="preserve">Problem</w:t>
            </w:r>
          </w:p>
        </w:tc>
        <w:tc>
          <w:tcPr>
            <w:tcW w:type="dxa" w:w="2960"/>
            <w:tcBorders>
              <w:top w:val="single" w:color="AACCEE" w:sz="1"/>
              <w:left w:val="single" w:color="AACCEE" w:sz="1"/>
              <w:bottom w:val="single" w:color="AACCEE" w:sz="1"/>
              <w:right w:val="single" w:color="AACCEE" w:sz="1"/>
            </w:tcBorders>
            <w:shd w:fill="1E3A5F" w:val="clear"/>
            <w:tcMar>
              <w:top w:type="dxa" w:w="80"/>
              <w:left w:type="dxa" w:w="120"/>
              <w:bottom w:type="dxa" w:w="80"/>
              <w:right w:type="dxa" w:w="120"/>
            </w:tcMar>
          </w:tcPr>
          <w:p>
            <w:r>
              <w:rPr>
                <w:b/>
                <w:bCs/>
                <w:color w:val="FFFFFF"/>
                <w:sz w:val="20"/>
                <w:szCs w:val="20"/>
              </w:rPr>
              <w:t xml:space="preserve">Impact</w:t>
            </w:r>
          </w:p>
        </w:tc>
        <w:tc>
          <w:tcPr>
            <w:tcW w:type="dxa" w:w="2900"/>
            <w:tcBorders>
              <w:top w:val="single" w:color="AACCEE" w:sz="1"/>
              <w:left w:val="single" w:color="AACCEE" w:sz="1"/>
              <w:bottom w:val="single" w:color="AACCEE" w:sz="1"/>
              <w:right w:val="single" w:color="AACCEE" w:sz="1"/>
            </w:tcBorders>
            <w:shd w:fill="1E3A5F" w:val="clear"/>
            <w:tcMar>
              <w:top w:type="dxa" w:w="80"/>
              <w:left w:type="dxa" w:w="120"/>
              <w:bottom w:type="dxa" w:w="80"/>
              <w:right w:type="dxa" w:w="120"/>
            </w:tcMar>
          </w:tcPr>
          <w:p>
            <w:r>
              <w:rPr>
                <w:b/>
                <w:bCs/>
                <w:color w:val="FFFFFF"/>
                <w:sz w:val="20"/>
                <w:szCs w:val="20"/>
              </w:rPr>
              <w:t xml:space="preserve">Example</w:t>
            </w:r>
          </w:p>
        </w:tc>
      </w:tr>
      <w:tr>
        <w:tc>
          <w:tcPr>
            <w:tcW w:type="dxa" w:w="350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No risk signal</w:t>
            </w:r>
          </w:p>
        </w:tc>
        <w:tc>
          <w:tcPr>
            <w:tcW w:type="dxa" w:w="296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Users sign risky contracts unknowingly</w:t>
            </w:r>
          </w:p>
        </w:tc>
        <w:tc>
          <w:tcPr>
            <w:tcW w:type="dxa" w:w="290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Founder signs NDA with unlimited liability clause</w:t>
            </w:r>
          </w:p>
        </w:tc>
      </w:tr>
      <w:tr>
        <w:tc>
          <w:tcPr>
            <w:tcW w:type="dxa" w:w="350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No plain-English explanation</w:t>
            </w:r>
          </w:p>
        </w:tc>
        <w:tc>
          <w:tcPr>
            <w:tcW w:type="dxa" w:w="296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Legal jargon is not understood</w:t>
            </w:r>
          </w:p>
        </w:tc>
        <w:tc>
          <w:tcPr>
            <w:tcW w:type="dxa" w:w="290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Client doesn't understand indemnity clause</w:t>
            </w:r>
          </w:p>
        </w:tc>
      </w:tr>
      <w:tr>
        <w:tc>
          <w:tcPr>
            <w:tcW w:type="dxa" w:w="350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No negotiation guidance</w:t>
            </w:r>
          </w:p>
        </w:tc>
        <w:tc>
          <w:tcPr>
            <w:tcW w:type="dxa" w:w="296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Bad clauses get accepted</w:t>
            </w:r>
          </w:p>
        </w:tc>
        <w:tc>
          <w:tcPr>
            <w:tcW w:type="dxa" w:w="290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Startup accepts Net-90 payment when Net-30 is standard</w:t>
            </w:r>
          </w:p>
        </w:tc>
      </w:tr>
      <w:tr>
        <w:tc>
          <w:tcPr>
            <w:tcW w:type="dxa" w:w="350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Cost of lawyers is prohibitive</w:t>
            </w:r>
          </w:p>
        </w:tc>
        <w:tc>
          <w:tcPr>
            <w:tcW w:type="dxa" w:w="296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Small players go unprotected</w:t>
            </w:r>
          </w:p>
        </w:tc>
        <w:tc>
          <w:tcPr>
            <w:tcW w:type="dxa" w:w="290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Solo freelancer cannot afford $300/hour lawyer for routine review</w:t>
            </w:r>
          </w:p>
        </w:tc>
      </w:tr>
      <w:tr>
        <w:tc>
          <w:tcPr>
            <w:tcW w:type="dxa" w:w="350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Enterprise tools are too complex</w:t>
            </w:r>
          </w:p>
        </w:tc>
        <w:tc>
          <w:tcPr>
            <w:tcW w:type="dxa" w:w="296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SMBs cannot adopt them</w:t>
            </w:r>
          </w:p>
        </w:tc>
        <w:tc>
          <w:tcPr>
            <w:tcW w:type="dxa" w:w="290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5-person firm abandons Ironclad due to complexity and cost</w:t>
            </w:r>
          </w:p>
        </w:tc>
      </w:tr>
    </w:tbl>
    <w:p>
      <w:r>
        <w:rPr>
          <w:sz w:val="22"/>
          <w:szCs w:val="22"/>
        </w:rPr>
        <w:t xml:space="preserve"/>
      </w:r>
    </w:p>
    <w:p>
      <w:pPr>
        <w:pStyle w:val="Heading1"/>
        <w:spacing w:before="360" w:after="120"/>
      </w:pPr>
      <w:r>
        <w:rPr>
          <w:b/>
          <w:bCs/>
          <w:color w:val="1E3A5F"/>
          <w:sz w:val="36"/>
          <w:szCs w:val="36"/>
        </w:rPr>
        <w:t xml:space="preserve">SECTION 3 — MARKET GAPS (7 Deep Gaps)</w:t>
      </w:r>
    </w:p>
    <w:p>
      <w:pPr>
        <w:pBdr>
          <w:bottom w:val="single" w:color="AACCEE" w:sz="4" w:space="1"/>
        </w:pBdr>
        <w:spacing w:before="120" w:after="120"/>
      </w:pPr>
      <w:r>
        <w:t xml:space="preserve"/>
      </w:r>
    </w:p>
    <w:p>
      <w:pPr>
        <w:pStyle w:val="Heading2"/>
        <w:spacing w:before="240" w:after="80"/>
      </w:pPr>
      <w:r>
        <w:rPr>
          <w:b/>
          <w:bCs/>
          <w:color w:val="2E86AB"/>
          <w:sz w:val="28"/>
          <w:szCs w:val="28"/>
        </w:rPr>
        <w:t xml:space="preserve">Gap 1 — Enterprise Pricing Excludes Millions of Users</w:t>
      </w:r>
    </w:p>
    <w:p>
      <w:pPr>
        <w:spacing w:before="60" w:after="60"/>
      </w:pPr>
      <w:r>
        <w:rPr>
          <w:color w:val="222222"/>
          <w:sz w:val="22"/>
          <w:szCs w:val="22"/>
        </w:rPr>
        <w:t xml:space="preserve">Enterprise tools like Harvey AI and Luminance are priced at $500–$2,000 per user per month. A 3-person startup cannot pay $6,000/month for contract review. This leaves a massive underserved market of 50M+ small businesses and freelancers globally.</w:t>
      </w:r>
    </w:p>
    <w:p>
      <w:pPr>
        <w:pStyle w:val="Heading2"/>
        <w:spacing w:before="240" w:after="80"/>
      </w:pPr>
      <w:r>
        <w:rPr>
          <w:b/>
          <w:bCs/>
          <w:color w:val="2E86AB"/>
          <w:sz w:val="28"/>
          <w:szCs w:val="28"/>
        </w:rPr>
        <w:t xml:space="preserve">Gap 2 — Feature Complexity Drives Away Small Users</w:t>
      </w:r>
    </w:p>
    <w:p>
      <w:pPr>
        <w:spacing w:before="60" w:after="60"/>
      </w:pPr>
      <w:r>
        <w:rPr>
          <w:color w:val="222222"/>
          <w:sz w:val="22"/>
          <w:szCs w:val="22"/>
        </w:rPr>
        <w:t xml:space="preserve">Enterprise tools include workflow automation, approval chains, document management, eSignature, integrations, and compliance dashboards. A solo lawyer just needs: upload contract, see risks, get suggestions. The complex UX is a barrier to adoption.</w:t>
      </w:r>
    </w:p>
    <w:p>
      <w:pPr>
        <w:pStyle w:val="Heading2"/>
        <w:spacing w:before="240" w:after="80"/>
      </w:pPr>
      <w:r>
        <w:rPr>
          <w:b/>
          <w:bCs/>
          <w:color w:val="2E86AB"/>
          <w:sz w:val="28"/>
          <w:szCs w:val="28"/>
        </w:rPr>
        <w:t xml:space="preserve">Gap 3 — Weak Risk Explainability</w:t>
      </w:r>
    </w:p>
    <w:p>
      <w:pPr>
        <w:spacing w:before="60" w:after="60"/>
      </w:pPr>
      <w:r>
        <w:rPr>
          <w:color w:val="222222"/>
          <w:sz w:val="22"/>
          <w:szCs w:val="22"/>
        </w:rPr>
        <w:t xml:space="preserve">Most tools return a 'summary' but don't give a quantified risk score, a clear explanation of WHY a clause is risky, or a concrete suggested edit. Users are left wondering what to actually do with the output.</w:t>
      </w:r>
    </w:p>
    <w:p>
      <w:pPr>
        <w:pStyle w:val="Heading2"/>
        <w:spacing w:before="240" w:after="80"/>
      </w:pPr>
      <w:r>
        <w:rPr>
          <w:b/>
          <w:bCs/>
          <w:color w:val="2E86AB"/>
          <w:sz w:val="28"/>
          <w:szCs w:val="28"/>
        </w:rPr>
        <w:t xml:space="preserve">Gap 4 — No Negotiation Intelligence</w:t>
      </w:r>
    </w:p>
    <w:p>
      <w:pPr>
        <w:spacing w:before="60" w:after="60"/>
      </w:pPr>
      <w:r>
        <w:rPr>
          <w:color w:val="222222"/>
          <w:sz w:val="22"/>
          <w:szCs w:val="22"/>
        </w:rPr>
        <w:t xml:space="preserve">Existing tools tell users WHAT is risky, but not HOW to negotiate it. There is no tool that says: 'The market standard for SaaS liability caps is 12 months of fees — here is the exact wording to propose.'</w:t>
      </w:r>
    </w:p>
    <w:p>
      <w:pPr>
        <w:pStyle w:val="Heading2"/>
        <w:spacing w:before="240" w:after="80"/>
      </w:pPr>
      <w:r>
        <w:rPr>
          <w:b/>
          <w:bCs/>
          <w:color w:val="2E86AB"/>
          <w:sz w:val="28"/>
          <w:szCs w:val="28"/>
        </w:rPr>
        <w:t xml:space="preserve">Gap 5 — US-Only Legal Context</w:t>
      </w:r>
    </w:p>
    <w:p>
      <w:pPr>
        <w:spacing w:before="60" w:after="60"/>
      </w:pPr>
      <w:r>
        <w:rPr>
          <w:color w:val="222222"/>
          <w:sz w:val="22"/>
          <w:szCs w:val="22"/>
        </w:rPr>
        <w:t xml:space="preserve">Most legal AI tools are trained and calibrated for US law (Delaware, California, New York standards). This makes them unreliable for users in India, Europe, Southeast Asia, and other major markets. This is a large untapped opportunity.</w:t>
      </w:r>
    </w:p>
    <w:p>
      <w:pPr>
        <w:pStyle w:val="Heading2"/>
        <w:spacing w:before="240" w:after="80"/>
      </w:pPr>
      <w:r>
        <w:rPr>
          <w:b/>
          <w:bCs/>
          <w:color w:val="2E86AB"/>
          <w:sz w:val="28"/>
          <w:szCs w:val="28"/>
        </w:rPr>
        <w:t xml:space="preserve">Gap 6 — No Contract Lifecycle Intelligence</w:t>
      </w:r>
    </w:p>
    <w:p>
      <w:pPr>
        <w:spacing w:before="60" w:after="60"/>
      </w:pPr>
      <w:r>
        <w:rPr>
          <w:color w:val="222222"/>
          <w:sz w:val="22"/>
          <w:szCs w:val="22"/>
        </w:rPr>
        <w:t xml:space="preserve">Tools analyze contracts at upload but don't track what happens afterward. Auto-renewal dates, payment obligations, notice periods, and termination windows are extracted but then forgotten. Companies miss critical deadlines as a result.</w:t>
      </w:r>
    </w:p>
    <w:p>
      <w:pPr>
        <w:pStyle w:val="Heading2"/>
        <w:spacing w:before="240" w:after="80"/>
      </w:pPr>
      <w:r>
        <w:rPr>
          <w:b/>
          <w:bCs/>
          <w:color w:val="2E86AB"/>
          <w:sz w:val="28"/>
          <w:szCs w:val="28"/>
        </w:rPr>
        <w:t xml:space="preserve">Gap 7 — Data Privacy and Trust Barriers</w:t>
      </w:r>
    </w:p>
    <w:p>
      <w:pPr>
        <w:spacing w:before="60" w:after="60"/>
      </w:pPr>
      <w:r>
        <w:rPr>
          <w:color w:val="222222"/>
          <w:sz w:val="22"/>
          <w:szCs w:val="22"/>
        </w:rPr>
        <w:t xml:space="preserve">Lawyers are reluctant to upload sensitive contracts to unknown SaaS platforms. Most tools have weak privacy controls and no clear data deletion options. A product that builds trust through strong privacy defaults will win adoption from cautious professionals.</w:t>
      </w:r>
    </w:p>
    <w:p>
      <w:r>
        <w:rPr>
          <w:sz w:val="22"/>
          <w:szCs w:val="22"/>
        </w:rPr>
        <w:t xml:space="preserve"/>
      </w:r>
    </w:p>
    <w:p>
      <w:pPr>
        <w:pStyle w:val="Heading1"/>
        <w:spacing w:before="360" w:after="120"/>
      </w:pPr>
      <w:r>
        <w:rPr>
          <w:b/>
          <w:bCs/>
          <w:color w:val="1E3A5F"/>
          <w:sz w:val="36"/>
          <w:szCs w:val="36"/>
        </w:rPr>
        <w:t xml:space="preserve">SECTION 4 — SOLUTION ARCHITECTURE</w:t>
      </w:r>
    </w:p>
    <w:p>
      <w:pPr>
        <w:pBdr>
          <w:bottom w:val="single" w:color="AACCEE" w:sz="4" w:space="1"/>
        </w:pBdr>
        <w:spacing w:before="120" w:after="120"/>
      </w:pPr>
      <w:r>
        <w:t xml:space="preserve"/>
      </w:r>
    </w:p>
    <w:p>
      <w:pPr>
        <w:pStyle w:val="Heading2"/>
        <w:spacing w:before="240" w:after="80"/>
      </w:pPr>
      <w:r>
        <w:rPr>
          <w:b/>
          <w:bCs/>
          <w:color w:val="2E86AB"/>
          <w:sz w:val="28"/>
          <w:szCs w:val="28"/>
        </w:rPr>
        <w:t xml:space="preserve">4.1  Product Overview</w:t>
      </w:r>
    </w:p>
    <w:p>
      <w:pPr>
        <w:spacing w:before="60" w:after="60"/>
      </w:pPr>
      <w:r>
        <w:rPr>
          <w:color w:val="222222"/>
          <w:sz w:val="22"/>
          <w:szCs w:val="22"/>
        </w:rPr>
        <w:t xml:space="preserve">AI Contract Copilot is a SaaS product with a simple, focused core:</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CCEE" w:sz="1"/>
              <w:left w:val="single" w:color="AACCEE" w:sz="1"/>
              <w:bottom w:val="single" w:color="AACCEE" w:sz="1"/>
              <w:right w:val="single" w:color="AACCEE" w:sz="1"/>
            </w:tcBorders>
            <w:shd w:fill="EEF4FB" w:val="clear"/>
            <w:tcMar>
              <w:top w:type="dxa" w:w="80"/>
              <w:left w:type="dxa" w:w="180"/>
              <w:bottom w:type="dxa" w:w="80"/>
              <w:right w:type="dxa" w:w="180"/>
            </w:tcMar>
          </w:tcPr>
          <w:p>
            <w:pPr>
              <w:jc w:val="center"/>
            </w:pPr>
            <w:r>
              <w:rPr>
                <w:b w:val="false"/>
                <w:bCs w:val="false"/>
                <w:color w:val="1E3A5F"/>
                <w:sz w:val="21"/>
                <w:szCs w:val="21"/>
              </w:rPr>
              <w:t xml:space="preserve">User uploads contract (PDF / DOCX)</w:t>
            </w:r>
          </w:p>
        </w:tc>
      </w:tr>
      <w:tr>
        <w:tc>
          <w:tcPr>
            <w:tcW w:type="dxa" w:w="9360"/>
            <w:tcBorders>
              <w:top w:val="none" w:color="FFFFFF" w:sz="0"/>
              <w:left w:val="none" w:color="FFFFFF" w:sz="0"/>
              <w:bottom w:val="none" w:color="FFFFFF" w:sz="0"/>
              <w:right w:val="none" w:color="FFFFFF" w:sz="0"/>
            </w:tcBorders>
            <w:shd w:fill="FFFFFF" w:val="clear"/>
            <w:tcMar>
              <w:top w:type="dxa" w:w="20"/>
              <w:left w:type="dxa" w:w="180"/>
              <w:bottom w:type="dxa" w:w="20"/>
              <w:right w:type="dxa" w:w="180"/>
            </w:tcMar>
          </w:tcPr>
          <w:p>
            <w:pPr>
              <w:jc w:val="center"/>
            </w:pPr>
            <w:r>
              <w:rPr>
                <w:color w:val="2E86AB"/>
                <w:sz w:val="24"/>
                <w:szCs w:val="24"/>
              </w:rPr>
              <w:t xml:space="preserve">↓</w:t>
            </w:r>
          </w:p>
        </w:tc>
      </w:tr>
      <w:tr>
        <w:tc>
          <w:tcPr>
            <w:tcW w:type="dxa" w:w="9360"/>
            <w:tcBorders>
              <w:top w:val="single" w:color="AACCEE" w:sz="1"/>
              <w:left w:val="single" w:color="AACCEE" w:sz="1"/>
              <w:bottom w:val="single" w:color="AACCEE" w:sz="1"/>
              <w:right w:val="single" w:color="AACCEE" w:sz="1"/>
            </w:tcBorders>
            <w:shd w:fill="EEF4FB" w:val="clear"/>
            <w:tcMar>
              <w:top w:type="dxa" w:w="80"/>
              <w:left w:type="dxa" w:w="180"/>
              <w:bottom w:type="dxa" w:w="80"/>
              <w:right w:type="dxa" w:w="180"/>
            </w:tcMar>
          </w:tcPr>
          <w:p>
            <w:pPr>
              <w:jc w:val="center"/>
            </w:pPr>
            <w:r>
              <w:rPr>
                <w:b w:val="false"/>
                <w:bCs w:val="false"/>
                <w:color w:val="1E3A5F"/>
                <w:sz w:val="21"/>
                <w:szCs w:val="21"/>
              </w:rPr>
              <w:t xml:space="preserve">System extracts and segments text into clauses</w:t>
            </w:r>
          </w:p>
        </w:tc>
      </w:tr>
      <w:tr>
        <w:tc>
          <w:tcPr>
            <w:tcW w:type="dxa" w:w="9360"/>
            <w:tcBorders>
              <w:top w:val="none" w:color="FFFFFF" w:sz="0"/>
              <w:left w:val="none" w:color="FFFFFF" w:sz="0"/>
              <w:bottom w:val="none" w:color="FFFFFF" w:sz="0"/>
              <w:right w:val="none" w:color="FFFFFF" w:sz="0"/>
            </w:tcBorders>
            <w:shd w:fill="FFFFFF" w:val="clear"/>
            <w:tcMar>
              <w:top w:type="dxa" w:w="20"/>
              <w:left w:type="dxa" w:w="180"/>
              <w:bottom w:type="dxa" w:w="20"/>
              <w:right w:type="dxa" w:w="180"/>
            </w:tcMar>
          </w:tcPr>
          <w:p>
            <w:pPr>
              <w:jc w:val="center"/>
            </w:pPr>
            <w:r>
              <w:rPr>
                <w:color w:val="2E86AB"/>
                <w:sz w:val="24"/>
                <w:szCs w:val="24"/>
              </w:rPr>
              <w:t xml:space="preserve">↓</w:t>
            </w:r>
          </w:p>
        </w:tc>
      </w:tr>
      <w:tr>
        <w:tc>
          <w:tcPr>
            <w:tcW w:type="dxa" w:w="9360"/>
            <w:tcBorders>
              <w:top w:val="single" w:color="AACCEE" w:sz="1"/>
              <w:left w:val="single" w:color="AACCEE" w:sz="1"/>
              <w:bottom w:val="single" w:color="AACCEE" w:sz="1"/>
              <w:right w:val="single" w:color="AACCEE" w:sz="1"/>
            </w:tcBorders>
            <w:shd w:fill="EEF4FB" w:val="clear"/>
            <w:tcMar>
              <w:top w:type="dxa" w:w="80"/>
              <w:left w:type="dxa" w:w="180"/>
              <w:bottom w:type="dxa" w:w="80"/>
              <w:right w:type="dxa" w:w="180"/>
            </w:tcMar>
          </w:tcPr>
          <w:p>
            <w:pPr>
              <w:jc w:val="center"/>
            </w:pPr>
            <w:r>
              <w:rPr>
                <w:b w:val="false"/>
                <w:bCs w:val="false"/>
                <w:color w:val="1E3A5F"/>
                <w:sz w:val="21"/>
                <w:szCs w:val="21"/>
              </w:rPr>
              <w:t xml:space="preserve">Rules engine + AI classifier detects clause types and flags risks</w:t>
            </w:r>
          </w:p>
        </w:tc>
      </w:tr>
      <w:tr>
        <w:tc>
          <w:tcPr>
            <w:tcW w:type="dxa" w:w="9360"/>
            <w:tcBorders>
              <w:top w:val="none" w:color="FFFFFF" w:sz="0"/>
              <w:left w:val="none" w:color="FFFFFF" w:sz="0"/>
              <w:bottom w:val="none" w:color="FFFFFF" w:sz="0"/>
              <w:right w:val="none" w:color="FFFFFF" w:sz="0"/>
            </w:tcBorders>
            <w:shd w:fill="FFFFFF" w:val="clear"/>
            <w:tcMar>
              <w:top w:type="dxa" w:w="20"/>
              <w:left w:type="dxa" w:w="180"/>
              <w:bottom w:type="dxa" w:w="20"/>
              <w:right w:type="dxa" w:w="180"/>
            </w:tcMar>
          </w:tcPr>
          <w:p>
            <w:pPr>
              <w:jc w:val="center"/>
            </w:pPr>
            <w:r>
              <w:rPr>
                <w:color w:val="2E86AB"/>
                <w:sz w:val="24"/>
                <w:szCs w:val="24"/>
              </w:rPr>
              <w:t xml:space="preserve">↓</w:t>
            </w:r>
          </w:p>
        </w:tc>
      </w:tr>
      <w:tr>
        <w:tc>
          <w:tcPr>
            <w:tcW w:type="dxa" w:w="9360"/>
            <w:tcBorders>
              <w:top w:val="single" w:color="AACCEE" w:sz="1"/>
              <w:left w:val="single" w:color="AACCEE" w:sz="1"/>
              <w:bottom w:val="single" w:color="AACCEE" w:sz="1"/>
              <w:right w:val="single" w:color="AACCEE" w:sz="1"/>
            </w:tcBorders>
            <w:shd w:fill="EEF4FB" w:val="clear"/>
            <w:tcMar>
              <w:top w:type="dxa" w:w="80"/>
              <w:left w:type="dxa" w:w="180"/>
              <w:bottom w:type="dxa" w:w="80"/>
              <w:right w:type="dxa" w:w="180"/>
            </w:tcMar>
          </w:tcPr>
          <w:p>
            <w:pPr>
              <w:jc w:val="center"/>
            </w:pPr>
            <w:r>
              <w:rPr>
                <w:b w:val="false"/>
                <w:bCs w:val="false"/>
                <w:color w:val="1E3A5F"/>
                <w:sz w:val="21"/>
                <w:szCs w:val="21"/>
              </w:rPr>
              <w:t xml:space="preserve">LLM generates plain-English explanation and suggested edits</w:t>
            </w:r>
          </w:p>
        </w:tc>
      </w:tr>
      <w:tr>
        <w:tc>
          <w:tcPr>
            <w:tcW w:type="dxa" w:w="9360"/>
            <w:tcBorders>
              <w:top w:val="none" w:color="FFFFFF" w:sz="0"/>
              <w:left w:val="none" w:color="FFFFFF" w:sz="0"/>
              <w:bottom w:val="none" w:color="FFFFFF" w:sz="0"/>
              <w:right w:val="none" w:color="FFFFFF" w:sz="0"/>
            </w:tcBorders>
            <w:shd w:fill="FFFFFF" w:val="clear"/>
            <w:tcMar>
              <w:top w:type="dxa" w:w="20"/>
              <w:left w:type="dxa" w:w="180"/>
              <w:bottom w:type="dxa" w:w="20"/>
              <w:right w:type="dxa" w:w="180"/>
            </w:tcMar>
          </w:tcPr>
          <w:p>
            <w:pPr>
              <w:jc w:val="center"/>
            </w:pPr>
            <w:r>
              <w:rPr>
                <w:color w:val="2E86AB"/>
                <w:sz w:val="24"/>
                <w:szCs w:val="24"/>
              </w:rPr>
              <w:t xml:space="preserve">↓</w:t>
            </w:r>
          </w:p>
        </w:tc>
      </w:tr>
      <w:tr>
        <w:tc>
          <w:tcPr>
            <w:tcW w:type="dxa" w:w="9360"/>
            <w:tcBorders>
              <w:top w:val="single" w:color="AACCEE" w:sz="1"/>
              <w:left w:val="single" w:color="AACCEE" w:sz="1"/>
              <w:bottom w:val="single" w:color="AACCEE" w:sz="1"/>
              <w:right w:val="single" w:color="AACCEE" w:sz="1"/>
            </w:tcBorders>
            <w:shd w:fill="EEF4FB" w:val="clear"/>
            <w:tcMar>
              <w:top w:type="dxa" w:w="80"/>
              <w:left w:type="dxa" w:w="180"/>
              <w:bottom w:type="dxa" w:w="80"/>
              <w:right w:type="dxa" w:w="180"/>
            </w:tcMar>
          </w:tcPr>
          <w:p>
            <w:pPr>
              <w:jc w:val="center"/>
            </w:pPr>
            <w:r>
              <w:rPr>
                <w:b w:val="false"/>
                <w:bCs w:val="false"/>
                <w:color w:val="1E3A5F"/>
                <w:sz w:val="21"/>
                <w:szCs w:val="21"/>
              </w:rPr>
              <w:t xml:space="preserve">Risk Score (0-10) computed and presented in clean dashboard</w:t>
            </w:r>
          </w:p>
        </w:tc>
      </w:tr>
      <w:tr>
        <w:tc>
          <w:tcPr>
            <w:tcW w:type="dxa" w:w="9360"/>
            <w:tcBorders>
              <w:top w:val="none" w:color="FFFFFF" w:sz="0"/>
              <w:left w:val="none" w:color="FFFFFF" w:sz="0"/>
              <w:bottom w:val="none" w:color="FFFFFF" w:sz="0"/>
              <w:right w:val="none" w:color="FFFFFF" w:sz="0"/>
            </w:tcBorders>
            <w:shd w:fill="FFFFFF" w:val="clear"/>
            <w:tcMar>
              <w:top w:type="dxa" w:w="20"/>
              <w:left w:type="dxa" w:w="180"/>
              <w:bottom w:type="dxa" w:w="20"/>
              <w:right w:type="dxa" w:w="180"/>
            </w:tcMar>
          </w:tcPr>
          <w:p>
            <w:pPr>
              <w:jc w:val="center"/>
            </w:pPr>
            <w:r>
              <w:rPr>
                <w:color w:val="2E86AB"/>
                <w:sz w:val="24"/>
                <w:szCs w:val="24"/>
              </w:rPr>
              <w:t xml:space="preserve">↓</w:t>
            </w:r>
          </w:p>
        </w:tc>
      </w:tr>
      <w:tr>
        <w:tc>
          <w:tcPr>
            <w:tcW w:type="dxa" w:w="9360"/>
            <w:tcBorders>
              <w:top w:val="single" w:color="AACCEE" w:sz="1"/>
              <w:left w:val="single" w:color="AACCEE" w:sz="1"/>
              <w:bottom w:val="single" w:color="AACCEE" w:sz="1"/>
              <w:right w:val="single" w:color="AACCEE" w:sz="1"/>
            </w:tcBorders>
            <w:shd w:fill="F0F7EE" w:val="clear"/>
            <w:tcMar>
              <w:top w:type="dxa" w:w="80"/>
              <w:left w:type="dxa" w:w="180"/>
              <w:bottom w:type="dxa" w:w="80"/>
              <w:right w:type="dxa" w:w="180"/>
            </w:tcMar>
          </w:tcPr>
          <w:p>
            <w:pPr>
              <w:jc w:val="center"/>
            </w:pPr>
            <w:r>
              <w:rPr>
                <w:b/>
                <w:bCs/>
                <w:color w:val="1A6B2E"/>
                <w:sz w:val="21"/>
                <w:szCs w:val="21"/>
              </w:rPr>
              <w:t xml:space="preserve">User copies negotiation text or downloads full report</w:t>
            </w:r>
          </w:p>
        </w:tc>
      </w:tr>
    </w:tbl>
    <w:p>
      <w:r>
        <w:rPr>
          <w:sz w:val="22"/>
          <w:szCs w:val="22"/>
        </w:rPr>
        <w:t xml:space="preserve"/>
      </w:r>
    </w:p>
    <w:p>
      <w:pPr>
        <w:pStyle w:val="Heading2"/>
        <w:spacing w:before="240" w:after="80"/>
      </w:pPr>
      <w:r>
        <w:rPr>
          <w:b/>
          <w:bCs/>
          <w:color w:val="2E86AB"/>
          <w:sz w:val="28"/>
          <w:szCs w:val="28"/>
        </w:rPr>
        <w:t xml:space="preserve">4.2  Unique Positioning</w:t>
      </w:r>
    </w:p>
    <w:p>
      <w:pPr>
        <w:spacing w:before="60" w:after="60"/>
      </w:pPr>
      <w:r>
        <w:rPr>
          <w:color w:val="222222"/>
          <w:sz w:val="22"/>
          <w:szCs w:val="22"/>
        </w:rPr>
        <w:t xml:space="preserve">The product wins on three dimensions no competitor currently combines:</w:t>
      </w:r>
    </w:p>
    <w:p>
      <w:pPr>
        <w:pStyle w:val="ListParagraph"/>
        <w:numPr>
          <w:ilvl w:val="0"/>
          <w:numId w:val="2"/>
        </w:numPr>
        <w:spacing w:before="40" w:after="40"/>
      </w:pPr>
      <w:r>
        <w:rPr>
          <w:color w:val="222222"/>
          <w:sz w:val="22"/>
          <w:szCs w:val="22"/>
        </w:rPr>
        <w:t xml:space="preserve">Simplicity: One-click upload, instant results, zero onboarding</w:t>
      </w:r>
    </w:p>
    <w:p>
      <w:pPr>
        <w:pStyle w:val="ListParagraph"/>
        <w:numPr>
          <w:ilvl w:val="0"/>
          <w:numId w:val="2"/>
        </w:numPr>
        <w:spacing w:before="40" w:after="40"/>
      </w:pPr>
      <w:r>
        <w:rPr>
          <w:color w:val="222222"/>
          <w:sz w:val="22"/>
          <w:szCs w:val="22"/>
        </w:rPr>
        <w:t xml:space="preserve">Actionability: Risk score + explanation + exact negotiation wording</w:t>
      </w:r>
    </w:p>
    <w:p>
      <w:pPr>
        <w:pStyle w:val="ListParagraph"/>
        <w:numPr>
          <w:ilvl w:val="0"/>
          <w:numId w:val="2"/>
        </w:numPr>
        <w:spacing w:before="40" w:after="40"/>
      </w:pPr>
      <w:r>
        <w:rPr>
          <w:color w:val="222222"/>
          <w:sz w:val="22"/>
          <w:szCs w:val="22"/>
        </w:rPr>
        <w:t xml:space="preserve">Affordability: $19-$299/month vs $500-$2,000/month for alternatives</w:t>
      </w:r>
    </w:p>
    <w:p>
      <w:r>
        <w:rPr>
          <w:sz w:val="22"/>
          <w:szCs w:val="22"/>
        </w:rPr>
        <w:t xml:space="preserve"/>
      </w:r>
    </w:p>
    <w:p>
      <w:pPr>
        <w:pStyle w:val="Heading2"/>
        <w:spacing w:before="240" w:after="80"/>
      </w:pPr>
      <w:r>
        <w:rPr>
          <w:b/>
          <w:bCs/>
          <w:color w:val="2E86AB"/>
          <w:sz w:val="28"/>
          <w:szCs w:val="28"/>
        </w:rPr>
        <w:t xml:space="preserve">4.3  MVP Features (Must-Have)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460"/>
        <w:gridCol w:w="2100"/>
      </w:tblGrid>
      <w:tr>
        <w:tc>
          <w:tcPr>
            <w:tcW w:type="dxa" w:w="2800"/>
            <w:tcBorders>
              <w:top w:val="single" w:color="AACCEE" w:sz="1"/>
              <w:left w:val="single" w:color="AACCEE" w:sz="1"/>
              <w:bottom w:val="single" w:color="AACCEE" w:sz="1"/>
              <w:right w:val="single" w:color="AACCEE" w:sz="1"/>
            </w:tcBorders>
            <w:shd w:fill="1E3A5F" w:val="clear"/>
            <w:tcMar>
              <w:top w:type="dxa" w:w="80"/>
              <w:left w:type="dxa" w:w="120"/>
              <w:bottom w:type="dxa" w:w="80"/>
              <w:right w:type="dxa" w:w="120"/>
            </w:tcMar>
          </w:tcPr>
          <w:p>
            <w:r>
              <w:rPr>
                <w:b/>
                <w:bCs/>
                <w:color w:val="FFFFFF"/>
                <w:sz w:val="20"/>
                <w:szCs w:val="20"/>
              </w:rPr>
              <w:t xml:space="preserve">Feature</w:t>
            </w:r>
          </w:p>
        </w:tc>
        <w:tc>
          <w:tcPr>
            <w:tcW w:type="dxa" w:w="4460"/>
            <w:tcBorders>
              <w:top w:val="single" w:color="AACCEE" w:sz="1"/>
              <w:left w:val="single" w:color="AACCEE" w:sz="1"/>
              <w:bottom w:val="single" w:color="AACCEE" w:sz="1"/>
              <w:right w:val="single" w:color="AACCEE" w:sz="1"/>
            </w:tcBorders>
            <w:shd w:fill="1E3A5F" w:val="clear"/>
            <w:tcMar>
              <w:top w:type="dxa" w:w="80"/>
              <w:left w:type="dxa" w:w="120"/>
              <w:bottom w:type="dxa" w:w="80"/>
              <w:right w:type="dxa" w:w="120"/>
            </w:tcMar>
          </w:tcPr>
          <w:p>
            <w:r>
              <w:rPr>
                <w:b/>
                <w:bCs/>
                <w:color w:val="FFFFFF"/>
                <w:sz w:val="20"/>
                <w:szCs w:val="20"/>
              </w:rPr>
              <w:t xml:space="preserve">Description</w:t>
            </w:r>
          </w:p>
        </w:tc>
        <w:tc>
          <w:tcPr>
            <w:tcW w:type="dxa" w:w="2100"/>
            <w:tcBorders>
              <w:top w:val="single" w:color="AACCEE" w:sz="1"/>
              <w:left w:val="single" w:color="AACCEE" w:sz="1"/>
              <w:bottom w:val="single" w:color="AACCEE" w:sz="1"/>
              <w:right w:val="single" w:color="AACCEE" w:sz="1"/>
            </w:tcBorders>
            <w:shd w:fill="1E3A5F" w:val="clear"/>
            <w:tcMar>
              <w:top w:type="dxa" w:w="80"/>
              <w:left w:type="dxa" w:w="120"/>
              <w:bottom w:type="dxa" w:w="80"/>
              <w:right w:type="dxa" w:w="120"/>
            </w:tcMar>
          </w:tcPr>
          <w:p>
            <w:r>
              <w:rPr>
                <w:b/>
                <w:bCs/>
                <w:color w:val="FFFFFF"/>
                <w:sz w:val="20"/>
                <w:szCs w:val="20"/>
              </w:rPr>
              <w:t xml:space="preserve">Priority</w:t>
            </w:r>
          </w:p>
        </w:tc>
      </w:tr>
      <w:tr>
        <w:tc>
          <w:tcPr>
            <w:tcW w:type="dxa" w:w="280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Contract Upload</w:t>
            </w:r>
          </w:p>
        </w:tc>
        <w:tc>
          <w:tcPr>
            <w:tcW w:type="dxa" w:w="446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Accept PDF and DOCX files via drag-and-drop</w:t>
            </w:r>
          </w:p>
        </w:tc>
        <w:tc>
          <w:tcPr>
            <w:tcW w:type="dxa" w:w="210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P0 — Core</w:t>
            </w:r>
          </w:p>
        </w:tc>
      </w:tr>
      <w:tr>
        <w:tc>
          <w:tcPr>
            <w:tcW w:type="dxa" w:w="280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Clause Extraction</w:t>
            </w:r>
          </w:p>
        </w:tc>
        <w:tc>
          <w:tcPr>
            <w:tcW w:type="dxa" w:w="446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Detect and segment individual contract clauses</w:t>
            </w:r>
          </w:p>
        </w:tc>
        <w:tc>
          <w:tcPr>
            <w:tcW w:type="dxa" w:w="210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P0 — Core</w:t>
            </w:r>
          </w:p>
        </w:tc>
      </w:tr>
      <w:tr>
        <w:tc>
          <w:tcPr>
            <w:tcW w:type="dxa" w:w="280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Risk Scoring</w:t>
            </w:r>
          </w:p>
        </w:tc>
        <w:tc>
          <w:tcPr>
            <w:tcW w:type="dxa" w:w="446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0-10 risk score with weighted rule-based + LLM scoring</w:t>
            </w:r>
          </w:p>
        </w:tc>
        <w:tc>
          <w:tcPr>
            <w:tcW w:type="dxa" w:w="210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P0 — Core</w:t>
            </w:r>
          </w:p>
        </w:tc>
      </w:tr>
      <w:tr>
        <w:tc>
          <w:tcPr>
            <w:tcW w:type="dxa" w:w="280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Clause Explanation</w:t>
            </w:r>
          </w:p>
        </w:tc>
        <w:tc>
          <w:tcPr>
            <w:tcW w:type="dxa" w:w="446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Plain-English explanation for each flagged clause</w:t>
            </w:r>
          </w:p>
        </w:tc>
        <w:tc>
          <w:tcPr>
            <w:tcW w:type="dxa" w:w="210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P0 — Core</w:t>
            </w:r>
          </w:p>
        </w:tc>
      </w:tr>
      <w:tr>
        <w:tc>
          <w:tcPr>
            <w:tcW w:type="dxa" w:w="280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Suggested Edit</w:t>
            </w:r>
          </w:p>
        </w:tc>
        <w:tc>
          <w:tcPr>
            <w:tcW w:type="dxa" w:w="446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One-sentence improvement or negotiation wording per clause</w:t>
            </w:r>
          </w:p>
        </w:tc>
        <w:tc>
          <w:tcPr>
            <w:tcW w:type="dxa" w:w="210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P0 — Core</w:t>
            </w:r>
          </w:p>
        </w:tc>
      </w:tr>
      <w:tr>
        <w:tc>
          <w:tcPr>
            <w:tcW w:type="dxa" w:w="280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Report Export</w:t>
            </w:r>
          </w:p>
        </w:tc>
        <w:tc>
          <w:tcPr>
            <w:tcW w:type="dxa" w:w="446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Download PDF report of full analysis</w:t>
            </w:r>
          </w:p>
        </w:tc>
        <w:tc>
          <w:tcPr>
            <w:tcW w:type="dxa" w:w="210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P1 — Important</w:t>
            </w:r>
          </w:p>
        </w:tc>
      </w:tr>
      <w:tr>
        <w:tc>
          <w:tcPr>
            <w:tcW w:type="dxa" w:w="280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User Accounts</w:t>
            </w:r>
          </w:p>
        </w:tc>
        <w:tc>
          <w:tcPr>
            <w:tcW w:type="dxa" w:w="446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Sign up, login, subscription billing via Stripe</w:t>
            </w:r>
          </w:p>
        </w:tc>
        <w:tc>
          <w:tcPr>
            <w:tcW w:type="dxa" w:w="210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P0 — Core</w:t>
            </w:r>
          </w:p>
        </w:tc>
      </w:tr>
    </w:tbl>
    <w:p>
      <w:r>
        <w:rPr>
          <w:sz w:val="22"/>
          <w:szCs w:val="22"/>
        </w:rPr>
        <w:t xml:space="preserve"/>
      </w:r>
    </w:p>
    <w:p>
      <w:pPr>
        <w:pStyle w:val="Heading1"/>
        <w:spacing w:before="360" w:after="120"/>
      </w:pPr>
      <w:r>
        <w:rPr>
          <w:b/>
          <w:bCs/>
          <w:color w:val="1E3A5F"/>
          <w:sz w:val="36"/>
          <w:szCs w:val="36"/>
        </w:rPr>
        <w:t xml:space="preserve">SECTION 5 — STARTING NICHE: NDA FIRST</w:t>
      </w:r>
    </w:p>
    <w:p>
      <w:pPr>
        <w:pBdr>
          <w:bottom w:val="single" w:color="AACCEE" w:sz="4" w:space="1"/>
        </w:pBdr>
        <w:spacing w:before="120" w:after="120"/>
      </w:pPr>
      <w:r>
        <w:t xml:space="preserve"/>
      </w:r>
    </w:p>
    <w:p>
      <w:pPr>
        <w:pStyle w:val="Heading2"/>
        <w:spacing w:before="240" w:after="80"/>
      </w:pPr>
      <w:r>
        <w:rPr>
          <w:b/>
          <w:bCs/>
          <w:color w:val="2E86AB"/>
          <w:sz w:val="28"/>
          <w:szCs w:val="28"/>
        </w:rPr>
        <w:t xml:space="preserve">5.1  Why NDA Is the Best Starting Point</w:t>
      </w:r>
    </w:p>
    <w:p>
      <w:pPr>
        <w:spacing w:before="60" w:after="60"/>
      </w:pPr>
      <w:r>
        <w:rPr>
          <w:color w:val="222222"/>
          <w:sz w:val="22"/>
          <w:szCs w:val="22"/>
        </w:rPr>
        <w:t xml:space="preserve">Of all contract types, the NDA (Non-Disclosure Agreement) is the ideal starting point for three reasons:</w:t>
      </w:r>
    </w:p>
    <w:p>
      <w:pPr>
        <w:pStyle w:val="ListParagraph"/>
        <w:numPr>
          <w:ilvl w:val="0"/>
          <w:numId w:val="2"/>
        </w:numPr>
        <w:spacing w:before="40" w:after="40"/>
      </w:pPr>
      <w:r>
        <w:rPr>
          <w:color w:val="222222"/>
          <w:sz w:val="22"/>
          <w:szCs w:val="22"/>
        </w:rPr>
        <w:t xml:space="preserve">Volume: NDAs are the most commonly signed contract type. Every company, startup, and freelancer signs them regularly.</w:t>
      </w:r>
    </w:p>
    <w:p>
      <w:pPr>
        <w:pStyle w:val="ListParagraph"/>
        <w:numPr>
          <w:ilvl w:val="0"/>
          <w:numId w:val="2"/>
        </w:numPr>
        <w:spacing w:before="40" w:after="40"/>
      </w:pPr>
      <w:r>
        <w:rPr>
          <w:color w:val="222222"/>
          <w:sz w:val="22"/>
          <w:szCs w:val="22"/>
        </w:rPr>
        <w:t xml:space="preserve">Structure: NDAs have a predictable, limited set of clauses — confidentiality, term, liability, jurisdiction, IP. Easy to train AI on.</w:t>
      </w:r>
    </w:p>
    <w:p>
      <w:pPr>
        <w:pStyle w:val="ListParagraph"/>
        <w:numPr>
          <w:ilvl w:val="0"/>
          <w:numId w:val="2"/>
        </w:numPr>
        <w:spacing w:before="40" w:after="40"/>
      </w:pPr>
      <w:r>
        <w:rPr>
          <w:color w:val="222222"/>
          <w:sz w:val="22"/>
          <w:szCs w:val="22"/>
        </w:rPr>
        <w:t xml:space="preserve">Pain: Startups and freelancers sign NDAs without lawyers. They genuinely need help and are willing to pay for it.</w:t>
      </w:r>
    </w:p>
    <w:p>
      <w:r>
        <w:rPr>
          <w:sz w:val="22"/>
          <w:szCs w:val="22"/>
        </w:rPr>
        <w:t xml:space="preserve"/>
      </w:r>
    </w:p>
    <w:p>
      <w:pPr>
        <w:pStyle w:val="Heading2"/>
        <w:spacing w:before="240" w:after="80"/>
      </w:pPr>
      <w:r>
        <w:rPr>
          <w:b/>
          <w:bCs/>
          <w:color w:val="2E86AB"/>
          <w:sz w:val="28"/>
          <w:szCs w:val="28"/>
        </w:rPr>
        <w:t xml:space="preserve">5.2  Key Clauses the NDA Analyzer Must Detect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60"/>
        <w:gridCol w:w="3400"/>
      </w:tblGrid>
      <w:tr>
        <w:tc>
          <w:tcPr>
            <w:tcW w:type="dxa" w:w="2400"/>
            <w:tcBorders>
              <w:top w:val="single" w:color="AACCEE" w:sz="1"/>
              <w:left w:val="single" w:color="AACCEE" w:sz="1"/>
              <w:bottom w:val="single" w:color="AACCEE" w:sz="1"/>
              <w:right w:val="single" w:color="AACCEE" w:sz="1"/>
            </w:tcBorders>
            <w:shd w:fill="1E3A5F" w:val="clear"/>
            <w:tcMar>
              <w:top w:type="dxa" w:w="80"/>
              <w:left w:type="dxa" w:w="120"/>
              <w:bottom w:type="dxa" w:w="80"/>
              <w:right w:type="dxa" w:w="120"/>
            </w:tcMar>
          </w:tcPr>
          <w:p>
            <w:r>
              <w:rPr>
                <w:b/>
                <w:bCs/>
                <w:color w:val="FFFFFF"/>
                <w:sz w:val="20"/>
                <w:szCs w:val="20"/>
              </w:rPr>
              <w:t xml:space="preserve">Clause Type</w:t>
            </w:r>
          </w:p>
        </w:tc>
        <w:tc>
          <w:tcPr>
            <w:tcW w:type="dxa" w:w="3560"/>
            <w:tcBorders>
              <w:top w:val="single" w:color="AACCEE" w:sz="1"/>
              <w:left w:val="single" w:color="AACCEE" w:sz="1"/>
              <w:bottom w:val="single" w:color="AACCEE" w:sz="1"/>
              <w:right w:val="single" w:color="AACCEE" w:sz="1"/>
            </w:tcBorders>
            <w:shd w:fill="1E3A5F" w:val="clear"/>
            <w:tcMar>
              <w:top w:type="dxa" w:w="80"/>
              <w:left w:type="dxa" w:w="120"/>
              <w:bottom w:type="dxa" w:w="80"/>
              <w:right w:type="dxa" w:w="120"/>
            </w:tcMar>
          </w:tcPr>
          <w:p>
            <w:r>
              <w:rPr>
                <w:b/>
                <w:bCs/>
                <w:color w:val="FFFFFF"/>
                <w:sz w:val="20"/>
                <w:szCs w:val="20"/>
              </w:rPr>
              <w:t xml:space="preserve">What to Check</w:t>
            </w:r>
          </w:p>
        </w:tc>
        <w:tc>
          <w:tcPr>
            <w:tcW w:type="dxa" w:w="3400"/>
            <w:tcBorders>
              <w:top w:val="single" w:color="AACCEE" w:sz="1"/>
              <w:left w:val="single" w:color="AACCEE" w:sz="1"/>
              <w:bottom w:val="single" w:color="AACCEE" w:sz="1"/>
              <w:right w:val="single" w:color="AACCEE" w:sz="1"/>
            </w:tcBorders>
            <w:shd w:fill="1E3A5F" w:val="clear"/>
            <w:tcMar>
              <w:top w:type="dxa" w:w="80"/>
              <w:left w:type="dxa" w:w="120"/>
              <w:bottom w:type="dxa" w:w="80"/>
              <w:right w:type="dxa" w:w="120"/>
            </w:tcMar>
          </w:tcPr>
          <w:p>
            <w:r>
              <w:rPr>
                <w:b/>
                <w:bCs/>
                <w:color w:val="FFFFFF"/>
                <w:sz w:val="20"/>
                <w:szCs w:val="20"/>
              </w:rPr>
              <w:t xml:space="preserve">Common Risk</w:t>
            </w:r>
          </w:p>
        </w:tc>
      </w:tr>
      <w:tr>
        <w:tc>
          <w:tcPr>
            <w:tcW w:type="dxa" w:w="240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Confidentiality Scope</w:t>
            </w:r>
          </w:p>
        </w:tc>
        <w:tc>
          <w:tcPr>
            <w:tcW w:type="dxa" w:w="356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How is 'confidential information' defined?</w:t>
            </w:r>
          </w:p>
        </w:tc>
        <w:tc>
          <w:tcPr>
            <w:tcW w:type="dxa" w:w="340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Vague definition allows anything to be claimed as confidential</w:t>
            </w:r>
          </w:p>
        </w:tc>
      </w:tr>
      <w:tr>
        <w:tc>
          <w:tcPr>
            <w:tcW w:type="dxa" w:w="240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Duration</w:t>
            </w:r>
          </w:p>
        </w:tc>
        <w:tc>
          <w:tcPr>
            <w:tcW w:type="dxa" w:w="356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How long must info be kept secret?</w:t>
            </w:r>
          </w:p>
        </w:tc>
        <w:tc>
          <w:tcPr>
            <w:tcW w:type="dxa" w:w="340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Duration &gt; 5 years or perpetual is unusual and risky</w:t>
            </w:r>
          </w:p>
        </w:tc>
      </w:tr>
      <w:tr>
        <w:tc>
          <w:tcPr>
            <w:tcW w:type="dxa" w:w="240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Exclusions</w:t>
            </w:r>
          </w:p>
        </w:tc>
        <w:tc>
          <w:tcPr>
            <w:tcW w:type="dxa" w:w="356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What is NOT confidential?</w:t>
            </w:r>
          </w:p>
        </w:tc>
        <w:tc>
          <w:tcPr>
            <w:tcW w:type="dxa" w:w="340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Missing exclusions can expose public knowledge as 'confidential'</w:t>
            </w:r>
          </w:p>
        </w:tc>
      </w:tr>
      <w:tr>
        <w:tc>
          <w:tcPr>
            <w:tcW w:type="dxa" w:w="240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Liability</w:t>
            </w:r>
          </w:p>
        </w:tc>
        <w:tc>
          <w:tcPr>
            <w:tcW w:type="dxa" w:w="356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Is liability capped or unlimited?</w:t>
            </w:r>
          </w:p>
        </w:tc>
        <w:tc>
          <w:tcPr>
            <w:tcW w:type="dxa" w:w="340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Unlimited liability is a major red flag</w:t>
            </w:r>
          </w:p>
        </w:tc>
      </w:tr>
      <w:tr>
        <w:tc>
          <w:tcPr>
            <w:tcW w:type="dxa" w:w="240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Jurisdiction</w:t>
            </w:r>
          </w:p>
        </w:tc>
        <w:tc>
          <w:tcPr>
            <w:tcW w:type="dxa" w:w="356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Which country/state governs?</w:t>
            </w:r>
          </w:p>
        </w:tc>
        <w:tc>
          <w:tcPr>
            <w:tcW w:type="dxa" w:w="340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Remote jurisdiction makes legal action impractical</w:t>
            </w:r>
          </w:p>
        </w:tc>
      </w:tr>
      <w:tr>
        <w:tc>
          <w:tcPr>
            <w:tcW w:type="dxa" w:w="240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Termination</w:t>
            </w:r>
          </w:p>
        </w:tc>
        <w:tc>
          <w:tcPr>
            <w:tcW w:type="dxa" w:w="356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How can the NDA be ended?</w:t>
            </w:r>
          </w:p>
        </w:tc>
        <w:tc>
          <w:tcPr>
            <w:tcW w:type="dxa" w:w="340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Missing termination clause creates permanent obligations</w:t>
            </w:r>
          </w:p>
        </w:tc>
      </w:tr>
      <w:tr>
        <w:tc>
          <w:tcPr>
            <w:tcW w:type="dxa" w:w="240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IP Ownership</w:t>
            </w:r>
          </w:p>
        </w:tc>
        <w:tc>
          <w:tcPr>
            <w:tcW w:type="dxa" w:w="356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Who owns information shared?</w:t>
            </w:r>
          </w:p>
        </w:tc>
        <w:tc>
          <w:tcPr>
            <w:tcW w:type="dxa" w:w="340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Ambiguous IP ownership creates future disputes</w:t>
            </w:r>
          </w:p>
        </w:tc>
      </w:tr>
      <w:tr>
        <w:tc>
          <w:tcPr>
            <w:tcW w:type="dxa" w:w="240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Auto-Renewal</w:t>
            </w:r>
          </w:p>
        </w:tc>
        <w:tc>
          <w:tcPr>
            <w:tcW w:type="dxa" w:w="356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Does it renew automatically?</w:t>
            </w:r>
          </w:p>
        </w:tc>
        <w:tc>
          <w:tcPr>
            <w:tcW w:type="dxa" w:w="340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Silent auto-renewal traps parties in ongoing obligations</w:t>
            </w:r>
          </w:p>
        </w:tc>
      </w:tr>
    </w:tbl>
    <w:p>
      <w:r>
        <w:rPr>
          <w:sz w:val="22"/>
          <w:szCs w:val="22"/>
        </w:rPr>
        <w:t xml:space="preserve"/>
      </w:r>
    </w:p>
    <w:p>
      <w:pPr>
        <w:pStyle w:val="Heading2"/>
        <w:spacing w:before="240" w:after="80"/>
      </w:pPr>
      <w:r>
        <w:rPr>
          <w:b/>
          <w:bCs/>
          <w:color w:val="2E86AB"/>
          <w:sz w:val="28"/>
          <w:szCs w:val="28"/>
        </w:rPr>
        <w:t xml:space="preserve">5.3  Niche Expansion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760"/>
        <w:gridCol w:w="2800"/>
      </w:tblGrid>
      <w:tr>
        <w:tc>
          <w:tcPr>
            <w:tcW w:type="dxa" w:w="1800"/>
            <w:tcBorders>
              <w:top w:val="single" w:color="AACCEE" w:sz="1"/>
              <w:left w:val="single" w:color="AACCEE" w:sz="1"/>
              <w:bottom w:val="single" w:color="AACCEE" w:sz="1"/>
              <w:right w:val="single" w:color="AACCEE" w:sz="1"/>
            </w:tcBorders>
            <w:shd w:fill="1E3A5F" w:val="clear"/>
            <w:tcMar>
              <w:top w:type="dxa" w:w="80"/>
              <w:left w:type="dxa" w:w="120"/>
              <w:bottom w:type="dxa" w:w="80"/>
              <w:right w:type="dxa" w:w="120"/>
            </w:tcMar>
          </w:tcPr>
          <w:p>
            <w:r>
              <w:rPr>
                <w:b/>
                <w:bCs/>
                <w:color w:val="FFFFFF"/>
                <w:sz w:val="20"/>
                <w:szCs w:val="20"/>
              </w:rPr>
              <w:t xml:space="preserve">Phase</w:t>
            </w:r>
          </w:p>
        </w:tc>
        <w:tc>
          <w:tcPr>
            <w:tcW w:type="dxa" w:w="4760"/>
            <w:tcBorders>
              <w:top w:val="single" w:color="AACCEE" w:sz="1"/>
              <w:left w:val="single" w:color="AACCEE" w:sz="1"/>
              <w:bottom w:val="single" w:color="AACCEE" w:sz="1"/>
              <w:right w:val="single" w:color="AACCEE" w:sz="1"/>
            </w:tcBorders>
            <w:shd w:fill="1E3A5F" w:val="clear"/>
            <w:tcMar>
              <w:top w:type="dxa" w:w="80"/>
              <w:left w:type="dxa" w:w="120"/>
              <w:bottom w:type="dxa" w:w="80"/>
              <w:right w:type="dxa" w:w="120"/>
            </w:tcMar>
          </w:tcPr>
          <w:p>
            <w:r>
              <w:rPr>
                <w:b/>
                <w:bCs/>
                <w:color w:val="FFFFFF"/>
                <w:sz w:val="20"/>
                <w:szCs w:val="20"/>
              </w:rPr>
              <w:t xml:space="preserve">Contract Type</w:t>
            </w:r>
          </w:p>
        </w:tc>
        <w:tc>
          <w:tcPr>
            <w:tcW w:type="dxa" w:w="2800"/>
            <w:tcBorders>
              <w:top w:val="single" w:color="AACCEE" w:sz="1"/>
              <w:left w:val="single" w:color="AACCEE" w:sz="1"/>
              <w:bottom w:val="single" w:color="AACCEE" w:sz="1"/>
              <w:right w:val="single" w:color="AACCEE" w:sz="1"/>
            </w:tcBorders>
            <w:shd w:fill="1E3A5F" w:val="clear"/>
            <w:tcMar>
              <w:top w:type="dxa" w:w="80"/>
              <w:left w:type="dxa" w:w="120"/>
              <w:bottom w:type="dxa" w:w="80"/>
              <w:right w:type="dxa" w:w="120"/>
            </w:tcMar>
          </w:tcPr>
          <w:p>
            <w:r>
              <w:rPr>
                <w:b/>
                <w:bCs/>
                <w:color w:val="FFFFFF"/>
                <w:sz w:val="20"/>
                <w:szCs w:val="20"/>
              </w:rPr>
              <w:t xml:space="preserve">Timeline</w:t>
            </w:r>
          </w:p>
        </w:tc>
      </w:tr>
      <w:tr>
        <w:tc>
          <w:tcPr>
            <w:tcW w:type="dxa" w:w="180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Phase 1</w:t>
            </w:r>
          </w:p>
        </w:tc>
        <w:tc>
          <w:tcPr>
            <w:tcW w:type="dxa" w:w="476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NDA — Non-Disclosure Agreement</w:t>
            </w:r>
          </w:p>
        </w:tc>
        <w:tc>
          <w:tcPr>
            <w:tcW w:type="dxa" w:w="280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Launch (Month 1-3)</w:t>
            </w:r>
          </w:p>
        </w:tc>
      </w:tr>
      <w:tr>
        <w:tc>
          <w:tcPr>
            <w:tcW w:type="dxa" w:w="180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Phase 2</w:t>
            </w:r>
          </w:p>
        </w:tc>
        <w:tc>
          <w:tcPr>
            <w:tcW w:type="dxa" w:w="476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Employment Contracts (offer letters, non-competes)</w:t>
            </w:r>
          </w:p>
        </w:tc>
        <w:tc>
          <w:tcPr>
            <w:tcW w:type="dxa" w:w="280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Month 4-6</w:t>
            </w:r>
          </w:p>
        </w:tc>
      </w:tr>
      <w:tr>
        <w:tc>
          <w:tcPr>
            <w:tcW w:type="dxa" w:w="180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Phase 3</w:t>
            </w:r>
          </w:p>
        </w:tc>
        <w:tc>
          <w:tcPr>
            <w:tcW w:type="dxa" w:w="476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SaaS Agreements (service terms, SLAs, liability)</w:t>
            </w:r>
          </w:p>
        </w:tc>
        <w:tc>
          <w:tcPr>
            <w:tcW w:type="dxa" w:w="280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Month 7-9</w:t>
            </w:r>
          </w:p>
        </w:tc>
      </w:tr>
      <w:tr>
        <w:tc>
          <w:tcPr>
            <w:tcW w:type="dxa" w:w="180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Phase 4</w:t>
            </w:r>
          </w:p>
        </w:tc>
        <w:tc>
          <w:tcPr>
            <w:tcW w:type="dxa" w:w="476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Vendor / Supplier Agreements</w:t>
            </w:r>
          </w:p>
        </w:tc>
        <w:tc>
          <w:tcPr>
            <w:tcW w:type="dxa" w:w="280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Month 10-12</w:t>
            </w:r>
          </w:p>
        </w:tc>
      </w:tr>
      <w:tr>
        <w:tc>
          <w:tcPr>
            <w:tcW w:type="dxa" w:w="180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Phase 5</w:t>
            </w:r>
          </w:p>
        </w:tc>
        <w:tc>
          <w:tcPr>
            <w:tcW w:type="dxa" w:w="476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Full Contract Copilot — any contract type</w:t>
            </w:r>
          </w:p>
        </w:tc>
        <w:tc>
          <w:tcPr>
            <w:tcW w:type="dxa" w:w="280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Year 2+</w:t>
            </w:r>
          </w:p>
        </w:tc>
      </w:tr>
    </w:tbl>
    <w:p>
      <w:r>
        <w:rPr>
          <w:sz w:val="22"/>
          <w:szCs w:val="22"/>
        </w:rPr>
        <w:t xml:space="preserve"/>
      </w:r>
    </w:p>
    <w:p>
      <w:pPr>
        <w:pStyle w:val="Heading1"/>
        <w:spacing w:before="360" w:after="120"/>
      </w:pPr>
      <w:r>
        <w:rPr>
          <w:b/>
          <w:bCs/>
          <w:color w:val="1E3A5F"/>
          <w:sz w:val="36"/>
          <w:szCs w:val="36"/>
        </w:rPr>
        <w:t xml:space="preserve">SECTION 6 — TECHNICAL ARCHITECTURE (Step-by-Step)</w:t>
      </w:r>
    </w:p>
    <w:p>
      <w:pPr>
        <w:pBdr>
          <w:bottom w:val="single" w:color="AACCEE" w:sz="4" w:space="1"/>
        </w:pBdr>
        <w:spacing w:before="120" w:after="120"/>
      </w:pPr>
      <w:r>
        <w:t xml:space="preserve"/>
      </w:r>
    </w:p>
    <w:p>
      <w:pPr>
        <w:pStyle w:val="Heading2"/>
        <w:spacing w:before="240" w:after="80"/>
      </w:pPr>
      <w:r>
        <w:rPr>
          <w:b/>
          <w:bCs/>
          <w:color w:val="2E86AB"/>
          <w:sz w:val="28"/>
          <w:szCs w:val="28"/>
        </w:rPr>
        <w:t xml:space="preserve">6.1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c>
          <w:tcPr>
            <w:tcW w:type="dxa" w:w="2200"/>
            <w:tcBorders>
              <w:top w:val="single" w:color="AACCEE" w:sz="1"/>
              <w:left w:val="single" w:color="AACCEE" w:sz="1"/>
              <w:bottom w:val="single" w:color="AACCEE" w:sz="1"/>
              <w:right w:val="single" w:color="AACCEE" w:sz="1"/>
            </w:tcBorders>
            <w:shd w:fill="1E3A5F" w:val="clear"/>
            <w:tcMar>
              <w:top w:type="dxa" w:w="80"/>
              <w:left w:type="dxa" w:w="120"/>
              <w:bottom w:type="dxa" w:w="80"/>
              <w:right w:type="dxa" w:w="120"/>
            </w:tcMar>
          </w:tcPr>
          <w:p>
            <w:r>
              <w:rPr>
                <w:b/>
                <w:bCs/>
                <w:color w:val="FFFFFF"/>
                <w:sz w:val="20"/>
                <w:szCs w:val="20"/>
              </w:rPr>
              <w:t xml:space="preserve">Layer</w:t>
            </w:r>
          </w:p>
        </w:tc>
        <w:tc>
          <w:tcPr>
            <w:tcW w:type="dxa" w:w="3560"/>
            <w:tcBorders>
              <w:top w:val="single" w:color="AACCEE" w:sz="1"/>
              <w:left w:val="single" w:color="AACCEE" w:sz="1"/>
              <w:bottom w:val="single" w:color="AACCEE" w:sz="1"/>
              <w:right w:val="single" w:color="AACCEE" w:sz="1"/>
            </w:tcBorders>
            <w:shd w:fill="1E3A5F" w:val="clear"/>
            <w:tcMar>
              <w:top w:type="dxa" w:w="80"/>
              <w:left w:type="dxa" w:w="120"/>
              <w:bottom w:type="dxa" w:w="80"/>
              <w:right w:type="dxa" w:w="120"/>
            </w:tcMar>
          </w:tcPr>
          <w:p>
            <w:r>
              <w:rPr>
                <w:b/>
                <w:bCs/>
                <w:color w:val="FFFFFF"/>
                <w:sz w:val="20"/>
                <w:szCs w:val="20"/>
              </w:rPr>
              <w:t xml:space="preserve">Technology</w:t>
            </w:r>
          </w:p>
        </w:tc>
        <w:tc>
          <w:tcPr>
            <w:tcW w:type="dxa" w:w="3600"/>
            <w:tcBorders>
              <w:top w:val="single" w:color="AACCEE" w:sz="1"/>
              <w:left w:val="single" w:color="AACCEE" w:sz="1"/>
              <w:bottom w:val="single" w:color="AACCEE" w:sz="1"/>
              <w:right w:val="single" w:color="AACCEE" w:sz="1"/>
            </w:tcBorders>
            <w:shd w:fill="1E3A5F" w:val="clear"/>
            <w:tcMar>
              <w:top w:type="dxa" w:w="80"/>
              <w:left w:type="dxa" w:w="120"/>
              <w:bottom w:type="dxa" w:w="80"/>
              <w:right w:type="dxa" w:w="120"/>
            </w:tcMar>
          </w:tcPr>
          <w:p>
            <w:r>
              <w:rPr>
                <w:b/>
                <w:bCs/>
                <w:color w:val="FFFFFF"/>
                <w:sz w:val="20"/>
                <w:szCs w:val="20"/>
              </w:rPr>
              <w:t xml:space="preserve">Purpose</w:t>
            </w:r>
          </w:p>
        </w:tc>
      </w:tr>
      <w:tr>
        <w:tc>
          <w:tcPr>
            <w:tcW w:type="dxa" w:w="220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Frontend</w:t>
            </w:r>
          </w:p>
        </w:tc>
        <w:tc>
          <w:tcPr>
            <w:tcW w:type="dxa" w:w="356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Next.js + TailwindCSS</w:t>
            </w:r>
          </w:p>
        </w:tc>
        <w:tc>
          <w:tcPr>
            <w:tcW w:type="dxa" w:w="360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Web app, dashboard, results UI</w:t>
            </w:r>
          </w:p>
        </w:tc>
      </w:tr>
      <w:tr>
        <w:tc>
          <w:tcPr>
            <w:tcW w:type="dxa" w:w="220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Backend API</w:t>
            </w:r>
          </w:p>
        </w:tc>
        <w:tc>
          <w:tcPr>
            <w:tcW w:type="dxa" w:w="356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FastAPI (Python)</w:t>
            </w:r>
          </w:p>
        </w:tc>
        <w:tc>
          <w:tcPr>
            <w:tcW w:type="dxa" w:w="360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REST API, async task handling</w:t>
            </w:r>
          </w:p>
        </w:tc>
      </w:tr>
      <w:tr>
        <w:tc>
          <w:tcPr>
            <w:tcW w:type="dxa" w:w="220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AI / LLM</w:t>
            </w:r>
          </w:p>
        </w:tc>
        <w:tc>
          <w:tcPr>
            <w:tcW w:type="dxa" w:w="356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Claude or GPT-4 via API</w:t>
            </w:r>
          </w:p>
        </w:tc>
        <w:tc>
          <w:tcPr>
            <w:tcW w:type="dxa" w:w="360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Explanation, suggested edits, risk analysis</w:t>
            </w:r>
          </w:p>
        </w:tc>
      </w:tr>
      <w:tr>
        <w:tc>
          <w:tcPr>
            <w:tcW w:type="dxa" w:w="220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Clause Classifier</w:t>
            </w:r>
          </w:p>
        </w:tc>
        <w:tc>
          <w:tcPr>
            <w:tcW w:type="dxa" w:w="356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Fine-tuned DistilBERT or rule-based</w:t>
            </w:r>
          </w:p>
        </w:tc>
        <w:tc>
          <w:tcPr>
            <w:tcW w:type="dxa" w:w="360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Clause type classification</w:t>
            </w:r>
          </w:p>
        </w:tc>
      </w:tr>
      <w:tr>
        <w:tc>
          <w:tcPr>
            <w:tcW w:type="dxa" w:w="220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Database</w:t>
            </w:r>
          </w:p>
        </w:tc>
        <w:tc>
          <w:tcPr>
            <w:tcW w:type="dxa" w:w="356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PostgreSQL</w:t>
            </w:r>
          </w:p>
        </w:tc>
        <w:tc>
          <w:tcPr>
            <w:tcW w:type="dxa" w:w="360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Users, contracts, results, audit logs</w:t>
            </w:r>
          </w:p>
        </w:tc>
      </w:tr>
      <w:tr>
        <w:tc>
          <w:tcPr>
            <w:tcW w:type="dxa" w:w="220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File Storage</w:t>
            </w:r>
          </w:p>
        </w:tc>
        <w:tc>
          <w:tcPr>
            <w:tcW w:type="dxa" w:w="356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AWS S3 or Cloudflare R2</w:t>
            </w:r>
          </w:p>
        </w:tc>
        <w:tc>
          <w:tcPr>
            <w:tcW w:type="dxa" w:w="360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Contract file storage with encryption</w:t>
            </w:r>
          </w:p>
        </w:tc>
      </w:tr>
      <w:tr>
        <w:tc>
          <w:tcPr>
            <w:tcW w:type="dxa" w:w="220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Task Queue</w:t>
            </w:r>
          </w:p>
        </w:tc>
        <w:tc>
          <w:tcPr>
            <w:tcW w:type="dxa" w:w="356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Celery + Redis</w:t>
            </w:r>
          </w:p>
        </w:tc>
        <w:tc>
          <w:tcPr>
            <w:tcW w:type="dxa" w:w="360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Async document processing pipeline</w:t>
            </w:r>
          </w:p>
        </w:tc>
      </w:tr>
      <w:tr>
        <w:tc>
          <w:tcPr>
            <w:tcW w:type="dxa" w:w="220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OCR</w:t>
            </w:r>
          </w:p>
        </w:tc>
        <w:tc>
          <w:tcPr>
            <w:tcW w:type="dxa" w:w="356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Tesseract (fallback)</w:t>
            </w:r>
          </w:p>
        </w:tc>
        <w:tc>
          <w:tcPr>
            <w:tcW w:type="dxa" w:w="360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Scanned PDF text extraction</w:t>
            </w:r>
          </w:p>
        </w:tc>
      </w:tr>
      <w:tr>
        <w:tc>
          <w:tcPr>
            <w:tcW w:type="dxa" w:w="220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PDF Parsing</w:t>
            </w:r>
          </w:p>
        </w:tc>
        <w:tc>
          <w:tcPr>
            <w:tcW w:type="dxa" w:w="356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PyMuPDF / pdfminer</w:t>
            </w:r>
          </w:p>
        </w:tc>
        <w:tc>
          <w:tcPr>
            <w:tcW w:type="dxa" w:w="360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Text and layout extraction from PDFs</w:t>
            </w:r>
          </w:p>
        </w:tc>
      </w:tr>
      <w:tr>
        <w:tc>
          <w:tcPr>
            <w:tcW w:type="dxa" w:w="220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Billing</w:t>
            </w:r>
          </w:p>
        </w:tc>
        <w:tc>
          <w:tcPr>
            <w:tcW w:type="dxa" w:w="356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Stripe</w:t>
            </w:r>
          </w:p>
        </w:tc>
        <w:tc>
          <w:tcPr>
            <w:tcW w:type="dxa" w:w="360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Subscription management and payments</w:t>
            </w:r>
          </w:p>
        </w:tc>
      </w:tr>
      <w:tr>
        <w:tc>
          <w:tcPr>
            <w:tcW w:type="dxa" w:w="220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Auth</w:t>
            </w:r>
          </w:p>
        </w:tc>
        <w:tc>
          <w:tcPr>
            <w:tcW w:type="dxa" w:w="356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Supabase Auth or Auth0</w:t>
            </w:r>
          </w:p>
        </w:tc>
        <w:tc>
          <w:tcPr>
            <w:tcW w:type="dxa" w:w="360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User authentication and sessions</w:t>
            </w:r>
          </w:p>
        </w:tc>
      </w:tr>
      <w:tr>
        <w:tc>
          <w:tcPr>
            <w:tcW w:type="dxa" w:w="220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Monitoring</w:t>
            </w:r>
          </w:p>
        </w:tc>
        <w:tc>
          <w:tcPr>
            <w:tcW w:type="dxa" w:w="356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PostHog + Sentry</w:t>
            </w:r>
          </w:p>
        </w:tc>
        <w:tc>
          <w:tcPr>
            <w:tcW w:type="dxa" w:w="360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Analytics, error tracking</w:t>
            </w:r>
          </w:p>
        </w:tc>
      </w:tr>
      <w:tr>
        <w:tc>
          <w:tcPr>
            <w:tcW w:type="dxa" w:w="220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Hosting</w:t>
            </w:r>
          </w:p>
        </w:tc>
        <w:tc>
          <w:tcPr>
            <w:tcW w:type="dxa" w:w="356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Vercel (frontend) + Render/Railway (backend)</w:t>
            </w:r>
          </w:p>
        </w:tc>
        <w:tc>
          <w:tcPr>
            <w:tcW w:type="dxa" w:w="360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Deployment and scaling</w:t>
            </w:r>
          </w:p>
        </w:tc>
      </w:tr>
    </w:tbl>
    <w:p>
      <w:r>
        <w:rPr>
          <w:sz w:val="22"/>
          <w:szCs w:val="22"/>
        </w:rPr>
        <w:t xml:space="preserve"/>
      </w:r>
    </w:p>
    <w:p>
      <w:pPr>
        <w:pStyle w:val="Heading2"/>
        <w:spacing w:before="240" w:after="80"/>
      </w:pPr>
      <w:r>
        <w:rPr>
          <w:b/>
          <w:bCs/>
          <w:color w:val="2E86AB"/>
          <w:sz w:val="28"/>
          <w:szCs w:val="28"/>
        </w:rPr>
        <w:t xml:space="preserve">6.2  Complete Processing Pipeline (Step by Step)</w:t>
      </w:r>
    </w:p>
    <w:p>
      <w:pPr>
        <w:pStyle w:val="Heading3"/>
        <w:spacing w:before="180" w:after="60"/>
      </w:pPr>
      <w:r>
        <w:rPr>
          <w:b/>
          <w:bCs/>
          <w:color w:val="333333"/>
          <w:sz w:val="24"/>
          <w:szCs w:val="24"/>
        </w:rPr>
        <w:t xml:space="preserve">Step 1 — File Upload and Validation</w:t>
      </w:r>
    </w:p>
    <w:p>
      <w:pPr>
        <w:pStyle w:val="ListParagraph"/>
        <w:numPr>
          <w:ilvl w:val="0"/>
          <w:numId w:val="2"/>
        </w:numPr>
        <w:spacing w:before="40" w:after="40"/>
      </w:pPr>
      <w:r>
        <w:rPr>
          <w:color w:val="222222"/>
          <w:sz w:val="22"/>
          <w:szCs w:val="22"/>
        </w:rPr>
        <w:t xml:space="preserve">User drags and drops or selects a PDF or DOCX file.</w:t>
      </w:r>
    </w:p>
    <w:p>
      <w:pPr>
        <w:pStyle w:val="ListParagraph"/>
        <w:numPr>
          <w:ilvl w:val="0"/>
          <w:numId w:val="2"/>
        </w:numPr>
        <w:spacing w:before="40" w:after="40"/>
      </w:pPr>
      <w:r>
        <w:rPr>
          <w:color w:val="222222"/>
          <w:sz w:val="22"/>
          <w:szCs w:val="22"/>
        </w:rPr>
        <w:t xml:space="preserve">Frontend validates file type, size limit (max 20MB), and sends to backend via multipart POST.</w:t>
      </w:r>
    </w:p>
    <w:p>
      <w:pPr>
        <w:pStyle w:val="ListParagraph"/>
        <w:numPr>
          <w:ilvl w:val="0"/>
          <w:numId w:val="2"/>
        </w:numPr>
        <w:spacing w:before="40" w:after="40"/>
      </w:pPr>
      <w:r>
        <w:rPr>
          <w:color w:val="222222"/>
          <w:sz w:val="22"/>
          <w:szCs w:val="22"/>
        </w:rPr>
        <w:t xml:space="preserve">Backend checks file integrity, logs upload event, and assigns a unique document_id.</w:t>
      </w:r>
    </w:p>
    <w:p>
      <w:pPr>
        <w:pStyle w:val="ListParagraph"/>
        <w:numPr>
          <w:ilvl w:val="0"/>
          <w:numId w:val="2"/>
        </w:numPr>
        <w:spacing w:before="40" w:after="40"/>
      </w:pPr>
      <w:r>
        <w:rPr>
          <w:color w:val="222222"/>
          <w:sz w:val="22"/>
          <w:szCs w:val="22"/>
        </w:rPr>
        <w:t xml:space="preserve">File is stored in S3 with server-side encryption (AES-256). URI is saved to PostgreSQL.</w:t>
      </w:r>
    </w:p>
    <w:p>
      <w:r>
        <w:rPr>
          <w:sz w:val="22"/>
          <w:szCs w:val="22"/>
        </w:rPr>
        <w:t xml:space="preserve"/>
      </w:r>
    </w:p>
    <w:p>
      <w:pPr>
        <w:pStyle w:val="Heading3"/>
        <w:spacing w:before="180" w:after="60"/>
      </w:pPr>
      <w:r>
        <w:rPr>
          <w:b/>
          <w:bCs/>
          <w:color w:val="333333"/>
          <w:sz w:val="24"/>
          <w:szCs w:val="24"/>
        </w:rPr>
        <w:t xml:space="preserve">Step 2 — Text Extraction</w:t>
      </w:r>
    </w:p>
    <w:p>
      <w:pPr>
        <w:pStyle w:val="ListParagraph"/>
        <w:numPr>
          <w:ilvl w:val="0"/>
          <w:numId w:val="2"/>
        </w:numPr>
        <w:spacing w:before="40" w:after="40"/>
      </w:pPr>
      <w:r>
        <w:rPr>
          <w:color w:val="222222"/>
          <w:sz w:val="22"/>
          <w:szCs w:val="22"/>
        </w:rPr>
        <w:t xml:space="preserve">DOCX files: extracted using python-docx library, preserving paragraph and section structure.</w:t>
      </w:r>
    </w:p>
    <w:p>
      <w:pPr>
        <w:pStyle w:val="ListParagraph"/>
        <w:numPr>
          <w:ilvl w:val="0"/>
          <w:numId w:val="2"/>
        </w:numPr>
        <w:spacing w:before="40" w:after="40"/>
      </w:pPr>
      <w:r>
        <w:rPr>
          <w:color w:val="222222"/>
          <w:sz w:val="22"/>
          <w:szCs w:val="22"/>
        </w:rPr>
        <w:t xml:space="preserve">PDF files: extracted using PyMuPDF (fitz) for text PDFs, or pdfminer as fallback.</w:t>
      </w:r>
    </w:p>
    <w:p>
      <w:pPr>
        <w:pStyle w:val="ListParagraph"/>
        <w:numPr>
          <w:ilvl w:val="0"/>
          <w:numId w:val="2"/>
        </w:numPr>
        <w:spacing w:before="40" w:after="40"/>
      </w:pPr>
      <w:r>
        <w:rPr>
          <w:color w:val="222222"/>
          <w:sz w:val="22"/>
          <w:szCs w:val="22"/>
        </w:rPr>
        <w:t xml:space="preserve">Scanned PDFs: detected by low character yield, then OCR is applied using Tesseract.</w:t>
      </w:r>
    </w:p>
    <w:p>
      <w:pPr>
        <w:pStyle w:val="ListParagraph"/>
        <w:numPr>
          <w:ilvl w:val="0"/>
          <w:numId w:val="2"/>
        </w:numPr>
        <w:spacing w:before="40" w:after="40"/>
      </w:pPr>
      <w:r>
        <w:rPr>
          <w:color w:val="222222"/>
          <w:sz w:val="22"/>
          <w:szCs w:val="22"/>
        </w:rPr>
        <w:t xml:space="preserve">Extracted text is normalized: extra whitespace removed, smart quotes normalized, encoding standardized to UTF-8.</w:t>
      </w:r>
    </w:p>
    <w:p>
      <w:r>
        <w:rPr>
          <w:sz w:val="22"/>
          <w:szCs w:val="22"/>
        </w:rPr>
        <w:t xml:space="preserve"/>
      </w:r>
    </w:p>
    <w:p>
      <w:pPr>
        <w:pStyle w:val="Heading3"/>
        <w:spacing w:before="180" w:after="60"/>
      </w:pPr>
      <w:r>
        <w:rPr>
          <w:b/>
          <w:bCs/>
          <w:color w:val="333333"/>
          <w:sz w:val="24"/>
          <w:szCs w:val="24"/>
        </w:rPr>
        <w:t xml:space="preserve">Step 3 — Clause Segmentation</w:t>
      </w:r>
    </w:p>
    <w:p>
      <w:pPr>
        <w:pStyle w:val="ListParagraph"/>
        <w:numPr>
          <w:ilvl w:val="0"/>
          <w:numId w:val="2"/>
        </w:numPr>
        <w:spacing w:before="40" w:after="40"/>
      </w:pPr>
      <w:r>
        <w:rPr>
          <w:color w:val="222222"/>
          <w:sz w:val="22"/>
          <w:szCs w:val="22"/>
        </w:rPr>
        <w:t xml:space="preserve">Rule-based segmentation: detect clause headers using regex patterns (numbered sections like '1.', '1.1', ALL CAPS headings, bold markers).</w:t>
      </w:r>
    </w:p>
    <w:p>
      <w:pPr>
        <w:pStyle w:val="ListParagraph"/>
        <w:numPr>
          <w:ilvl w:val="0"/>
          <w:numId w:val="2"/>
        </w:numPr>
        <w:spacing w:before="40" w:after="40"/>
      </w:pPr>
      <w:r>
        <w:rPr>
          <w:color w:val="222222"/>
          <w:sz w:val="22"/>
          <w:szCs w:val="22"/>
        </w:rPr>
        <w:t xml:space="preserve">ML-assisted segmentation: optional fine-tuned sequence labeler (DistilBERT) to detect clause boundary tokens.</w:t>
      </w:r>
    </w:p>
    <w:p>
      <w:pPr>
        <w:pStyle w:val="ListParagraph"/>
        <w:numPr>
          <w:ilvl w:val="0"/>
          <w:numId w:val="2"/>
        </w:numPr>
        <w:spacing w:before="40" w:after="40"/>
      </w:pPr>
      <w:r>
        <w:rPr>
          <w:color w:val="222222"/>
          <w:sz w:val="22"/>
          <w:szCs w:val="22"/>
        </w:rPr>
        <w:t xml:space="preserve">Output: array of clause objects with {id, title, text, start_char, end_char, page_number}.</w:t>
      </w:r>
    </w:p>
    <w:p>
      <w:r>
        <w:rPr>
          <w:sz w:val="22"/>
          <w:szCs w:val="22"/>
        </w:rPr>
        <w:t xml:space="preserve"/>
      </w:r>
    </w:p>
    <w:p>
      <w:pPr>
        <w:pStyle w:val="Heading3"/>
        <w:spacing w:before="180" w:after="60"/>
      </w:pPr>
      <w:r>
        <w:rPr>
          <w:b/>
          <w:bCs/>
          <w:color w:val="333333"/>
          <w:sz w:val="24"/>
          <w:szCs w:val="24"/>
        </w:rPr>
        <w:t xml:space="preserve">Step 4 — Clause Classification</w:t>
      </w:r>
    </w:p>
    <w:p>
      <w:pPr>
        <w:pStyle w:val="ListParagraph"/>
        <w:numPr>
          <w:ilvl w:val="0"/>
          <w:numId w:val="2"/>
        </w:numPr>
        <w:spacing w:before="40" w:after="40"/>
      </w:pPr>
      <w:r>
        <w:rPr>
          <w:color w:val="222222"/>
          <w:sz w:val="22"/>
          <w:szCs w:val="22"/>
        </w:rPr>
        <w:t xml:space="preserve">Each clause is tagged with one or more type labels: confidentiality, term, liability, jurisdiction, IP, indemnity, termination, auto-renewal, payment, data-privacy, assignment, dispute-resolution.</w:t>
      </w:r>
    </w:p>
    <w:p>
      <w:pPr>
        <w:pStyle w:val="ListParagraph"/>
        <w:numPr>
          <w:ilvl w:val="0"/>
          <w:numId w:val="2"/>
        </w:numPr>
        <w:spacing w:before="40" w:after="40"/>
      </w:pPr>
      <w:r>
        <w:rPr>
          <w:color w:val="222222"/>
          <w:sz w:val="22"/>
          <w:szCs w:val="22"/>
        </w:rPr>
        <w:t xml:space="preserve">Classifier uses a multilabel approach: text embedding + linear classifier.</w:t>
      </w:r>
    </w:p>
    <w:p>
      <w:pPr>
        <w:pStyle w:val="ListParagraph"/>
        <w:numPr>
          <w:ilvl w:val="0"/>
          <w:numId w:val="2"/>
        </w:numPr>
        <w:spacing w:before="40" w:after="40"/>
      </w:pPr>
      <w:r>
        <w:rPr>
          <w:color w:val="222222"/>
          <w:sz w:val="22"/>
          <w:szCs w:val="22"/>
        </w:rPr>
        <w:t xml:space="preserve">Start with heuristic rules (keyword matching per type) and replace with ML classifier once 500+ labeled examples are collected.</w:t>
      </w:r>
    </w:p>
    <w:p>
      <w:r>
        <w:rPr>
          <w:sz w:val="22"/>
          <w:szCs w:val="22"/>
        </w:rPr>
        <w:t xml:space="preserve"/>
      </w:r>
    </w:p>
    <w:p>
      <w:pPr>
        <w:pStyle w:val="Heading3"/>
        <w:spacing w:before="180" w:after="60"/>
      </w:pPr>
      <w:r>
        <w:rPr>
          <w:b/>
          <w:bCs/>
          <w:color w:val="333333"/>
          <w:sz w:val="24"/>
          <w:szCs w:val="24"/>
        </w:rPr>
        <w:t xml:space="preserve">Step 5 — Entity Extraction</w:t>
      </w:r>
    </w:p>
    <w:p>
      <w:pPr>
        <w:pStyle w:val="ListParagraph"/>
        <w:numPr>
          <w:ilvl w:val="0"/>
          <w:numId w:val="2"/>
        </w:numPr>
        <w:spacing w:before="40" w:after="40"/>
      </w:pPr>
      <w:r>
        <w:rPr>
          <w:color w:val="222222"/>
          <w:sz w:val="22"/>
          <w:szCs w:val="22"/>
        </w:rPr>
        <w:t xml:space="preserve">Named entity recognition extracts: party names, dates, monetary amounts, notice periods, governing law jurisdiction, duration values.</w:t>
      </w:r>
    </w:p>
    <w:p>
      <w:pPr>
        <w:pStyle w:val="ListParagraph"/>
        <w:numPr>
          <w:ilvl w:val="0"/>
          <w:numId w:val="2"/>
        </w:numPr>
        <w:spacing w:before="40" w:after="40"/>
      </w:pPr>
      <w:r>
        <w:rPr>
          <w:color w:val="222222"/>
          <w:sz w:val="22"/>
          <w:szCs w:val="22"/>
        </w:rPr>
        <w:t xml:space="preserve">Use regex for structured data (dates, dollar amounts) and LLM-backed NER for ambiguous entities.</w:t>
      </w:r>
    </w:p>
    <w:p>
      <w:pPr>
        <w:pStyle w:val="ListParagraph"/>
        <w:numPr>
          <w:ilvl w:val="0"/>
          <w:numId w:val="2"/>
        </w:numPr>
        <w:spacing w:before="40" w:after="40"/>
      </w:pPr>
      <w:r>
        <w:rPr>
          <w:color w:val="222222"/>
          <w:sz w:val="22"/>
          <w:szCs w:val="22"/>
        </w:rPr>
        <w:t xml:space="preserve">Entities are stored and used to enrich LLM prompts and rule-based checks.</w:t>
      </w:r>
    </w:p>
    <w:p>
      <w:r>
        <w:rPr>
          <w:sz w:val="22"/>
          <w:szCs w:val="22"/>
        </w:rPr>
        <w:t xml:space="preserve"/>
      </w:r>
    </w:p>
    <w:p>
      <w:pPr>
        <w:pStyle w:val="Heading3"/>
        <w:spacing w:before="180" w:after="60"/>
      </w:pPr>
      <w:r>
        <w:rPr>
          <w:b/>
          <w:bCs/>
          <w:color w:val="333333"/>
          <w:sz w:val="24"/>
          <w:szCs w:val="24"/>
        </w:rPr>
        <w:t xml:space="preserve">Step 6 — Rules Engine (Deterministic Risk Flags)</w:t>
      </w:r>
    </w:p>
    <w:p>
      <w:pPr>
        <w:spacing w:before="60" w:after="60"/>
      </w:pPr>
      <w:r>
        <w:rPr>
          <w:color w:val="222222"/>
          <w:sz w:val="22"/>
          <w:szCs w:val="22"/>
        </w:rPr>
        <w:t xml:space="preserve">The rules engine provides fast, auditable, deterministic risk flags before the LLM is invoked. This makes results trustworthy and explainable:</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560"/>
        <w:gridCol w:w="2800"/>
      </w:tblGrid>
      <w:tr>
        <w:tc>
          <w:tcPr>
            <w:tcW w:type="dxa" w:w="4000"/>
            <w:tcBorders>
              <w:top w:val="single" w:color="AACCEE" w:sz="1"/>
              <w:left w:val="single" w:color="AACCEE" w:sz="1"/>
              <w:bottom w:val="single" w:color="AACCEE" w:sz="1"/>
              <w:right w:val="single" w:color="AACCEE" w:sz="1"/>
            </w:tcBorders>
            <w:shd w:fill="1E3A5F" w:val="clear"/>
            <w:tcMar>
              <w:top w:type="dxa" w:w="80"/>
              <w:left w:type="dxa" w:w="120"/>
              <w:bottom w:type="dxa" w:w="80"/>
              <w:right w:type="dxa" w:w="120"/>
            </w:tcMar>
          </w:tcPr>
          <w:p>
            <w:r>
              <w:rPr>
                <w:b/>
                <w:bCs/>
                <w:color w:val="FFFFFF"/>
                <w:sz w:val="20"/>
                <w:szCs w:val="20"/>
              </w:rPr>
              <w:t xml:space="preserve">Rule Check</w:t>
            </w:r>
          </w:p>
        </w:tc>
        <w:tc>
          <w:tcPr>
            <w:tcW w:type="dxa" w:w="2560"/>
            <w:tcBorders>
              <w:top w:val="single" w:color="AACCEE" w:sz="1"/>
              <w:left w:val="single" w:color="AACCEE" w:sz="1"/>
              <w:bottom w:val="single" w:color="AACCEE" w:sz="1"/>
              <w:right w:val="single" w:color="AACCEE" w:sz="1"/>
            </w:tcBorders>
            <w:shd w:fill="1E3A5F" w:val="clear"/>
            <w:tcMar>
              <w:top w:type="dxa" w:w="80"/>
              <w:left w:type="dxa" w:w="120"/>
              <w:bottom w:type="dxa" w:w="80"/>
              <w:right w:type="dxa" w:w="120"/>
            </w:tcMar>
          </w:tcPr>
          <w:p>
            <w:r>
              <w:rPr>
                <w:b/>
                <w:bCs/>
                <w:color w:val="FFFFFF"/>
                <w:sz w:val="20"/>
                <w:szCs w:val="20"/>
              </w:rPr>
              <w:t xml:space="preserve">Flag</w:t>
            </w:r>
          </w:p>
        </w:tc>
        <w:tc>
          <w:tcPr>
            <w:tcW w:type="dxa" w:w="2800"/>
            <w:tcBorders>
              <w:top w:val="single" w:color="AACCEE" w:sz="1"/>
              <w:left w:val="single" w:color="AACCEE" w:sz="1"/>
              <w:bottom w:val="single" w:color="AACCEE" w:sz="1"/>
              <w:right w:val="single" w:color="AACCEE" w:sz="1"/>
            </w:tcBorders>
            <w:shd w:fill="1E3A5F" w:val="clear"/>
            <w:tcMar>
              <w:top w:type="dxa" w:w="80"/>
              <w:left w:type="dxa" w:w="120"/>
              <w:bottom w:type="dxa" w:w="80"/>
              <w:right w:type="dxa" w:w="120"/>
            </w:tcMar>
          </w:tcPr>
          <w:p>
            <w:r>
              <w:rPr>
                <w:b/>
                <w:bCs/>
                <w:color w:val="FFFFFF"/>
                <w:sz w:val="20"/>
                <w:szCs w:val="20"/>
              </w:rPr>
              <w:t xml:space="preserve">Points Added</w:t>
            </w:r>
          </w:p>
        </w:tc>
      </w:tr>
      <w:tr>
        <w:tc>
          <w:tcPr>
            <w:tcW w:type="dxa" w:w="400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Liability clause contains 'unlimited'</w:t>
            </w:r>
          </w:p>
        </w:tc>
        <w:tc>
          <w:tcPr>
            <w:tcW w:type="dxa" w:w="256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HIGH RISK</w:t>
            </w:r>
          </w:p>
        </w:tc>
        <w:tc>
          <w:tcPr>
            <w:tcW w:type="dxa" w:w="280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+3</w:t>
            </w:r>
          </w:p>
        </w:tc>
      </w:tr>
      <w:tr>
        <w:tc>
          <w:tcPr>
            <w:tcW w:type="dxa" w:w="400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No termination clause detected</w:t>
            </w:r>
          </w:p>
        </w:tc>
        <w:tc>
          <w:tcPr>
            <w:tcW w:type="dxa" w:w="256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HIGH RISK</w:t>
            </w:r>
          </w:p>
        </w:tc>
        <w:tc>
          <w:tcPr>
            <w:tcW w:type="dxa" w:w="280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+2</w:t>
            </w:r>
          </w:p>
        </w:tc>
      </w:tr>
      <w:tr>
        <w:tc>
          <w:tcPr>
            <w:tcW w:type="dxa" w:w="400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Confidentiality duration &gt; 5 years or undefined</w:t>
            </w:r>
          </w:p>
        </w:tc>
        <w:tc>
          <w:tcPr>
            <w:tcW w:type="dxa" w:w="256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MEDIUM RISK</w:t>
            </w:r>
          </w:p>
        </w:tc>
        <w:tc>
          <w:tcPr>
            <w:tcW w:type="dxa" w:w="280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+2</w:t>
            </w:r>
          </w:p>
        </w:tc>
      </w:tr>
      <w:tr>
        <w:tc>
          <w:tcPr>
            <w:tcW w:type="dxa" w:w="400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Auto-renewal clause detected without opt-out window</w:t>
            </w:r>
          </w:p>
        </w:tc>
        <w:tc>
          <w:tcPr>
            <w:tcW w:type="dxa" w:w="256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MEDIUM RISK</w:t>
            </w:r>
          </w:p>
        </w:tc>
        <w:tc>
          <w:tcPr>
            <w:tcW w:type="dxa" w:w="280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+2</w:t>
            </w:r>
          </w:p>
        </w:tc>
      </w:tr>
      <w:tr>
        <w:tc>
          <w:tcPr>
            <w:tcW w:type="dxa" w:w="400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Data ownership is unclear or missing</w:t>
            </w:r>
          </w:p>
        </w:tc>
        <w:tc>
          <w:tcPr>
            <w:tcW w:type="dxa" w:w="256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MEDIUM RISK</w:t>
            </w:r>
          </w:p>
        </w:tc>
        <w:tc>
          <w:tcPr>
            <w:tcW w:type="dxa" w:w="280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+2</w:t>
            </w:r>
          </w:p>
        </w:tc>
      </w:tr>
      <w:tr>
        <w:tc>
          <w:tcPr>
            <w:tcW w:type="dxa" w:w="400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Governing law is a remote/unusual jurisdiction</w:t>
            </w:r>
          </w:p>
        </w:tc>
        <w:tc>
          <w:tcPr>
            <w:tcW w:type="dxa" w:w="256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LOW RISK</w:t>
            </w:r>
          </w:p>
        </w:tc>
        <w:tc>
          <w:tcPr>
            <w:tcW w:type="dxa" w:w="280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+1</w:t>
            </w:r>
          </w:p>
        </w:tc>
      </w:tr>
      <w:tr>
        <w:tc>
          <w:tcPr>
            <w:tcW w:type="dxa" w:w="400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No dispute resolution clause detected</w:t>
            </w:r>
          </w:p>
        </w:tc>
        <w:tc>
          <w:tcPr>
            <w:tcW w:type="dxa" w:w="256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LOW RISK</w:t>
            </w:r>
          </w:p>
        </w:tc>
        <w:tc>
          <w:tcPr>
            <w:tcW w:type="dxa" w:w="280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+1</w:t>
            </w:r>
          </w:p>
        </w:tc>
      </w:tr>
      <w:tr>
        <w:tc>
          <w:tcPr>
            <w:tcW w:type="dxa" w:w="400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Payment terms exceed Net-60</w:t>
            </w:r>
          </w:p>
        </w:tc>
        <w:tc>
          <w:tcPr>
            <w:tcW w:type="dxa" w:w="256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MEDIUM RISK</w:t>
            </w:r>
          </w:p>
        </w:tc>
        <w:tc>
          <w:tcPr>
            <w:tcW w:type="dxa" w:w="280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+1</w:t>
            </w:r>
          </w:p>
        </w:tc>
      </w:tr>
    </w:tbl>
    <w:p>
      <w:r>
        <w:rPr>
          <w:sz w:val="22"/>
          <w:szCs w:val="22"/>
        </w:rPr>
        <w:t xml:space="preserve"/>
      </w:r>
    </w:p>
    <w:p>
      <w:pPr>
        <w:pStyle w:val="Heading3"/>
        <w:spacing w:before="180" w:after="60"/>
      </w:pPr>
      <w:r>
        <w:rPr>
          <w:b/>
          <w:bCs/>
          <w:color w:val="333333"/>
          <w:sz w:val="24"/>
          <w:szCs w:val="24"/>
        </w:rPr>
        <w:t xml:space="preserve">Step 7 — LLM Analysis (RAG-Enhanced)</w:t>
      </w:r>
    </w:p>
    <w:p>
      <w:pPr>
        <w:spacing w:before="60" w:after="60"/>
      </w:pPr>
      <w:r>
        <w:rPr>
          <w:color w:val="222222"/>
          <w:sz w:val="22"/>
          <w:szCs w:val="22"/>
        </w:rPr>
        <w:t xml:space="preserve">For each flagged clause, send a structured prompt to the LLM with:</w:t>
      </w:r>
    </w:p>
    <w:p>
      <w:pPr>
        <w:pStyle w:val="ListParagraph"/>
        <w:numPr>
          <w:ilvl w:val="0"/>
          <w:numId w:val="2"/>
        </w:numPr>
        <w:spacing w:before="40" w:after="40"/>
      </w:pPr>
      <w:r>
        <w:rPr>
          <w:color w:val="222222"/>
          <w:sz w:val="22"/>
          <w:szCs w:val="22"/>
        </w:rPr>
        <w:t xml:space="preserve">The clause text (exact)</w:t>
      </w:r>
    </w:p>
    <w:p>
      <w:pPr>
        <w:pStyle w:val="ListParagraph"/>
        <w:numPr>
          <w:ilvl w:val="0"/>
          <w:numId w:val="2"/>
        </w:numPr>
        <w:spacing w:before="40" w:after="40"/>
      </w:pPr>
      <w:r>
        <w:rPr>
          <w:color w:val="222222"/>
          <w:sz w:val="22"/>
          <w:szCs w:val="22"/>
        </w:rPr>
        <w:t xml:space="preserve">The clause type tag and rule-based flags</w:t>
      </w:r>
    </w:p>
    <w:p>
      <w:pPr>
        <w:pStyle w:val="ListParagraph"/>
        <w:numPr>
          <w:ilvl w:val="0"/>
          <w:numId w:val="2"/>
        </w:numPr>
        <w:spacing w:before="40" w:after="40"/>
      </w:pPr>
      <w:r>
        <w:rPr>
          <w:color w:val="222222"/>
          <w:sz w:val="22"/>
          <w:szCs w:val="22"/>
        </w:rPr>
        <w:t xml:space="preserve">Retrieved standard template text (from vector index of NDA templates)</w:t>
      </w:r>
    </w:p>
    <w:p>
      <w:pPr>
        <w:pStyle w:val="ListParagraph"/>
        <w:numPr>
          <w:ilvl w:val="0"/>
          <w:numId w:val="2"/>
        </w:numPr>
        <w:spacing w:before="40" w:after="40"/>
      </w:pPr>
      <w:r>
        <w:rPr>
          <w:color w:val="222222"/>
          <w:sz w:val="22"/>
          <w:szCs w:val="22"/>
        </w:rPr>
        <w:t xml:space="preserve">Extracted entities (parties, duration, jurisdiction)</w:t>
      </w:r>
    </w:p>
    <w:p>
      <w:r>
        <w:rPr>
          <w:sz w:val="22"/>
          <w:szCs w:val="22"/>
        </w:rPr>
        <w:t xml:space="preserve"/>
      </w:r>
    </w:p>
    <w:p>
      <w:pPr>
        <w:spacing w:before="60" w:after="60"/>
      </w:pPr>
      <w:r>
        <w:rPr>
          <w:color w:val="222222"/>
          <w:sz w:val="22"/>
          <w:szCs w:val="22"/>
        </w:rPr>
        <w:t xml:space="preserve">The LLM returns for each clause:</w:t>
      </w:r>
    </w:p>
    <w:p>
      <w:pPr>
        <w:pStyle w:val="ListParagraph"/>
        <w:numPr>
          <w:ilvl w:val="0"/>
          <w:numId w:val="2"/>
        </w:numPr>
        <w:spacing w:before="40" w:after="40"/>
      </w:pPr>
      <w:r>
        <w:rPr>
          <w:color w:val="222222"/>
          <w:sz w:val="22"/>
          <w:szCs w:val="22"/>
        </w:rPr>
        <w:t xml:space="preserve">Plain-English explanation (1-3 sentences, no jargon)</w:t>
      </w:r>
    </w:p>
    <w:p>
      <w:pPr>
        <w:pStyle w:val="ListParagraph"/>
        <w:numPr>
          <w:ilvl w:val="0"/>
          <w:numId w:val="2"/>
        </w:numPr>
        <w:spacing w:before="40" w:after="40"/>
      </w:pPr>
      <w:r>
        <w:rPr>
          <w:color w:val="222222"/>
          <w:sz w:val="22"/>
          <w:szCs w:val="22"/>
        </w:rPr>
        <w:t xml:space="preserve">Suggested one-sentence edit or negotiation wording</w:t>
      </w:r>
    </w:p>
    <w:p>
      <w:pPr>
        <w:pStyle w:val="ListParagraph"/>
        <w:numPr>
          <w:ilvl w:val="0"/>
          <w:numId w:val="2"/>
        </w:numPr>
        <w:spacing w:before="40" w:after="40"/>
      </w:pPr>
      <w:r>
        <w:rPr>
          <w:color w:val="222222"/>
          <w:sz w:val="22"/>
          <w:szCs w:val="22"/>
        </w:rPr>
        <w:t xml:space="preserve">Confidence level (high / medium / low)</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CCEE" w:sz="1"/>
              <w:left w:val="single" w:color="AACCEE" w:sz="1"/>
              <w:bottom w:val="single" w:color="AACCEE" w:sz="1"/>
              <w:right w:val="single" w:color="AACCEE" w:sz="1"/>
            </w:tcBorders>
            <w:shd w:fill="1E3A5F" w:val="clear"/>
            <w:tcMar>
              <w:top w:type="dxa" w:w="80"/>
              <w:left w:type="dxa" w:w="160"/>
              <w:bottom w:type="dxa" w:w="80"/>
              <w:right w:type="dxa" w:w="160"/>
            </w:tcMar>
          </w:tcPr>
          <w:p>
            <w:r>
              <w:rPr>
                <w:b/>
                <w:bCs/>
                <w:color w:val="FFFFFF"/>
                <w:sz w:val="22"/>
                <w:szCs w:val="22"/>
              </w:rPr>
              <w:t xml:space="preserve">Production LLM System Prompt</w:t>
            </w:r>
          </w:p>
        </w:tc>
      </w:tr>
      <w:tr>
        <w:tc>
          <w:tcPr>
            <w:tcW w:type="dxa" w:w="9360"/>
            <w:tcBorders>
              <w:top w:val="single" w:color="AACCEE" w:sz="1"/>
              <w:left w:val="single" w:color="AACCEE" w:sz="1"/>
              <w:bottom w:val="single" w:color="AACCEE" w:sz="1"/>
              <w:right w:val="single" w:color="AACCEE" w:sz="1"/>
            </w:tcBorders>
            <w:shd w:fill="EEF4FB" w:val="clear"/>
            <w:tcMar>
              <w:top w:type="dxa" w:w="60"/>
              <w:left w:type="dxa" w:w="160"/>
              <w:bottom w:type="dxa" w:w="60"/>
              <w:right w:type="dxa" w:w="160"/>
            </w:tcMar>
          </w:tcPr>
          <w:p>
            <w:r>
              <w:rPr>
                <w:color w:val="222222"/>
                <w:sz w:val="21"/>
                <w:szCs w:val="21"/>
              </w:rPr>
              <w:t xml:space="preserve">You are a legal document analysis assistant. Given clause spans, category tags, and extracted entities, produce:</w:t>
            </w:r>
          </w:p>
        </w:tc>
      </w:tr>
      <w:tr>
        <w:tc>
          <w:tcPr>
            <w:tcW w:type="dxa" w:w="9360"/>
            <w:tcBorders>
              <w:top w:val="single" w:color="AACCEE" w:sz="1"/>
              <w:left w:val="single" w:color="AACCEE" w:sz="1"/>
              <w:bottom w:val="single" w:color="AACCEE" w:sz="1"/>
              <w:right w:val="single" w:color="AACCEE" w:sz="1"/>
            </w:tcBorders>
            <w:shd w:fill="EEF4FB" w:val="clear"/>
            <w:tcMar>
              <w:top w:type="dxa" w:w="60"/>
              <w:left w:type="dxa" w:w="160"/>
              <w:bottom w:type="dxa" w:w="60"/>
              <w:right w:type="dxa" w:w="160"/>
            </w:tcMar>
          </w:tcPr>
          <w:p>
            <w:r>
              <w:rPr>
                <w:color w:val="222222"/>
                <w:sz w:val="21"/>
                <w:szCs w:val="21"/>
              </w:rPr>
              <w:t xml:space="preserve">1) A contract-level risk score 0-10 with a 1-2 sentence rationale.</w:t>
            </w:r>
          </w:p>
        </w:tc>
      </w:tr>
      <w:tr>
        <w:tc>
          <w:tcPr>
            <w:tcW w:type="dxa" w:w="9360"/>
            <w:tcBorders>
              <w:top w:val="single" w:color="AACCEE" w:sz="1"/>
              <w:left w:val="single" w:color="AACCEE" w:sz="1"/>
              <w:bottom w:val="single" w:color="AACCEE" w:sz="1"/>
              <w:right w:val="single" w:color="AACCEE" w:sz="1"/>
            </w:tcBorders>
            <w:shd w:fill="EEF4FB" w:val="clear"/>
            <w:tcMar>
              <w:top w:type="dxa" w:w="60"/>
              <w:left w:type="dxa" w:w="160"/>
              <w:bottom w:type="dxa" w:w="60"/>
              <w:right w:type="dxa" w:w="160"/>
            </w:tcMar>
          </w:tcPr>
          <w:p>
            <w:r>
              <w:rPr>
                <w:color w:val="222222"/>
                <w:sz w:val="21"/>
                <w:szCs w:val="21"/>
              </w:rPr>
              <w:t xml:space="preserve">2) For each flagged clause: a plain-English explanation (1-3 sentences) and a one-sentence suggested edit.</w:t>
            </w:r>
          </w:p>
        </w:tc>
      </w:tr>
      <w:tr>
        <w:tc>
          <w:tcPr>
            <w:tcW w:type="dxa" w:w="9360"/>
            <w:tcBorders>
              <w:top w:val="single" w:color="AACCEE" w:sz="1"/>
              <w:left w:val="single" w:color="AACCEE" w:sz="1"/>
              <w:bottom w:val="single" w:color="AACCEE" w:sz="1"/>
              <w:right w:val="single" w:color="AACCEE" w:sz="1"/>
            </w:tcBorders>
            <w:shd w:fill="EEF4FB" w:val="clear"/>
            <w:tcMar>
              <w:top w:type="dxa" w:w="60"/>
              <w:left w:type="dxa" w:w="160"/>
              <w:bottom w:type="dxa" w:w="60"/>
              <w:right w:type="dxa" w:w="160"/>
            </w:tcMar>
          </w:tcPr>
          <w:p>
            <w:r>
              <w:rPr>
                <w:color w:val="222222"/>
                <w:sz w:val="21"/>
                <w:szCs w:val="21"/>
              </w:rPr>
              <w:t xml:space="preserve">3) Output in JSON only: {risk_score, issues:[{clause_id, tag, explanation, suggested_edit}], summary}.</w:t>
            </w:r>
          </w:p>
        </w:tc>
      </w:tr>
      <w:tr>
        <w:tc>
          <w:tcPr>
            <w:tcW w:type="dxa" w:w="9360"/>
            <w:tcBorders>
              <w:top w:val="single" w:color="AACCEE" w:sz="1"/>
              <w:left w:val="single" w:color="AACCEE" w:sz="1"/>
              <w:bottom w:val="single" w:color="AACCEE" w:sz="1"/>
              <w:right w:val="single" w:color="AACCEE" w:sz="1"/>
            </w:tcBorders>
            <w:shd w:fill="EEF4FB" w:val="clear"/>
            <w:tcMar>
              <w:top w:type="dxa" w:w="60"/>
              <w:left w:type="dxa" w:w="160"/>
              <w:bottom w:type="dxa" w:w="60"/>
              <w:right w:type="dxa" w:w="160"/>
            </w:tcMar>
          </w:tcPr>
          <w:p>
            <w:r>
              <w:rPr>
                <w:color w:val="222222"/>
                <w:sz w:val="21"/>
                <w:szCs w:val="21"/>
              </w:rPr>
              <w:t xml:space="preserve">Use conservative language. If uncertain, indicate low confidence. Do NOT provide legal advice — instruct user to consult counsel for final decisions.</w:t>
            </w:r>
          </w:p>
        </w:tc>
      </w:tr>
    </w:tbl>
    <w:p>
      <w:r>
        <w:rPr>
          <w:sz w:val="22"/>
          <w:szCs w:val="22"/>
        </w:rPr>
        <w:t xml:space="preserve"/>
      </w:r>
    </w:p>
    <w:p>
      <w:pPr>
        <w:pStyle w:val="Heading3"/>
        <w:spacing w:before="180" w:after="60"/>
      </w:pPr>
      <w:r>
        <w:rPr>
          <w:b/>
          <w:bCs/>
          <w:color w:val="333333"/>
          <w:sz w:val="24"/>
          <w:szCs w:val="24"/>
        </w:rPr>
        <w:t xml:space="preserve">Step 8 — Risk Score Computation</w:t>
      </w:r>
    </w:p>
    <w:p>
      <w:pPr>
        <w:spacing w:before="60" w:after="60"/>
      </w:pPr>
      <w:r>
        <w:rPr>
          <w:color w:val="222222"/>
          <w:sz w:val="22"/>
          <w:szCs w:val="22"/>
        </w:rPr>
        <w:t xml:space="preserve">Final risk score combines deterministic rules + LLM flags + classifier confidence:</w:t>
      </w:r>
    </w:p>
    <w:p>
      <w:pPr>
        <w:pStyle w:val="ListParagraph"/>
        <w:numPr>
          <w:ilvl w:val="0"/>
          <w:numId w:val="2"/>
        </w:numPr>
        <w:spacing w:before="40" w:after="40"/>
      </w:pPr>
      <w:r>
        <w:rPr>
          <w:color w:val="222222"/>
          <w:sz w:val="22"/>
          <w:szCs w:val="22"/>
        </w:rPr>
        <w:t xml:space="preserve">Base score: sum of rule-based flag points (max ~15 raw points, normalized to 0-10)</w:t>
      </w:r>
    </w:p>
    <w:p>
      <w:pPr>
        <w:pStyle w:val="ListParagraph"/>
        <w:numPr>
          <w:ilvl w:val="0"/>
          <w:numId w:val="2"/>
        </w:numPr>
        <w:spacing w:before="40" w:after="40"/>
      </w:pPr>
      <w:r>
        <w:rPr>
          <w:color w:val="222222"/>
          <w:sz w:val="22"/>
          <w:szCs w:val="22"/>
        </w:rPr>
        <w:t xml:space="preserve">LLM modifier: +0.5 to +1.0 for each high-confidence LLM-flagged issue not caught by rules</w:t>
      </w:r>
    </w:p>
    <w:p>
      <w:pPr>
        <w:pStyle w:val="ListParagraph"/>
        <w:numPr>
          <w:ilvl w:val="0"/>
          <w:numId w:val="2"/>
        </w:numPr>
        <w:spacing w:before="40" w:after="40"/>
      </w:pPr>
      <w:r>
        <w:rPr>
          <w:color w:val="222222"/>
          <w:sz w:val="22"/>
          <w:szCs w:val="22"/>
        </w:rPr>
        <w:t xml:space="preserve">Score clamped to 0-10 range</w:t>
      </w:r>
    </w:p>
    <w:p>
      <w:pPr>
        <w:pStyle w:val="ListParagraph"/>
        <w:numPr>
          <w:ilvl w:val="0"/>
          <w:numId w:val="2"/>
        </w:numPr>
        <w:spacing w:before="40" w:after="40"/>
      </w:pPr>
      <w:r>
        <w:rPr>
          <w:color w:val="222222"/>
          <w:sz w:val="22"/>
          <w:szCs w:val="22"/>
        </w:rPr>
        <w:t xml:space="preserve">Risk bands: 0-3 = Low, 4-6 = Medium, 7-10 = High</w:t>
      </w:r>
    </w:p>
    <w:p>
      <w:r>
        <w:rPr>
          <w:sz w:val="22"/>
          <w:szCs w:val="22"/>
        </w:rPr>
        <w:t xml:space="preserve"/>
      </w:r>
    </w:p>
    <w:p>
      <w:pPr>
        <w:pStyle w:val="Heading3"/>
        <w:spacing w:before="180" w:after="60"/>
      </w:pPr>
      <w:r>
        <w:rPr>
          <w:b/>
          <w:bCs/>
          <w:color w:val="333333"/>
          <w:sz w:val="24"/>
          <w:szCs w:val="24"/>
        </w:rPr>
        <w:t xml:space="preserve">Step 9 — Dashboard Rendering</w:t>
      </w:r>
    </w:p>
    <w:p>
      <w:pPr>
        <w:pStyle w:val="ListParagraph"/>
        <w:numPr>
          <w:ilvl w:val="0"/>
          <w:numId w:val="2"/>
        </w:numPr>
        <w:spacing w:before="40" w:after="40"/>
      </w:pPr>
      <w:r>
        <w:rPr>
          <w:color w:val="222222"/>
          <w:sz w:val="22"/>
          <w:szCs w:val="22"/>
        </w:rPr>
        <w:t xml:space="preserve">Frontend receives the structured JSON result and renders the dashboard.</w:t>
      </w:r>
    </w:p>
    <w:p>
      <w:pPr>
        <w:pStyle w:val="ListParagraph"/>
        <w:numPr>
          <w:ilvl w:val="0"/>
          <w:numId w:val="2"/>
        </w:numPr>
        <w:spacing w:before="40" w:after="40"/>
      </w:pPr>
      <w:r>
        <w:rPr>
          <w:color w:val="222222"/>
          <w:sz w:val="22"/>
          <w:szCs w:val="22"/>
        </w:rPr>
        <w:t xml:space="preserve">Top section: Risk Score (large, color-coded), top 3 issues, contract summary.</w:t>
      </w:r>
    </w:p>
    <w:p>
      <w:pPr>
        <w:pStyle w:val="ListParagraph"/>
        <w:numPr>
          <w:ilvl w:val="0"/>
          <w:numId w:val="2"/>
        </w:numPr>
        <w:spacing w:before="40" w:after="40"/>
      </w:pPr>
      <w:r>
        <w:rPr>
          <w:color w:val="222222"/>
          <w:sz w:val="22"/>
          <w:szCs w:val="22"/>
        </w:rPr>
        <w:t xml:space="preserve">Clause viewer: scrollable list; each clause shows inline highlight, explanation card, suggested edit, and 'Copy' button.</w:t>
      </w:r>
    </w:p>
    <w:p>
      <w:pPr>
        <w:pStyle w:val="ListParagraph"/>
        <w:numPr>
          <w:ilvl w:val="0"/>
          <w:numId w:val="2"/>
        </w:numPr>
        <w:spacing w:before="40" w:after="40"/>
      </w:pPr>
      <w:r>
        <w:rPr>
          <w:color w:val="222222"/>
          <w:sz w:val="22"/>
          <w:szCs w:val="22"/>
        </w:rPr>
        <w:t xml:space="preserve">Action bar: Download Report (PDF), Forward to Lawyer (email), Copy All Suggestions.</w:t>
      </w:r>
    </w:p>
    <w:p>
      <w:r>
        <w:rPr>
          <w:sz w:val="22"/>
          <w:szCs w:val="22"/>
        </w:rPr>
        <w:t xml:space="preserve"/>
      </w:r>
    </w:p>
    <w:p>
      <w:pPr>
        <w:pStyle w:val="Heading3"/>
        <w:spacing w:before="180" w:after="60"/>
      </w:pPr>
      <w:r>
        <w:rPr>
          <w:b/>
          <w:bCs/>
          <w:color w:val="333333"/>
          <w:sz w:val="24"/>
          <w:szCs w:val="24"/>
        </w:rPr>
        <w:t xml:space="preserve">Step 10 — Feedback Loop</w:t>
      </w:r>
    </w:p>
    <w:p>
      <w:pPr>
        <w:pStyle w:val="ListParagraph"/>
        <w:numPr>
          <w:ilvl w:val="0"/>
          <w:numId w:val="2"/>
        </w:numPr>
        <w:spacing w:before="40" w:after="40"/>
      </w:pPr>
      <w:r>
        <w:rPr>
          <w:color w:val="222222"/>
          <w:sz w:val="22"/>
          <w:szCs w:val="22"/>
        </w:rPr>
        <w:t xml:space="preserve">Each flagged clause has a 'This is incorrect' button.</w:t>
      </w:r>
    </w:p>
    <w:p>
      <w:pPr>
        <w:pStyle w:val="ListParagraph"/>
        <w:numPr>
          <w:ilvl w:val="0"/>
          <w:numId w:val="2"/>
        </w:numPr>
        <w:spacing w:before="40" w:after="40"/>
      </w:pPr>
      <w:r>
        <w:rPr>
          <w:color w:val="222222"/>
          <w:sz w:val="22"/>
          <w:szCs w:val="22"/>
        </w:rPr>
        <w:t xml:space="preserve">User feedback is stored as labeled examples and used to retrain classifiers.</w:t>
      </w:r>
    </w:p>
    <w:p>
      <w:pPr>
        <w:pStyle w:val="ListParagraph"/>
        <w:numPr>
          <w:ilvl w:val="0"/>
          <w:numId w:val="2"/>
        </w:numPr>
        <w:spacing w:before="40" w:after="40"/>
      </w:pPr>
      <w:r>
        <w:rPr>
          <w:color w:val="222222"/>
          <w:sz w:val="22"/>
          <w:szCs w:val="22"/>
        </w:rPr>
        <w:t xml:space="preserve">Weekly model review: measure false positive rate and adjust rule thresholds.</w:t>
      </w:r>
    </w:p>
    <w:p>
      <w:r>
        <w:rPr>
          <w:sz w:val="22"/>
          <w:szCs w:val="22"/>
        </w:rPr>
        <w:t xml:space="preserve"/>
      </w:r>
    </w:p>
    <w:p>
      <w:pPr>
        <w:pStyle w:val="Heading1"/>
        <w:spacing w:before="360" w:after="120"/>
      </w:pPr>
      <w:r>
        <w:rPr>
          <w:b/>
          <w:bCs/>
          <w:color w:val="1E3A5F"/>
          <w:sz w:val="36"/>
          <w:szCs w:val="36"/>
        </w:rPr>
        <w:t xml:space="preserve">SECTION 7 — DATA STRATEGY</w:t>
      </w:r>
    </w:p>
    <w:p>
      <w:pPr>
        <w:pBdr>
          <w:bottom w:val="single" w:color="AACCEE" w:sz="4" w:space="1"/>
        </w:pBdr>
        <w:spacing w:before="120" w:after="120"/>
      </w:pPr>
      <w:r>
        <w:t xml:space="preserve"/>
      </w:r>
    </w:p>
    <w:p>
      <w:pPr>
        <w:pStyle w:val="Heading2"/>
        <w:spacing w:before="240" w:after="80"/>
      </w:pPr>
      <w:r>
        <w:rPr>
          <w:b/>
          <w:bCs/>
          <w:color w:val="2E86AB"/>
          <w:sz w:val="28"/>
          <w:szCs w:val="28"/>
        </w:rPr>
        <w:t xml:space="preserve">7.1  Where to Get Training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60"/>
        <w:gridCol w:w="3200"/>
      </w:tblGrid>
      <w:tr>
        <w:tc>
          <w:tcPr>
            <w:tcW w:type="dxa" w:w="2800"/>
            <w:tcBorders>
              <w:top w:val="single" w:color="AACCEE" w:sz="1"/>
              <w:left w:val="single" w:color="AACCEE" w:sz="1"/>
              <w:bottom w:val="single" w:color="AACCEE" w:sz="1"/>
              <w:right w:val="single" w:color="AACCEE" w:sz="1"/>
            </w:tcBorders>
            <w:shd w:fill="1E3A5F" w:val="clear"/>
            <w:tcMar>
              <w:top w:type="dxa" w:w="80"/>
              <w:left w:type="dxa" w:w="120"/>
              <w:bottom w:type="dxa" w:w="80"/>
              <w:right w:type="dxa" w:w="120"/>
            </w:tcMar>
          </w:tcPr>
          <w:p>
            <w:r>
              <w:rPr>
                <w:b/>
                <w:bCs/>
                <w:color w:val="FFFFFF"/>
                <w:sz w:val="20"/>
                <w:szCs w:val="20"/>
              </w:rPr>
              <w:t xml:space="preserve">Source</w:t>
            </w:r>
          </w:p>
        </w:tc>
        <w:tc>
          <w:tcPr>
            <w:tcW w:type="dxa" w:w="3360"/>
            <w:tcBorders>
              <w:top w:val="single" w:color="AACCEE" w:sz="1"/>
              <w:left w:val="single" w:color="AACCEE" w:sz="1"/>
              <w:bottom w:val="single" w:color="AACCEE" w:sz="1"/>
              <w:right w:val="single" w:color="AACCEE" w:sz="1"/>
            </w:tcBorders>
            <w:shd w:fill="1E3A5F" w:val="clear"/>
            <w:tcMar>
              <w:top w:type="dxa" w:w="80"/>
              <w:left w:type="dxa" w:w="120"/>
              <w:bottom w:type="dxa" w:w="80"/>
              <w:right w:type="dxa" w:w="120"/>
            </w:tcMar>
          </w:tcPr>
          <w:p>
            <w:r>
              <w:rPr>
                <w:b/>
                <w:bCs/>
                <w:color w:val="FFFFFF"/>
                <w:sz w:val="20"/>
                <w:szCs w:val="20"/>
              </w:rPr>
              <w:t xml:space="preserve">Type</w:t>
            </w:r>
          </w:p>
        </w:tc>
        <w:tc>
          <w:tcPr>
            <w:tcW w:type="dxa" w:w="3200"/>
            <w:tcBorders>
              <w:top w:val="single" w:color="AACCEE" w:sz="1"/>
              <w:left w:val="single" w:color="AACCEE" w:sz="1"/>
              <w:bottom w:val="single" w:color="AACCEE" w:sz="1"/>
              <w:right w:val="single" w:color="AACCEE" w:sz="1"/>
            </w:tcBorders>
            <w:shd w:fill="1E3A5F" w:val="clear"/>
            <w:tcMar>
              <w:top w:type="dxa" w:w="80"/>
              <w:left w:type="dxa" w:w="120"/>
              <w:bottom w:type="dxa" w:w="80"/>
              <w:right w:type="dxa" w:w="120"/>
            </w:tcMar>
          </w:tcPr>
          <w:p>
            <w:r>
              <w:rPr>
                <w:b/>
                <w:bCs/>
                <w:color w:val="FFFFFF"/>
                <w:sz w:val="20"/>
                <w:szCs w:val="20"/>
              </w:rPr>
              <w:t xml:space="preserve">How to Use</w:t>
            </w:r>
          </w:p>
        </w:tc>
      </w:tr>
      <w:tr>
        <w:tc>
          <w:tcPr>
            <w:tcW w:type="dxa" w:w="280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SEC EDGAR filings</w:t>
            </w:r>
          </w:p>
        </w:tc>
        <w:tc>
          <w:tcPr>
            <w:tcW w:type="dxa" w:w="336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Real corporate contracts (publicly available)</w:t>
            </w:r>
          </w:p>
        </w:tc>
        <w:tc>
          <w:tcPr>
            <w:tcW w:type="dxa" w:w="320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Extract clause types and risk patterns</w:t>
            </w:r>
          </w:p>
        </w:tc>
      </w:tr>
      <w:tr>
        <w:tc>
          <w:tcPr>
            <w:tcW w:type="dxa" w:w="280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Open Source Initiative templates</w:t>
            </w:r>
          </w:p>
        </w:tc>
        <w:tc>
          <w:tcPr>
            <w:tcW w:type="dxa" w:w="336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Standard NDA/contract templates</w:t>
            </w:r>
          </w:p>
        </w:tc>
        <w:tc>
          <w:tcPr>
            <w:tcW w:type="dxa" w:w="320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Use as baseline standard clauses for comparison</w:t>
            </w:r>
          </w:p>
        </w:tc>
      </w:tr>
      <w:tr>
        <w:tc>
          <w:tcPr>
            <w:tcW w:type="dxa" w:w="280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GitHub public repos</w:t>
            </w:r>
          </w:p>
        </w:tc>
        <w:tc>
          <w:tcPr>
            <w:tcW w:type="dxa" w:w="336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Sample contract files in various formats</w:t>
            </w:r>
          </w:p>
        </w:tc>
        <w:tc>
          <w:tcPr>
            <w:tcW w:type="dxa" w:w="320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Extract and label clause boundaries</w:t>
            </w:r>
          </w:p>
        </w:tc>
      </w:tr>
      <w:tr>
        <w:tc>
          <w:tcPr>
            <w:tcW w:type="dxa" w:w="280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LegalBench / CUAD dataset</w:t>
            </w:r>
          </w:p>
        </w:tc>
        <w:tc>
          <w:tcPr>
            <w:tcW w:type="dxa" w:w="336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Pre-labeled contract analysis dataset</w:t>
            </w:r>
          </w:p>
        </w:tc>
        <w:tc>
          <w:tcPr>
            <w:tcW w:type="dxa" w:w="320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Train clause classifiers directly</w:t>
            </w:r>
          </w:p>
        </w:tc>
      </w:tr>
      <w:tr>
        <w:tc>
          <w:tcPr>
            <w:tcW w:type="dxa" w:w="280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Law school template libraries</w:t>
            </w:r>
          </w:p>
        </w:tc>
        <w:tc>
          <w:tcPr>
            <w:tcW w:type="dxa" w:w="336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Standard form contracts</w:t>
            </w:r>
          </w:p>
        </w:tc>
        <w:tc>
          <w:tcPr>
            <w:tcW w:type="dxa" w:w="320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Build clause library index</w:t>
            </w:r>
          </w:p>
        </w:tc>
      </w:tr>
      <w:tr>
        <w:tc>
          <w:tcPr>
            <w:tcW w:type="dxa" w:w="280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User-submitted contracts (anonymized)</w:t>
            </w:r>
          </w:p>
        </w:tc>
        <w:tc>
          <w:tcPr>
            <w:tcW w:type="dxa" w:w="336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Real-world clause diversity</w:t>
            </w:r>
          </w:p>
        </w:tc>
        <w:tc>
          <w:tcPr>
            <w:tcW w:type="dxa" w:w="320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Ongoing active learning with consent</w:t>
            </w:r>
          </w:p>
        </w:tc>
      </w:tr>
    </w:tbl>
    <w:p>
      <w:r>
        <w:rPr>
          <w:sz w:val="22"/>
          <w:szCs w:val="22"/>
        </w:rPr>
        <w:t xml:space="preserve"/>
      </w:r>
    </w:p>
    <w:p>
      <w:pPr>
        <w:pStyle w:val="Heading2"/>
        <w:spacing w:before="240" w:after="80"/>
      </w:pPr>
      <w:r>
        <w:rPr>
          <w:b/>
          <w:bCs/>
          <w:color w:val="2E86AB"/>
          <w:sz w:val="28"/>
          <w:szCs w:val="28"/>
        </w:rPr>
        <w:t xml:space="preserve">7.2  Labeling Process</w:t>
      </w:r>
    </w:p>
    <w:p>
      <w:pPr>
        <w:pStyle w:val="ListParagraph"/>
        <w:numPr>
          <w:ilvl w:val="0"/>
          <w:numId w:val="2"/>
        </w:numPr>
        <w:spacing w:before="40" w:after="40"/>
      </w:pPr>
      <w:r>
        <w:rPr>
          <w:color w:val="222222"/>
          <w:sz w:val="22"/>
          <w:szCs w:val="22"/>
        </w:rPr>
        <w:t xml:space="preserve">Step 1: Collect 500 public NDAs from SEC filings and open sources.</w:t>
      </w:r>
    </w:p>
    <w:p>
      <w:pPr>
        <w:pStyle w:val="ListParagraph"/>
        <w:numPr>
          <w:ilvl w:val="0"/>
          <w:numId w:val="2"/>
        </w:numPr>
        <w:spacing w:before="40" w:after="40"/>
      </w:pPr>
      <w:r>
        <w:rPr>
          <w:color w:val="222222"/>
          <w:sz w:val="22"/>
          <w:szCs w:val="22"/>
        </w:rPr>
        <w:t xml:space="preserve">Step 2: Auto-label with rules engine and basic classifier.</w:t>
      </w:r>
    </w:p>
    <w:p>
      <w:pPr>
        <w:pStyle w:val="ListParagraph"/>
        <w:numPr>
          <w:ilvl w:val="0"/>
          <w:numId w:val="2"/>
        </w:numPr>
        <w:spacing w:before="40" w:after="40"/>
      </w:pPr>
      <w:r>
        <w:rPr>
          <w:color w:val="222222"/>
          <w:sz w:val="22"/>
          <w:szCs w:val="22"/>
        </w:rPr>
        <w:t xml:space="preserve">Step 3: Hire 2-3 freelance contract lawyers to verify and correct labels (200-300 docs).</w:t>
      </w:r>
    </w:p>
    <w:p>
      <w:pPr>
        <w:pStyle w:val="ListParagraph"/>
        <w:numPr>
          <w:ilvl w:val="0"/>
          <w:numId w:val="2"/>
        </w:numPr>
        <w:spacing w:before="40" w:after="40"/>
      </w:pPr>
      <w:r>
        <w:rPr>
          <w:color w:val="222222"/>
          <w:sz w:val="22"/>
          <w:szCs w:val="22"/>
        </w:rPr>
        <w:t xml:space="preserve">Step 4: Use active learning — model suggests uncertain labels, human verifies.</w:t>
      </w:r>
    </w:p>
    <w:p>
      <w:pPr>
        <w:pStyle w:val="ListParagraph"/>
        <w:numPr>
          <w:ilvl w:val="0"/>
          <w:numId w:val="2"/>
        </w:numPr>
        <w:spacing w:before="40" w:after="40"/>
      </w:pPr>
      <w:r>
        <w:rPr>
          <w:color w:val="222222"/>
          <w:sz w:val="22"/>
          <w:szCs w:val="22"/>
        </w:rPr>
        <w:t xml:space="preserve">Step 5: Expand labeling to employment contracts, SaaS agreements after NDA quality is proven.</w:t>
      </w:r>
    </w:p>
    <w:p>
      <w:r>
        <w:rPr>
          <w:sz w:val="22"/>
          <w:szCs w:val="22"/>
        </w:rPr>
        <w:t xml:space="preserve"/>
      </w:r>
    </w:p>
    <w:p>
      <w:pPr>
        <w:pStyle w:val="Heading1"/>
        <w:spacing w:before="360" w:after="120"/>
      </w:pPr>
      <w:r>
        <w:rPr>
          <w:b/>
          <w:bCs/>
          <w:color w:val="1E3A5F"/>
          <w:sz w:val="36"/>
          <w:szCs w:val="36"/>
        </w:rPr>
        <w:t xml:space="preserve">SECTION 8 — EXAMPLE PRODUCT OUTPUT</w:t>
      </w:r>
    </w:p>
    <w:p>
      <w:pPr>
        <w:pBdr>
          <w:bottom w:val="single" w:color="AACCEE" w:sz="4" w:space="1"/>
        </w:pBdr>
        <w:spacing w:before="120" w:after="120"/>
      </w:pPr>
      <w:r>
        <w:t xml:space="preserve"/>
      </w:r>
    </w:p>
    <w:p>
      <w:pPr>
        <w:spacing w:before="60" w:after="60"/>
      </w:pPr>
      <w:r>
        <w:rPr>
          <w:color w:val="222222"/>
          <w:sz w:val="22"/>
          <w:szCs w:val="22"/>
        </w:rPr>
        <w:t xml:space="preserve">This is exactly what the user sees after uploading an NDA:</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CCEE" w:sz="1"/>
              <w:left w:val="single" w:color="AACCEE" w:sz="1"/>
              <w:bottom w:val="single" w:color="AACCEE" w:sz="1"/>
              <w:right w:val="single" w:color="AACCEE" w:sz="1"/>
            </w:tcBorders>
            <w:shd w:fill="1E3A5F" w:val="clear"/>
            <w:tcMar>
              <w:top w:type="dxa" w:w="80"/>
              <w:left w:type="dxa" w:w="160"/>
              <w:bottom w:type="dxa" w:w="80"/>
              <w:right w:type="dxa" w:w="160"/>
            </w:tcMar>
          </w:tcPr>
          <w:p>
            <w:r>
              <w:rPr>
                <w:b/>
                <w:bCs/>
                <w:color w:val="FFFFFF"/>
                <w:sz w:val="22"/>
                <w:szCs w:val="22"/>
              </w:rPr>
              <w:t xml:space="preserve">CONTRACT ANALYSIS RESULT — NDA with TechCorp Ltd.</w:t>
            </w:r>
          </w:p>
        </w:tc>
      </w:tr>
      <w:tr>
        <w:tc>
          <w:tcPr>
            <w:tcW w:type="dxa" w:w="9360"/>
            <w:tcBorders>
              <w:top w:val="single" w:color="AACCEE" w:sz="1"/>
              <w:left w:val="single" w:color="AACCEE" w:sz="1"/>
              <w:bottom w:val="single" w:color="AACCEE" w:sz="1"/>
              <w:right w:val="single" w:color="AACCEE" w:sz="1"/>
            </w:tcBorders>
            <w:shd w:fill="FFF0EE" w:val="clear"/>
            <w:tcMar>
              <w:top w:type="dxa" w:w="60"/>
              <w:left w:type="dxa" w:w="160"/>
              <w:bottom w:type="dxa" w:w="60"/>
              <w:right w:type="dxa" w:w="160"/>
            </w:tcMar>
          </w:tcPr>
          <w:p>
            <w:r>
              <w:rPr>
                <w:color w:val="222222"/>
                <w:sz w:val="21"/>
                <w:szCs w:val="21"/>
              </w:rPr>
              <w:t xml:space="preserve">Risk Score: 7 / 10 (HIGH RISK)</w:t>
            </w:r>
          </w:p>
        </w:tc>
      </w:tr>
      <w:tr>
        <w:tc>
          <w:tcPr>
            <w:tcW w:type="dxa" w:w="9360"/>
            <w:tcBorders>
              <w:top w:val="single" w:color="AACCEE" w:sz="1"/>
              <w:left w:val="single" w:color="AACCEE" w:sz="1"/>
              <w:bottom w:val="single" w:color="AACCEE" w:sz="1"/>
              <w:right w:val="single" w:color="AACCEE" w:sz="1"/>
            </w:tcBorders>
            <w:shd w:fill="FFF0EE" w:val="clear"/>
            <w:tcMar>
              <w:top w:type="dxa" w:w="60"/>
              <w:left w:type="dxa" w:w="160"/>
              <w:bottom w:type="dxa" w:w="60"/>
              <w:right w:type="dxa" w:w="160"/>
            </w:tcMar>
          </w:tcPr>
          <w:p>
            <w:r>
              <w:rPr>
                <w:color w:val="222222"/>
                <w:sz w:val="21"/>
                <w:szCs w:val="21"/>
              </w:rPr>
              <w:t xml:space="preserve">Confidence: 82%</w:t>
            </w:r>
          </w:p>
        </w:tc>
      </w:tr>
      <w:tr>
        <w:tc>
          <w:tcPr>
            <w:tcW w:type="dxa" w:w="9360"/>
            <w:tcBorders>
              <w:top w:val="single" w:color="AACCEE" w:sz="1"/>
              <w:left w:val="single" w:color="AACCEE" w:sz="1"/>
              <w:bottom w:val="single" w:color="AACCEE" w:sz="1"/>
              <w:right w:val="single" w:color="AACCEE" w:sz="1"/>
            </w:tcBorders>
            <w:shd w:fill="FFF0EE" w:val="clear"/>
            <w:tcMar>
              <w:top w:type="dxa" w:w="60"/>
              <w:left w:type="dxa" w:w="160"/>
              <w:bottom w:type="dxa" w:w="60"/>
              <w:right w:type="dxa" w:w="160"/>
            </w:tcMar>
          </w:tcPr>
          <w:p>
            <w:r>
              <w:rPr>
                <w:color w:val="222222"/>
                <w:sz w:val="21"/>
                <w:szCs w:val="21"/>
              </w:rPr>
              <w:t xml:space="preserve">Contract Type: Non-Disclosure Agreement</w:t>
            </w:r>
          </w:p>
        </w:tc>
      </w:tr>
      <w:tr>
        <w:tc>
          <w:tcPr>
            <w:tcW w:type="dxa" w:w="9360"/>
            <w:tcBorders>
              <w:top w:val="single" w:color="AACCEE" w:sz="1"/>
              <w:left w:val="single" w:color="AACCEE" w:sz="1"/>
              <w:bottom w:val="single" w:color="AACCEE" w:sz="1"/>
              <w:right w:val="single" w:color="AACCEE" w:sz="1"/>
            </w:tcBorders>
            <w:shd w:fill="FFF0EE" w:val="clear"/>
            <w:tcMar>
              <w:top w:type="dxa" w:w="60"/>
              <w:left w:type="dxa" w:w="160"/>
              <w:bottom w:type="dxa" w:w="60"/>
              <w:right w:type="dxa" w:w="160"/>
            </w:tcMar>
          </w:tcPr>
          <w:p>
            <w:r>
              <w:rPr>
                <w:color w:val="222222"/>
                <w:sz w:val="21"/>
                <w:szCs w:val="21"/>
              </w:rPr>
              <w:t xml:space="preserve">Parties: Acme Startup (Disclosing) / TechCorp Ltd. (Receiving)</w:t>
            </w:r>
          </w:p>
        </w:tc>
      </w:tr>
      <w:tr>
        <w:tc>
          <w:tcPr>
            <w:tcW w:type="dxa" w:w="9360"/>
            <w:tcBorders>
              <w:top w:val="single" w:color="AACCEE" w:sz="1"/>
              <w:left w:val="single" w:color="AACCEE" w:sz="1"/>
              <w:bottom w:val="single" w:color="AACCEE" w:sz="1"/>
              <w:right w:val="single" w:color="AACCEE" w:sz="1"/>
            </w:tcBorders>
            <w:shd w:fill="FFF0EE" w:val="clear"/>
            <w:tcMar>
              <w:top w:type="dxa" w:w="60"/>
              <w:left w:type="dxa" w:w="160"/>
              <w:bottom w:type="dxa" w:w="60"/>
              <w:right w:type="dxa" w:w="160"/>
            </w:tcMar>
          </w:tcPr>
          <w:p>
            <w:r>
              <w:rPr>
                <w:color w:val="222222"/>
                <w:sz w:val="21"/>
                <w:szCs w:val="21"/>
              </w:rPr>
              <w:t xml:space="preserve">Governing Law: Delaware, USA</w:t>
            </w:r>
          </w:p>
        </w:tc>
      </w:tr>
      <w:tr>
        <w:tc>
          <w:tcPr>
            <w:tcW w:type="dxa" w:w="9360"/>
            <w:tcBorders>
              <w:top w:val="single" w:color="AACCEE" w:sz="1"/>
              <w:left w:val="single" w:color="AACCEE" w:sz="1"/>
              <w:bottom w:val="single" w:color="AACCEE" w:sz="1"/>
              <w:right w:val="single" w:color="AACCEE" w:sz="1"/>
            </w:tcBorders>
            <w:shd w:fill="FFF0EE" w:val="clear"/>
            <w:tcMar>
              <w:top w:type="dxa" w:w="60"/>
              <w:left w:type="dxa" w:w="160"/>
              <w:bottom w:type="dxa" w:w="60"/>
              <w:right w:type="dxa" w:w="160"/>
            </w:tcMar>
          </w:tcPr>
          <w:p>
            <w:r>
              <w:rPr>
                <w:color w:val="222222"/>
                <w:sz w:val="21"/>
                <w:szCs w:val="21"/>
              </w:rPr>
              <w:t xml:space="preserve">Identified Issues: 3 high-risk, 1 medium-risk clause</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CCEE" w:sz="1"/>
              <w:left w:val="single" w:color="AACCEE" w:sz="1"/>
              <w:bottom w:val="single" w:color="AACCEE" w:sz="1"/>
              <w:right w:val="single" w:color="AACCEE" w:sz="1"/>
            </w:tcBorders>
            <w:shd w:fill="1E3A5F" w:val="clear"/>
            <w:tcMar>
              <w:top w:type="dxa" w:w="80"/>
              <w:left w:type="dxa" w:w="160"/>
              <w:bottom w:type="dxa" w:w="80"/>
              <w:right w:type="dxa" w:w="160"/>
            </w:tcMar>
          </w:tcPr>
          <w:p>
            <w:r>
              <w:rPr>
                <w:b/>
                <w:bCs/>
                <w:color w:val="FFFFFF"/>
                <w:sz w:val="22"/>
                <w:szCs w:val="22"/>
              </w:rPr>
              <w:t xml:space="preserve">Issue 1 — Liability (Clause 7) — HIGH RISK</w:t>
            </w:r>
          </w:p>
        </w:tc>
      </w:tr>
      <w:tr>
        <w:tc>
          <w:tcPr>
            <w:tcW w:type="dxa" w:w="9360"/>
            <w:tcBorders>
              <w:top w:val="single" w:color="AACCEE" w:sz="1"/>
              <w:left w:val="single" w:color="AACCEE" w:sz="1"/>
              <w:bottom w:val="single" w:color="AACCEE" w:sz="1"/>
              <w:right w:val="single" w:color="AACCEE" w:sz="1"/>
            </w:tcBorders>
            <w:shd w:fill="FFF0EE" w:val="clear"/>
            <w:tcMar>
              <w:top w:type="dxa" w:w="60"/>
              <w:left w:type="dxa" w:w="160"/>
              <w:bottom w:type="dxa" w:w="60"/>
              <w:right w:type="dxa" w:w="160"/>
            </w:tcMar>
          </w:tcPr>
          <w:p>
            <w:r>
              <w:rPr>
                <w:color w:val="222222"/>
                <w:sz w:val="21"/>
                <w:szCs w:val="21"/>
              </w:rPr>
              <w:t xml:space="preserve">Original Text: 'Supplier's liability shall be unlimited in all circumstances.'</w:t>
            </w:r>
          </w:p>
        </w:tc>
      </w:tr>
      <w:tr>
        <w:tc>
          <w:tcPr>
            <w:tcW w:type="dxa" w:w="9360"/>
            <w:tcBorders>
              <w:top w:val="single" w:color="AACCEE" w:sz="1"/>
              <w:left w:val="single" w:color="AACCEE" w:sz="1"/>
              <w:bottom w:val="single" w:color="AACCEE" w:sz="1"/>
              <w:right w:val="single" w:color="AACCEE" w:sz="1"/>
            </w:tcBorders>
            <w:shd w:fill="FFF0EE" w:val="clear"/>
            <w:tcMar>
              <w:top w:type="dxa" w:w="60"/>
              <w:left w:type="dxa" w:w="160"/>
              <w:bottom w:type="dxa" w:w="60"/>
              <w:right w:type="dxa" w:w="160"/>
            </w:tcMar>
          </w:tcPr>
          <w:p>
            <w:r>
              <w:rPr>
                <w:color w:val="222222"/>
                <w:sz w:val="21"/>
                <w:szCs w:val="21"/>
              </w:rPr>
              <w:t xml:space="preserve">Plain English: This clause means if TechCorp causes any damage, they face no cap on what you can sue them for — but also NO CAP on what they can sue you for. This is dangerous.</w:t>
            </w:r>
          </w:p>
        </w:tc>
      </w:tr>
      <w:tr>
        <w:tc>
          <w:tcPr>
            <w:tcW w:type="dxa" w:w="9360"/>
            <w:tcBorders>
              <w:top w:val="single" w:color="AACCEE" w:sz="1"/>
              <w:left w:val="single" w:color="AACCEE" w:sz="1"/>
              <w:bottom w:val="single" w:color="AACCEE" w:sz="1"/>
              <w:right w:val="single" w:color="AACCEE" w:sz="1"/>
            </w:tcBorders>
            <w:shd w:fill="FFF0EE" w:val="clear"/>
            <w:tcMar>
              <w:top w:type="dxa" w:w="60"/>
              <w:left w:type="dxa" w:w="160"/>
              <w:bottom w:type="dxa" w:w="60"/>
              <w:right w:type="dxa" w:w="160"/>
            </w:tcMar>
          </w:tcPr>
          <w:p>
            <w:r>
              <w:rPr>
                <w:color w:val="222222"/>
                <w:sz w:val="21"/>
                <w:szCs w:val="21"/>
              </w:rPr>
              <w:t xml:space="preserve">Suggested Edit: 'Each party's aggregate liability shall be limited to the total fees paid in the twelve (12) months preceding the claim.'</w:t>
            </w:r>
          </w:p>
        </w:tc>
      </w:tr>
      <w:tr>
        <w:tc>
          <w:tcPr>
            <w:tcW w:type="dxa" w:w="9360"/>
            <w:tcBorders>
              <w:top w:val="single" w:color="AACCEE" w:sz="1"/>
              <w:left w:val="single" w:color="AACCEE" w:sz="1"/>
              <w:bottom w:val="single" w:color="AACCEE" w:sz="1"/>
              <w:right w:val="single" w:color="AACCEE" w:sz="1"/>
            </w:tcBorders>
            <w:shd w:fill="FFF0EE" w:val="clear"/>
            <w:tcMar>
              <w:top w:type="dxa" w:w="60"/>
              <w:left w:type="dxa" w:w="160"/>
              <w:bottom w:type="dxa" w:w="60"/>
              <w:right w:type="dxa" w:w="160"/>
            </w:tcMar>
          </w:tcPr>
          <w:p>
            <w:r>
              <w:rPr>
                <w:color w:val="222222"/>
                <w:sz w:val="21"/>
                <w:szCs w:val="21"/>
              </w:rPr>
              <w:t xml:space="preserve">Confidence: 91% (Rule-based flag + LLM match)</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CCEE" w:sz="1"/>
              <w:left w:val="single" w:color="AACCEE" w:sz="1"/>
              <w:bottom w:val="single" w:color="AACCEE" w:sz="1"/>
              <w:right w:val="single" w:color="AACCEE" w:sz="1"/>
            </w:tcBorders>
            <w:shd w:fill="1E3A5F" w:val="clear"/>
            <w:tcMar>
              <w:top w:type="dxa" w:w="80"/>
              <w:left w:type="dxa" w:w="160"/>
              <w:bottom w:type="dxa" w:w="80"/>
              <w:right w:type="dxa" w:w="160"/>
            </w:tcMar>
          </w:tcPr>
          <w:p>
            <w:r>
              <w:rPr>
                <w:b/>
                <w:bCs/>
                <w:color w:val="FFFFFF"/>
                <w:sz w:val="22"/>
                <w:szCs w:val="22"/>
              </w:rPr>
              <w:t xml:space="preserve">Issue 2 — Confidentiality Duration (Clause 2) — HIGH RISK</w:t>
            </w:r>
          </w:p>
        </w:tc>
      </w:tr>
      <w:tr>
        <w:tc>
          <w:tcPr>
            <w:tcW w:type="dxa" w:w="9360"/>
            <w:tcBorders>
              <w:top w:val="single" w:color="AACCEE" w:sz="1"/>
              <w:left w:val="single" w:color="AACCEE" w:sz="1"/>
              <w:bottom w:val="single" w:color="AACCEE" w:sz="1"/>
              <w:right w:val="single" w:color="AACCEE" w:sz="1"/>
            </w:tcBorders>
            <w:shd w:fill="FFF0EE" w:val="clear"/>
            <w:tcMar>
              <w:top w:type="dxa" w:w="60"/>
              <w:left w:type="dxa" w:w="160"/>
              <w:bottom w:type="dxa" w:w="60"/>
              <w:right w:type="dxa" w:w="160"/>
            </w:tcMar>
          </w:tcPr>
          <w:p>
            <w:r>
              <w:rPr>
                <w:color w:val="222222"/>
                <w:sz w:val="21"/>
                <w:szCs w:val="21"/>
              </w:rPr>
              <w:t xml:space="preserve">Original Text: 'Confidential information shall remain protected in perpetuity.'</w:t>
            </w:r>
          </w:p>
        </w:tc>
      </w:tr>
      <w:tr>
        <w:tc>
          <w:tcPr>
            <w:tcW w:type="dxa" w:w="9360"/>
            <w:tcBorders>
              <w:top w:val="single" w:color="AACCEE" w:sz="1"/>
              <w:left w:val="single" w:color="AACCEE" w:sz="1"/>
              <w:bottom w:val="single" w:color="AACCEE" w:sz="1"/>
              <w:right w:val="single" w:color="AACCEE" w:sz="1"/>
            </w:tcBorders>
            <w:shd w:fill="FFF0EE" w:val="clear"/>
            <w:tcMar>
              <w:top w:type="dxa" w:w="60"/>
              <w:left w:type="dxa" w:w="160"/>
              <w:bottom w:type="dxa" w:w="60"/>
              <w:right w:type="dxa" w:w="160"/>
            </w:tcMar>
          </w:tcPr>
          <w:p>
            <w:r>
              <w:rPr>
                <w:color w:val="222222"/>
                <w:sz w:val="21"/>
                <w:szCs w:val="21"/>
              </w:rPr>
              <w:t xml:space="preserve">Plain English: You must keep this information secret FOREVER, with no end date. This is extremely unusual and difficult to comply with operationally.</w:t>
            </w:r>
          </w:p>
        </w:tc>
      </w:tr>
      <w:tr>
        <w:tc>
          <w:tcPr>
            <w:tcW w:type="dxa" w:w="9360"/>
            <w:tcBorders>
              <w:top w:val="single" w:color="AACCEE" w:sz="1"/>
              <w:left w:val="single" w:color="AACCEE" w:sz="1"/>
              <w:bottom w:val="single" w:color="AACCEE" w:sz="1"/>
              <w:right w:val="single" w:color="AACCEE" w:sz="1"/>
            </w:tcBorders>
            <w:shd w:fill="FFF0EE" w:val="clear"/>
            <w:tcMar>
              <w:top w:type="dxa" w:w="60"/>
              <w:left w:type="dxa" w:w="160"/>
              <w:bottom w:type="dxa" w:w="60"/>
              <w:right w:type="dxa" w:w="160"/>
            </w:tcMar>
          </w:tcPr>
          <w:p>
            <w:r>
              <w:rPr>
                <w:color w:val="222222"/>
                <w:sz w:val="21"/>
                <w:szCs w:val="21"/>
              </w:rPr>
              <w:t xml:space="preserve">Suggested Edit: 'Confidentiality obligations shall survive for a period of three (3) years from the date of disclosure.'</w:t>
            </w:r>
          </w:p>
        </w:tc>
      </w:tr>
      <w:tr>
        <w:tc>
          <w:tcPr>
            <w:tcW w:type="dxa" w:w="9360"/>
            <w:tcBorders>
              <w:top w:val="single" w:color="AACCEE" w:sz="1"/>
              <w:left w:val="single" w:color="AACCEE" w:sz="1"/>
              <w:bottom w:val="single" w:color="AACCEE" w:sz="1"/>
              <w:right w:val="single" w:color="AACCEE" w:sz="1"/>
            </w:tcBorders>
            <w:shd w:fill="FFF0EE" w:val="clear"/>
            <w:tcMar>
              <w:top w:type="dxa" w:w="60"/>
              <w:left w:type="dxa" w:w="160"/>
              <w:bottom w:type="dxa" w:w="60"/>
              <w:right w:type="dxa" w:w="160"/>
            </w:tcMar>
          </w:tcPr>
          <w:p>
            <w:r>
              <w:rPr>
                <w:color w:val="222222"/>
                <w:sz w:val="21"/>
                <w:szCs w:val="21"/>
              </w:rPr>
              <w:t xml:space="preserve">Confidence: 88%</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CCEE" w:sz="1"/>
              <w:left w:val="single" w:color="AACCEE" w:sz="1"/>
              <w:bottom w:val="single" w:color="AACCEE" w:sz="1"/>
              <w:right w:val="single" w:color="AACCEE" w:sz="1"/>
            </w:tcBorders>
            <w:shd w:fill="1E3A5F" w:val="clear"/>
            <w:tcMar>
              <w:top w:type="dxa" w:w="80"/>
              <w:left w:type="dxa" w:w="160"/>
              <w:bottom w:type="dxa" w:w="80"/>
              <w:right w:type="dxa" w:w="160"/>
            </w:tcMar>
          </w:tcPr>
          <w:p>
            <w:r>
              <w:rPr>
                <w:b/>
                <w:bCs/>
                <w:color w:val="FFFFFF"/>
                <w:sz w:val="22"/>
                <w:szCs w:val="22"/>
              </w:rPr>
              <w:t xml:space="preserve">Issue 3 — Auto-Renewal (Clause 10) — MEDIUM RISK</w:t>
            </w:r>
          </w:p>
        </w:tc>
      </w:tr>
      <w:tr>
        <w:tc>
          <w:tcPr>
            <w:tcW w:type="dxa" w:w="9360"/>
            <w:tcBorders>
              <w:top w:val="single" w:color="AACCEE" w:sz="1"/>
              <w:left w:val="single" w:color="AACCEE" w:sz="1"/>
              <w:bottom w:val="single" w:color="AACCEE" w:sz="1"/>
              <w:right w:val="single" w:color="AACCEE" w:sz="1"/>
            </w:tcBorders>
            <w:shd w:fill="FFF8EE" w:val="clear"/>
            <w:tcMar>
              <w:top w:type="dxa" w:w="60"/>
              <w:left w:type="dxa" w:w="160"/>
              <w:bottom w:type="dxa" w:w="60"/>
              <w:right w:type="dxa" w:w="160"/>
            </w:tcMar>
          </w:tcPr>
          <w:p>
            <w:r>
              <w:rPr>
                <w:color w:val="222222"/>
                <w:sz w:val="21"/>
                <w:szCs w:val="21"/>
              </w:rPr>
              <w:t xml:space="preserve">Original Text: 'This Agreement shall automatically renew annually unless otherwise notified.'</w:t>
            </w:r>
          </w:p>
        </w:tc>
      </w:tr>
      <w:tr>
        <w:tc>
          <w:tcPr>
            <w:tcW w:type="dxa" w:w="9360"/>
            <w:tcBorders>
              <w:top w:val="single" w:color="AACCEE" w:sz="1"/>
              <w:left w:val="single" w:color="AACCEE" w:sz="1"/>
              <w:bottom w:val="single" w:color="AACCEE" w:sz="1"/>
              <w:right w:val="single" w:color="AACCEE" w:sz="1"/>
            </w:tcBorders>
            <w:shd w:fill="FFF8EE" w:val="clear"/>
            <w:tcMar>
              <w:top w:type="dxa" w:w="60"/>
              <w:left w:type="dxa" w:w="160"/>
              <w:bottom w:type="dxa" w:w="60"/>
              <w:right w:type="dxa" w:w="160"/>
            </w:tcMar>
          </w:tcPr>
          <w:p>
            <w:r>
              <w:rPr>
                <w:color w:val="222222"/>
                <w:sz w:val="21"/>
                <w:szCs w:val="21"/>
              </w:rPr>
              <w:t xml:space="preserve">Plain English: This agreement will renew every year automatically. If you forget to cancel, you are locked in for another year.</w:t>
            </w:r>
          </w:p>
        </w:tc>
      </w:tr>
      <w:tr>
        <w:tc>
          <w:tcPr>
            <w:tcW w:type="dxa" w:w="9360"/>
            <w:tcBorders>
              <w:top w:val="single" w:color="AACCEE" w:sz="1"/>
              <w:left w:val="single" w:color="AACCEE" w:sz="1"/>
              <w:bottom w:val="single" w:color="AACCEE" w:sz="1"/>
              <w:right w:val="single" w:color="AACCEE" w:sz="1"/>
            </w:tcBorders>
            <w:shd w:fill="FFF8EE" w:val="clear"/>
            <w:tcMar>
              <w:top w:type="dxa" w:w="60"/>
              <w:left w:type="dxa" w:w="160"/>
              <w:bottom w:type="dxa" w:w="60"/>
              <w:right w:type="dxa" w:w="160"/>
            </w:tcMar>
          </w:tcPr>
          <w:p>
            <w:r>
              <w:rPr>
                <w:color w:val="222222"/>
                <w:sz w:val="21"/>
                <w:szCs w:val="21"/>
              </w:rPr>
              <w:t xml:space="preserve">Suggested Edit: 'This Agreement shall renew annually unless either party provides written notice of termination at least 30 days prior to the renewal date.'</w:t>
            </w:r>
          </w:p>
        </w:tc>
      </w:tr>
      <w:tr>
        <w:tc>
          <w:tcPr>
            <w:tcW w:type="dxa" w:w="9360"/>
            <w:tcBorders>
              <w:top w:val="single" w:color="AACCEE" w:sz="1"/>
              <w:left w:val="single" w:color="AACCEE" w:sz="1"/>
              <w:bottom w:val="single" w:color="AACCEE" w:sz="1"/>
              <w:right w:val="single" w:color="AACCEE" w:sz="1"/>
            </w:tcBorders>
            <w:shd w:fill="FFF8EE" w:val="clear"/>
            <w:tcMar>
              <w:top w:type="dxa" w:w="60"/>
              <w:left w:type="dxa" w:w="160"/>
              <w:bottom w:type="dxa" w:w="60"/>
              <w:right w:type="dxa" w:w="160"/>
            </w:tcMar>
          </w:tcPr>
          <w:p>
            <w:r>
              <w:rPr>
                <w:color w:val="222222"/>
                <w:sz w:val="21"/>
                <w:szCs w:val="21"/>
              </w:rPr>
              <w:t xml:space="preserve">Confidence: 84%</w:t>
            </w:r>
          </w:p>
        </w:tc>
      </w:tr>
    </w:tbl>
    <w:p>
      <w:r>
        <w:rPr>
          <w:sz w:val="22"/>
          <w:szCs w:val="22"/>
        </w:rPr>
        <w:t xml:space="preserve"/>
      </w:r>
    </w:p>
    <w:p>
      <w:pPr>
        <w:pStyle w:val="Heading1"/>
        <w:spacing w:before="360" w:after="120"/>
      </w:pPr>
      <w:r>
        <w:rPr>
          <w:b/>
          <w:bCs/>
          <w:color w:val="1E3A5F"/>
          <w:sz w:val="36"/>
          <w:szCs w:val="36"/>
        </w:rPr>
        <w:t xml:space="preserve">SECTION 9 — RISK SCORING RUBRIC</w:t>
      </w:r>
    </w:p>
    <w:p>
      <w:pPr>
        <w:pBdr>
          <w:bottom w:val="single" w:color="AACCEE" w:sz="4" w:space="1"/>
        </w:pBd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c>
          <w:tcPr>
            <w:tcW w:type="dxa" w:w="1800"/>
            <w:tcBorders>
              <w:top w:val="single" w:color="AACCEE" w:sz="1"/>
              <w:left w:val="single" w:color="AACCEE" w:sz="1"/>
              <w:bottom w:val="single" w:color="AACCEE" w:sz="1"/>
              <w:right w:val="single" w:color="AACCEE" w:sz="1"/>
            </w:tcBorders>
            <w:shd w:fill="1E3A5F" w:val="clear"/>
            <w:tcMar>
              <w:top w:type="dxa" w:w="80"/>
              <w:left w:type="dxa" w:w="120"/>
              <w:bottom w:type="dxa" w:w="80"/>
              <w:right w:type="dxa" w:w="120"/>
            </w:tcMar>
          </w:tcPr>
          <w:p>
            <w:r>
              <w:rPr>
                <w:b/>
                <w:bCs/>
                <w:color w:val="FFFFFF"/>
                <w:sz w:val="20"/>
                <w:szCs w:val="20"/>
              </w:rPr>
              <w:t xml:space="preserve">Score Range</w:t>
            </w:r>
          </w:p>
        </w:tc>
        <w:tc>
          <w:tcPr>
            <w:tcW w:type="dxa" w:w="2200"/>
            <w:tcBorders>
              <w:top w:val="single" w:color="AACCEE" w:sz="1"/>
              <w:left w:val="single" w:color="AACCEE" w:sz="1"/>
              <w:bottom w:val="single" w:color="AACCEE" w:sz="1"/>
              <w:right w:val="single" w:color="AACCEE" w:sz="1"/>
            </w:tcBorders>
            <w:shd w:fill="1E3A5F" w:val="clear"/>
            <w:tcMar>
              <w:top w:type="dxa" w:w="80"/>
              <w:left w:type="dxa" w:w="120"/>
              <w:bottom w:type="dxa" w:w="80"/>
              <w:right w:type="dxa" w:w="120"/>
            </w:tcMar>
          </w:tcPr>
          <w:p>
            <w:r>
              <w:rPr>
                <w:b/>
                <w:bCs/>
                <w:color w:val="FFFFFF"/>
                <w:sz w:val="20"/>
                <w:szCs w:val="20"/>
              </w:rPr>
              <w:t xml:space="preserve">Risk Level</w:t>
            </w:r>
          </w:p>
        </w:tc>
        <w:tc>
          <w:tcPr>
            <w:tcW w:type="dxa" w:w="5360"/>
            <w:tcBorders>
              <w:top w:val="single" w:color="AACCEE" w:sz="1"/>
              <w:left w:val="single" w:color="AACCEE" w:sz="1"/>
              <w:bottom w:val="single" w:color="AACCEE" w:sz="1"/>
              <w:right w:val="single" w:color="AACCEE" w:sz="1"/>
            </w:tcBorders>
            <w:shd w:fill="1E3A5F" w:val="clear"/>
            <w:tcMar>
              <w:top w:type="dxa" w:w="80"/>
              <w:left w:type="dxa" w:w="120"/>
              <w:bottom w:type="dxa" w:w="80"/>
              <w:right w:type="dxa" w:w="120"/>
            </w:tcMar>
          </w:tcPr>
          <w:p>
            <w:r>
              <w:rPr>
                <w:b/>
                <w:bCs/>
                <w:color w:val="FFFFFF"/>
                <w:sz w:val="20"/>
                <w:szCs w:val="20"/>
              </w:rPr>
              <w:t xml:space="preserve">Meaning / Recommended Action</w:t>
            </w:r>
          </w:p>
        </w:tc>
      </w:tr>
      <w:tr>
        <w:tc>
          <w:tcPr>
            <w:tcW w:type="dxa" w:w="180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0 – 3</w:t>
            </w:r>
          </w:p>
        </w:tc>
        <w:tc>
          <w:tcPr>
            <w:tcW w:type="dxa" w:w="220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LOW RISK</w:t>
            </w:r>
          </w:p>
        </w:tc>
        <w:tc>
          <w:tcPr>
            <w:tcW w:type="dxa" w:w="536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Contract appears standard. Review manually and proceed with caution.</w:t>
            </w:r>
          </w:p>
        </w:tc>
      </w:tr>
      <w:tr>
        <w:tc>
          <w:tcPr>
            <w:tcW w:type="dxa" w:w="180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4 – 6</w:t>
            </w:r>
          </w:p>
        </w:tc>
        <w:tc>
          <w:tcPr>
            <w:tcW w:type="dxa" w:w="220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MEDIUM RISK</w:t>
            </w:r>
          </w:p>
        </w:tc>
        <w:tc>
          <w:tcPr>
            <w:tcW w:type="dxa" w:w="536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Several issues detected. Negotiate flagged clauses before signing.</w:t>
            </w:r>
          </w:p>
        </w:tc>
      </w:tr>
      <w:tr>
        <w:tc>
          <w:tcPr>
            <w:tcW w:type="dxa" w:w="180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7 – 8</w:t>
            </w:r>
          </w:p>
        </w:tc>
        <w:tc>
          <w:tcPr>
            <w:tcW w:type="dxa" w:w="220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HIGH RISK</w:t>
            </w:r>
          </w:p>
        </w:tc>
        <w:tc>
          <w:tcPr>
            <w:tcW w:type="dxa" w:w="536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Significant issues. Do not sign without legal review and clause changes.</w:t>
            </w:r>
          </w:p>
        </w:tc>
      </w:tr>
      <w:tr>
        <w:tc>
          <w:tcPr>
            <w:tcW w:type="dxa" w:w="180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9 – 10</w:t>
            </w:r>
          </w:p>
        </w:tc>
        <w:tc>
          <w:tcPr>
            <w:tcW w:type="dxa" w:w="220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CRITICAL RISK</w:t>
            </w:r>
          </w:p>
        </w:tc>
        <w:tc>
          <w:tcPr>
            <w:tcW w:type="dxa" w:w="536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Major red flags. Strongly recommend consulting a lawyer immediately.</w:t>
            </w:r>
          </w:p>
        </w:tc>
      </w:tr>
    </w:tbl>
    <w:p>
      <w:r>
        <w:rPr>
          <w:sz w:val="22"/>
          <w:szCs w:val="22"/>
        </w:rPr>
        <w:t xml:space="preserve"/>
      </w:r>
    </w:p>
    <w:p>
      <w:pPr>
        <w:pStyle w:val="Heading1"/>
        <w:spacing w:before="360" w:after="120"/>
      </w:pPr>
      <w:r>
        <w:rPr>
          <w:b/>
          <w:bCs/>
          <w:color w:val="1E3A5F"/>
          <w:sz w:val="36"/>
          <w:szCs w:val="36"/>
        </w:rPr>
        <w:t xml:space="preserve">SECTION 10 — UX / PRODUCT FLOW (Screen by Screen)</w:t>
      </w:r>
    </w:p>
    <w:p>
      <w:pPr>
        <w:pBdr>
          <w:bottom w:val="single" w:color="AACCEE" w:sz="4" w:space="1"/>
        </w:pBdr>
        <w:spacing w:before="120" w:after="120"/>
      </w:pPr>
      <w:r>
        <w:t xml:space="preserve"/>
      </w:r>
    </w:p>
    <w:p>
      <w:pPr>
        <w:pStyle w:val="Heading2"/>
        <w:spacing w:before="240" w:after="80"/>
      </w:pPr>
      <w:r>
        <w:rPr>
          <w:b/>
          <w:bCs/>
          <w:color w:val="2E86AB"/>
          <w:sz w:val="28"/>
          <w:szCs w:val="28"/>
        </w:rPr>
        <w:t xml:space="preserve">Screen 1 — Landing Page</w:t>
      </w:r>
    </w:p>
    <w:p>
      <w:pPr>
        <w:pStyle w:val="ListParagraph"/>
        <w:numPr>
          <w:ilvl w:val="0"/>
          <w:numId w:val="2"/>
        </w:numPr>
        <w:spacing w:before="40" w:after="40"/>
      </w:pPr>
      <w:r>
        <w:rPr>
          <w:color w:val="222222"/>
          <w:sz w:val="22"/>
          <w:szCs w:val="22"/>
        </w:rPr>
        <w:t xml:space="preserve">Headline: 'Upload any NDA. Get a risk report in 60 seconds.'</w:t>
      </w:r>
    </w:p>
    <w:p>
      <w:pPr>
        <w:pStyle w:val="ListParagraph"/>
        <w:numPr>
          <w:ilvl w:val="0"/>
          <w:numId w:val="2"/>
        </w:numPr>
        <w:spacing w:before="40" w:after="40"/>
      </w:pPr>
      <w:r>
        <w:rPr>
          <w:color w:val="222222"/>
          <w:sz w:val="22"/>
          <w:szCs w:val="22"/>
        </w:rPr>
        <w:t xml:space="preserve">Sub-headline: 'Used by 10,000 startups and small firms.'</w:t>
      </w:r>
    </w:p>
    <w:p>
      <w:pPr>
        <w:pStyle w:val="ListParagraph"/>
        <w:numPr>
          <w:ilvl w:val="0"/>
          <w:numId w:val="2"/>
        </w:numPr>
        <w:spacing w:before="40" w:after="40"/>
      </w:pPr>
      <w:r>
        <w:rPr>
          <w:color w:val="222222"/>
          <w:sz w:val="22"/>
          <w:szCs w:val="22"/>
        </w:rPr>
        <w:t xml:space="preserve">CTA button: 'Try free — analyze your first NDA'</w:t>
      </w:r>
    </w:p>
    <w:p>
      <w:pPr>
        <w:pStyle w:val="ListParagraph"/>
        <w:numPr>
          <w:ilvl w:val="0"/>
          <w:numId w:val="2"/>
        </w:numPr>
        <w:spacing w:before="40" w:after="40"/>
      </w:pPr>
      <w:r>
        <w:rPr>
          <w:color w:val="222222"/>
          <w:sz w:val="22"/>
          <w:szCs w:val="22"/>
        </w:rPr>
        <w:t xml:space="preserve">Trust elements: sample risk report, anonymized case studies, privacy badge</w:t>
      </w:r>
    </w:p>
    <w:p>
      <w:r>
        <w:rPr>
          <w:sz w:val="22"/>
          <w:szCs w:val="22"/>
        </w:rPr>
        <w:t xml:space="preserve"/>
      </w:r>
    </w:p>
    <w:p>
      <w:pPr>
        <w:pStyle w:val="Heading2"/>
        <w:spacing w:before="240" w:after="80"/>
      </w:pPr>
      <w:r>
        <w:rPr>
          <w:b/>
          <w:bCs/>
          <w:color w:val="2E86AB"/>
          <w:sz w:val="28"/>
          <w:szCs w:val="28"/>
        </w:rPr>
        <w:t xml:space="preserve">Screen 2 — Upload</w:t>
      </w:r>
    </w:p>
    <w:p>
      <w:pPr>
        <w:pStyle w:val="ListParagraph"/>
        <w:numPr>
          <w:ilvl w:val="0"/>
          <w:numId w:val="2"/>
        </w:numPr>
        <w:spacing w:before="40" w:after="40"/>
      </w:pPr>
      <w:r>
        <w:rPr>
          <w:color w:val="222222"/>
          <w:sz w:val="22"/>
          <w:szCs w:val="22"/>
        </w:rPr>
        <w:t xml:space="preserve">Large drag-and-drop zone for PDF or DOCX</w:t>
      </w:r>
    </w:p>
    <w:p>
      <w:pPr>
        <w:pStyle w:val="ListParagraph"/>
        <w:numPr>
          <w:ilvl w:val="0"/>
          <w:numId w:val="2"/>
        </w:numPr>
        <w:spacing w:before="40" w:after="40"/>
      </w:pPr>
      <w:r>
        <w:rPr>
          <w:color w:val="222222"/>
          <w:sz w:val="22"/>
          <w:szCs w:val="22"/>
        </w:rPr>
        <w:t xml:space="preserve">Progress bar: 'Uploading... Extracting... Analyzing... Done'</w:t>
      </w:r>
    </w:p>
    <w:p>
      <w:pPr>
        <w:pStyle w:val="ListParagraph"/>
        <w:numPr>
          <w:ilvl w:val="0"/>
          <w:numId w:val="2"/>
        </w:numPr>
        <w:spacing w:before="40" w:after="40"/>
      </w:pPr>
      <w:r>
        <w:rPr>
          <w:color w:val="222222"/>
          <w:sz w:val="22"/>
          <w:szCs w:val="22"/>
        </w:rPr>
        <w:t xml:space="preserve">Average processing time shown: 'Typical: 30-60 seconds'</w:t>
      </w:r>
    </w:p>
    <w:p>
      <w:r>
        <w:rPr>
          <w:sz w:val="22"/>
          <w:szCs w:val="22"/>
        </w:rPr>
        <w:t xml:space="preserve"/>
      </w:r>
    </w:p>
    <w:p>
      <w:pPr>
        <w:pStyle w:val="Heading2"/>
        <w:spacing w:before="240" w:after="80"/>
      </w:pPr>
      <w:r>
        <w:rPr>
          <w:b/>
          <w:bCs/>
          <w:color w:val="2E86AB"/>
          <w:sz w:val="28"/>
          <w:szCs w:val="28"/>
        </w:rPr>
        <w:t xml:space="preserve">Screen 3 — Results Dashboard</w:t>
      </w:r>
    </w:p>
    <w:p>
      <w:pPr>
        <w:pStyle w:val="ListParagraph"/>
        <w:numPr>
          <w:ilvl w:val="0"/>
          <w:numId w:val="2"/>
        </w:numPr>
        <w:spacing w:before="40" w:after="40"/>
      </w:pPr>
      <w:r>
        <w:rPr>
          <w:color w:val="222222"/>
          <w:sz w:val="22"/>
          <w:szCs w:val="22"/>
        </w:rPr>
        <w:t xml:space="preserve">Top bar: Risk Score (large, color-coded), contract type, parties, governing law</w:t>
      </w:r>
    </w:p>
    <w:p>
      <w:pPr>
        <w:pStyle w:val="ListParagraph"/>
        <w:numPr>
          <w:ilvl w:val="0"/>
          <w:numId w:val="2"/>
        </w:numPr>
        <w:spacing w:before="40" w:after="40"/>
      </w:pPr>
      <w:r>
        <w:rPr>
          <w:color w:val="222222"/>
          <w:sz w:val="22"/>
          <w:szCs w:val="22"/>
        </w:rPr>
        <w:t xml:space="preserve">Issue cards: ranked by severity, each with original text, plain-English explanation, suggested edit, and Copy button</w:t>
      </w:r>
    </w:p>
    <w:p>
      <w:pPr>
        <w:pStyle w:val="ListParagraph"/>
        <w:numPr>
          <w:ilvl w:val="0"/>
          <w:numId w:val="2"/>
        </w:numPr>
        <w:spacing w:before="40" w:after="40"/>
      </w:pPr>
      <w:r>
        <w:rPr>
          <w:color w:val="222222"/>
          <w:sz w:val="22"/>
          <w:szCs w:val="22"/>
        </w:rPr>
        <w:t xml:space="preserve">Clause viewer: scroll through all clauses with highlights</w:t>
      </w:r>
    </w:p>
    <w:p>
      <w:pPr>
        <w:pStyle w:val="ListParagraph"/>
        <w:numPr>
          <w:ilvl w:val="0"/>
          <w:numId w:val="2"/>
        </w:numPr>
        <w:spacing w:before="40" w:after="40"/>
      </w:pPr>
      <w:r>
        <w:rPr>
          <w:color w:val="222222"/>
          <w:sz w:val="22"/>
          <w:szCs w:val="22"/>
        </w:rPr>
        <w:t xml:space="preserve">Action bar: Download Report PDF, Forward to Lawyer, Bookmark</w:t>
      </w:r>
    </w:p>
    <w:p>
      <w:r>
        <w:rPr>
          <w:sz w:val="22"/>
          <w:szCs w:val="22"/>
        </w:rPr>
        <w:t xml:space="preserve"/>
      </w:r>
    </w:p>
    <w:p>
      <w:pPr>
        <w:pStyle w:val="Heading2"/>
        <w:spacing w:before="240" w:after="80"/>
      </w:pPr>
      <w:r>
        <w:rPr>
          <w:b/>
          <w:bCs/>
          <w:color w:val="2E86AB"/>
          <w:sz w:val="28"/>
          <w:szCs w:val="28"/>
        </w:rPr>
        <w:t xml:space="preserve">Screen 4 — Settings / Account</w:t>
      </w:r>
    </w:p>
    <w:p>
      <w:pPr>
        <w:pStyle w:val="ListParagraph"/>
        <w:numPr>
          <w:ilvl w:val="0"/>
          <w:numId w:val="2"/>
        </w:numPr>
        <w:spacing w:before="40" w:after="40"/>
      </w:pPr>
      <w:r>
        <w:rPr>
          <w:color w:val="222222"/>
          <w:sz w:val="22"/>
          <w:szCs w:val="22"/>
        </w:rPr>
        <w:t xml:space="preserve">Manage subscription, check usage, delete data</w:t>
      </w:r>
    </w:p>
    <w:p>
      <w:pPr>
        <w:pStyle w:val="ListParagraph"/>
        <w:numPr>
          <w:ilvl w:val="0"/>
          <w:numId w:val="2"/>
        </w:numPr>
        <w:spacing w:before="40" w:after="40"/>
      </w:pPr>
      <w:r>
        <w:rPr>
          <w:color w:val="222222"/>
          <w:sz w:val="22"/>
          <w:szCs w:val="22"/>
        </w:rPr>
        <w:t xml:space="preserve">Toggle: Auto-delete contracts after 7 days</w:t>
      </w:r>
    </w:p>
    <w:p>
      <w:pPr>
        <w:pStyle w:val="ListParagraph"/>
        <w:numPr>
          <w:ilvl w:val="0"/>
          <w:numId w:val="2"/>
        </w:numPr>
        <w:spacing w:before="40" w:after="40"/>
      </w:pPr>
      <w:r>
        <w:rPr>
          <w:color w:val="222222"/>
          <w:sz w:val="22"/>
          <w:szCs w:val="22"/>
        </w:rPr>
        <w:t xml:space="preserve">API key management for Team/Enterprise plans</w:t>
      </w:r>
    </w:p>
    <w:p>
      <w:r>
        <w:rPr>
          <w:sz w:val="22"/>
          <w:szCs w:val="22"/>
        </w:rPr>
        <w:t xml:space="preserve"/>
      </w:r>
    </w:p>
    <w:p>
      <w:pPr>
        <w:pStyle w:val="Heading1"/>
        <w:spacing w:before="360" w:after="120"/>
      </w:pPr>
      <w:r>
        <w:rPr>
          <w:b/>
          <w:bCs/>
          <w:color w:val="1E3A5F"/>
          <w:sz w:val="36"/>
          <w:szCs w:val="36"/>
        </w:rPr>
        <w:t xml:space="preserve">SECTION 11 — PRICING MODEL</w:t>
      </w:r>
    </w:p>
    <w:p>
      <w:pPr>
        <w:pBdr>
          <w:bottom w:val="single" w:color="AACCEE" w:sz="4" w:space="1"/>
        </w:pBd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c>
          <w:tcPr>
            <w:tcW w:type="dxa" w:w="1800"/>
            <w:tcBorders>
              <w:top w:val="single" w:color="AACCEE" w:sz="1"/>
              <w:left w:val="single" w:color="AACCEE" w:sz="1"/>
              <w:bottom w:val="single" w:color="AACCEE" w:sz="1"/>
              <w:right w:val="single" w:color="AACCEE" w:sz="1"/>
            </w:tcBorders>
            <w:shd w:fill="1E3A5F" w:val="clear"/>
            <w:tcMar>
              <w:top w:type="dxa" w:w="80"/>
              <w:left w:type="dxa" w:w="120"/>
              <w:bottom w:type="dxa" w:w="80"/>
              <w:right w:type="dxa" w:w="120"/>
            </w:tcMar>
          </w:tcPr>
          <w:p>
            <w:r>
              <w:rPr>
                <w:b/>
                <w:bCs/>
                <w:color w:val="FFFFFF"/>
                <w:sz w:val="20"/>
                <w:szCs w:val="20"/>
              </w:rPr>
              <w:t xml:space="preserve">Plan</w:t>
            </w:r>
          </w:p>
        </w:tc>
        <w:tc>
          <w:tcPr>
            <w:tcW w:type="dxa" w:w="2000"/>
            <w:tcBorders>
              <w:top w:val="single" w:color="AACCEE" w:sz="1"/>
              <w:left w:val="single" w:color="AACCEE" w:sz="1"/>
              <w:bottom w:val="single" w:color="AACCEE" w:sz="1"/>
              <w:right w:val="single" w:color="AACCEE" w:sz="1"/>
            </w:tcBorders>
            <w:shd w:fill="1E3A5F" w:val="clear"/>
            <w:tcMar>
              <w:top w:type="dxa" w:w="80"/>
              <w:left w:type="dxa" w:w="120"/>
              <w:bottom w:type="dxa" w:w="80"/>
              <w:right w:type="dxa" w:w="120"/>
            </w:tcMar>
          </w:tcPr>
          <w:p>
            <w:r>
              <w:rPr>
                <w:b/>
                <w:bCs/>
                <w:color w:val="FFFFFF"/>
                <w:sz w:val="20"/>
                <w:szCs w:val="20"/>
              </w:rPr>
              <w:t xml:space="preserve">Price</w:t>
            </w:r>
          </w:p>
        </w:tc>
        <w:tc>
          <w:tcPr>
            <w:tcW w:type="dxa" w:w="5560"/>
            <w:tcBorders>
              <w:top w:val="single" w:color="AACCEE" w:sz="1"/>
              <w:left w:val="single" w:color="AACCEE" w:sz="1"/>
              <w:bottom w:val="single" w:color="AACCEE" w:sz="1"/>
              <w:right w:val="single" w:color="AACCEE" w:sz="1"/>
            </w:tcBorders>
            <w:shd w:fill="1E3A5F" w:val="clear"/>
            <w:tcMar>
              <w:top w:type="dxa" w:w="80"/>
              <w:left w:type="dxa" w:w="120"/>
              <w:bottom w:type="dxa" w:w="80"/>
              <w:right w:type="dxa" w:w="120"/>
            </w:tcMar>
          </w:tcPr>
          <w:p>
            <w:r>
              <w:rPr>
                <w:b/>
                <w:bCs/>
                <w:color w:val="FFFFFF"/>
                <w:sz w:val="20"/>
                <w:szCs w:val="20"/>
              </w:rPr>
              <w:t xml:space="preserve">Features</w:t>
            </w:r>
          </w:p>
        </w:tc>
      </w:tr>
      <w:tr>
        <w:tc>
          <w:tcPr>
            <w:tcW w:type="dxa" w:w="180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Free</w:t>
            </w:r>
          </w:p>
        </w:tc>
        <w:tc>
          <w:tcPr>
            <w:tcW w:type="dxa" w:w="200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$0 / month</w:t>
            </w:r>
          </w:p>
        </w:tc>
        <w:tc>
          <w:tcPr>
            <w:tcW w:type="dxa" w:w="556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3 contract analyses per month. PDF export limited. NDA only.</w:t>
            </w:r>
          </w:p>
        </w:tc>
      </w:tr>
      <w:tr>
        <w:tc>
          <w:tcPr>
            <w:tcW w:type="dxa" w:w="180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Starter</w:t>
            </w:r>
          </w:p>
        </w:tc>
        <w:tc>
          <w:tcPr>
            <w:tcW w:type="dxa" w:w="200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$19 / month</w:t>
            </w:r>
          </w:p>
        </w:tc>
        <w:tc>
          <w:tcPr>
            <w:tcW w:type="dxa" w:w="556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20 analyses/month. All contract types. PDF export. Email support.</w:t>
            </w:r>
          </w:p>
        </w:tc>
      </w:tr>
      <w:tr>
        <w:tc>
          <w:tcPr>
            <w:tcW w:type="dxa" w:w="180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Professional</w:t>
            </w:r>
          </w:p>
        </w:tc>
        <w:tc>
          <w:tcPr>
            <w:tcW w:type="dxa" w:w="200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$59 / month</w:t>
            </w:r>
          </w:p>
        </w:tc>
        <w:tc>
          <w:tcPr>
            <w:tcW w:type="dxa" w:w="556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100 analyses/month. Negotiation suggestions. Clause library. Priority support.</w:t>
            </w:r>
          </w:p>
        </w:tc>
      </w:tr>
      <w:tr>
        <w:tc>
          <w:tcPr>
            <w:tcW w:type="dxa" w:w="180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Team</w:t>
            </w:r>
          </w:p>
        </w:tc>
        <w:tc>
          <w:tcPr>
            <w:tcW w:type="dxa" w:w="200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$199 / month</w:t>
            </w:r>
          </w:p>
        </w:tc>
        <w:tc>
          <w:tcPr>
            <w:tcW w:type="dxa" w:w="556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500 analyses/month. Team seats (5 users). API access. Admin dashboard.</w:t>
            </w:r>
          </w:p>
        </w:tc>
      </w:tr>
      <w:tr>
        <w:tc>
          <w:tcPr>
            <w:tcW w:type="dxa" w:w="180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Enterprise</w:t>
            </w:r>
          </w:p>
        </w:tc>
        <w:tc>
          <w:tcPr>
            <w:tcW w:type="dxa" w:w="200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Custom</w:t>
            </w:r>
          </w:p>
        </w:tc>
        <w:tc>
          <w:tcPr>
            <w:tcW w:type="dxa" w:w="556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Unlimited. SAML SSO. On-prem option. DPA. Dedicated CSM.</w:t>
            </w:r>
          </w:p>
        </w:tc>
      </w:tr>
    </w:tbl>
    <w:p>
      <w:r>
        <w:rPr>
          <w:sz w:val="22"/>
          <w:szCs w:val="22"/>
        </w:rPr>
        <w:t xml:space="preserve"/>
      </w:r>
    </w:p>
    <w:p>
      <w:pPr>
        <w:spacing w:before="60" w:after="60"/>
      </w:pPr>
      <w:r>
        <w:rPr>
          <w:color w:val="222222"/>
          <w:sz w:val="22"/>
          <w:szCs w:val="22"/>
        </w:rPr>
        <w:t xml:space="preserve">Unit economics example: 1,000 Professional users x $59/month = $59,000 MRR = $708,000 ARR. At 5,000 users: $3.5M ARR. This is achievable within 18-24 months with focused GTM.</w:t>
      </w:r>
    </w:p>
    <w:p>
      <w:r>
        <w:rPr>
          <w:sz w:val="22"/>
          <w:szCs w:val="22"/>
        </w:rPr>
        <w:t xml:space="preserve"/>
      </w:r>
    </w:p>
    <w:p>
      <w:pPr>
        <w:pStyle w:val="Heading1"/>
        <w:spacing w:before="360" w:after="120"/>
      </w:pPr>
      <w:r>
        <w:rPr>
          <w:b/>
          <w:bCs/>
          <w:color w:val="1E3A5F"/>
          <w:sz w:val="36"/>
          <w:szCs w:val="36"/>
        </w:rPr>
        <w:t xml:space="preserve">SECTION 12 — 30-DAY MVP BUILD PLAN</w:t>
      </w:r>
    </w:p>
    <w:p>
      <w:pPr>
        <w:pBdr>
          <w:bottom w:val="single" w:color="AACCEE" w:sz="4" w:space="1"/>
        </w:pBdr>
        <w:spacing w:before="120" w:after="120"/>
      </w:pPr>
      <w:r>
        <w:t xml:space="preserve"/>
      </w:r>
    </w:p>
    <w:p>
      <w:pPr>
        <w:pStyle w:val="Heading2"/>
        <w:spacing w:before="240" w:after="80"/>
      </w:pPr>
      <w:r>
        <w:rPr>
          <w:b/>
          <w:bCs/>
          <w:color w:val="2E86AB"/>
          <w:sz w:val="28"/>
          <w:szCs w:val="28"/>
        </w:rPr>
        <w:t xml:space="preserve">Week 1 — Foundation</w:t>
      </w:r>
    </w:p>
    <w:p>
      <w:pPr>
        <w:pStyle w:val="ListParagraph"/>
        <w:numPr>
          <w:ilvl w:val="0"/>
          <w:numId w:val="3"/>
        </w:numPr>
        <w:spacing w:before="40" w:after="40"/>
      </w:pPr>
      <w:r>
        <w:rPr>
          <w:color w:val="222222"/>
          <w:sz w:val="22"/>
          <w:szCs w:val="22"/>
        </w:rPr>
        <w:t xml:space="preserve">Set up GitHub repo, CI/CD (GitHub Actions), environments (dev/staging/prod).</w:t>
      </w:r>
    </w:p>
    <w:p>
      <w:pPr>
        <w:pStyle w:val="ListParagraph"/>
        <w:numPr>
          <w:ilvl w:val="0"/>
          <w:numId w:val="3"/>
        </w:numPr>
        <w:spacing w:before="40" w:after="40"/>
      </w:pPr>
      <w:r>
        <w:rPr>
          <w:color w:val="222222"/>
          <w:sz w:val="22"/>
          <w:szCs w:val="22"/>
        </w:rPr>
        <w:t xml:space="preserve">Initialize FastAPI backend skeleton with health check endpoint.</w:t>
      </w:r>
    </w:p>
    <w:p>
      <w:pPr>
        <w:pStyle w:val="ListParagraph"/>
        <w:numPr>
          <w:ilvl w:val="0"/>
          <w:numId w:val="3"/>
        </w:numPr>
        <w:spacing w:before="40" w:after="40"/>
      </w:pPr>
      <w:r>
        <w:rPr>
          <w:color w:val="222222"/>
          <w:sz w:val="22"/>
          <w:szCs w:val="22"/>
        </w:rPr>
        <w:t xml:space="preserve">Initialize Next.js frontend with Tailwind and basic routing.</w:t>
      </w:r>
    </w:p>
    <w:p>
      <w:pPr>
        <w:pStyle w:val="ListParagraph"/>
        <w:numPr>
          <w:ilvl w:val="0"/>
          <w:numId w:val="3"/>
        </w:numPr>
        <w:spacing w:before="40" w:after="40"/>
      </w:pPr>
      <w:r>
        <w:rPr>
          <w:color w:val="222222"/>
          <w:sz w:val="22"/>
          <w:szCs w:val="22"/>
        </w:rPr>
        <w:t xml:space="preserve">Set up PostgreSQL database schema: users, contracts, analyses, issues tables.</w:t>
      </w:r>
    </w:p>
    <w:p>
      <w:pPr>
        <w:pStyle w:val="ListParagraph"/>
        <w:numPr>
          <w:ilvl w:val="0"/>
          <w:numId w:val="3"/>
        </w:numPr>
        <w:spacing w:before="40" w:after="40"/>
      </w:pPr>
      <w:r>
        <w:rPr>
          <w:color w:val="222222"/>
          <w:sz w:val="22"/>
          <w:szCs w:val="22"/>
        </w:rPr>
        <w:t xml:space="preserve">Configure AWS S3 bucket with server-side encryption and signed URL uploads.</w:t>
      </w:r>
    </w:p>
    <w:p>
      <w:pPr>
        <w:pStyle w:val="ListParagraph"/>
        <w:numPr>
          <w:ilvl w:val="0"/>
          <w:numId w:val="3"/>
        </w:numPr>
        <w:spacing w:before="40" w:after="40"/>
      </w:pPr>
      <w:r>
        <w:rPr>
          <w:color w:val="222222"/>
          <w:sz w:val="22"/>
          <w:szCs w:val="22"/>
        </w:rPr>
        <w:t xml:space="preserve">Research 50 public NDAs (SEC EDGAR). Create 20 labeled examples for testing.</w:t>
      </w:r>
    </w:p>
    <w:p>
      <w:r>
        <w:rPr>
          <w:sz w:val="22"/>
          <w:szCs w:val="22"/>
        </w:rPr>
        <w:t xml:space="preserve"/>
      </w:r>
    </w:p>
    <w:p>
      <w:pPr>
        <w:pStyle w:val="Heading2"/>
        <w:spacing w:before="240" w:after="80"/>
      </w:pPr>
      <w:r>
        <w:rPr>
          <w:b/>
          <w:bCs/>
          <w:color w:val="2E86AB"/>
          <w:sz w:val="28"/>
          <w:szCs w:val="28"/>
        </w:rPr>
        <w:t xml:space="preserve">Week 2 — Core Pipeline</w:t>
      </w:r>
    </w:p>
    <w:p>
      <w:pPr>
        <w:pStyle w:val="ListParagraph"/>
        <w:numPr>
          <w:ilvl w:val="0"/>
          <w:numId w:val="3"/>
        </w:numPr>
        <w:spacing w:before="40" w:after="40"/>
      </w:pPr>
      <w:r>
        <w:rPr>
          <w:color w:val="222222"/>
          <w:sz w:val="22"/>
          <w:szCs w:val="22"/>
        </w:rPr>
        <w:t xml:space="preserve">Build file upload endpoint (PDF/DOCX validation, S3 storage).</w:t>
      </w:r>
    </w:p>
    <w:p>
      <w:pPr>
        <w:pStyle w:val="ListParagraph"/>
        <w:numPr>
          <w:ilvl w:val="0"/>
          <w:numId w:val="3"/>
        </w:numPr>
        <w:spacing w:before="40" w:after="40"/>
      </w:pPr>
      <w:r>
        <w:rPr>
          <w:color w:val="222222"/>
          <w:sz w:val="22"/>
          <w:szCs w:val="22"/>
        </w:rPr>
        <w:t xml:space="preserve">Implement text extraction: python-docx for DOCX, PyMuPDF for PDF, Tesseract OCR fallback.</w:t>
      </w:r>
    </w:p>
    <w:p>
      <w:pPr>
        <w:pStyle w:val="ListParagraph"/>
        <w:numPr>
          <w:ilvl w:val="0"/>
          <w:numId w:val="3"/>
        </w:numPr>
        <w:spacing w:before="40" w:after="40"/>
      </w:pPr>
      <w:r>
        <w:rPr>
          <w:color w:val="222222"/>
          <w:sz w:val="22"/>
          <w:szCs w:val="22"/>
        </w:rPr>
        <w:t xml:space="preserve">Build clause segmentation: regex-based rule engine detecting numbered sections and headings.</w:t>
      </w:r>
    </w:p>
    <w:p>
      <w:pPr>
        <w:pStyle w:val="ListParagraph"/>
        <w:numPr>
          <w:ilvl w:val="0"/>
          <w:numId w:val="3"/>
        </w:numPr>
        <w:spacing w:before="40" w:after="40"/>
      </w:pPr>
      <w:r>
        <w:rPr>
          <w:color w:val="222222"/>
          <w:sz w:val="22"/>
          <w:szCs w:val="22"/>
        </w:rPr>
        <w:t xml:space="preserve">Implement clause classifier: keyword-based matching for 8 NDA clause types.</w:t>
      </w:r>
    </w:p>
    <w:p>
      <w:pPr>
        <w:pStyle w:val="ListParagraph"/>
        <w:numPr>
          <w:ilvl w:val="0"/>
          <w:numId w:val="3"/>
        </w:numPr>
        <w:spacing w:before="40" w:after="40"/>
      </w:pPr>
      <w:r>
        <w:rPr>
          <w:color w:val="222222"/>
          <w:sz w:val="22"/>
          <w:szCs w:val="22"/>
        </w:rPr>
        <w:t xml:space="preserve">Build entity extraction: regex for dates, amounts, duration; simple patterns for party names.</w:t>
      </w:r>
    </w:p>
    <w:p>
      <w:r>
        <w:rPr>
          <w:sz w:val="22"/>
          <w:szCs w:val="22"/>
        </w:rPr>
        <w:t xml:space="preserve"/>
      </w:r>
    </w:p>
    <w:p>
      <w:pPr>
        <w:pStyle w:val="Heading2"/>
        <w:spacing w:before="240" w:after="80"/>
      </w:pPr>
      <w:r>
        <w:rPr>
          <w:b/>
          <w:bCs/>
          <w:color w:val="2E86AB"/>
          <w:sz w:val="28"/>
          <w:szCs w:val="28"/>
        </w:rPr>
        <w:t xml:space="preserve">Week 3 — AI Analysis</w:t>
      </w:r>
    </w:p>
    <w:p>
      <w:pPr>
        <w:pStyle w:val="ListParagraph"/>
        <w:numPr>
          <w:ilvl w:val="0"/>
          <w:numId w:val="3"/>
        </w:numPr>
        <w:spacing w:before="40" w:after="40"/>
      </w:pPr>
      <w:r>
        <w:rPr>
          <w:color w:val="222222"/>
          <w:sz w:val="22"/>
          <w:szCs w:val="22"/>
        </w:rPr>
        <w:t xml:space="preserve">Implement rules engine: code the 8 deterministic risk checks with flag weights.</w:t>
      </w:r>
    </w:p>
    <w:p>
      <w:pPr>
        <w:pStyle w:val="ListParagraph"/>
        <w:numPr>
          <w:ilvl w:val="0"/>
          <w:numId w:val="3"/>
        </w:numPr>
        <w:spacing w:before="40" w:after="40"/>
      </w:pPr>
      <w:r>
        <w:rPr>
          <w:color w:val="222222"/>
          <w:sz w:val="22"/>
          <w:szCs w:val="22"/>
        </w:rPr>
        <w:t xml:space="preserve">Integrate LLM API (Claude/OpenAI): write system prompt, user prompt template, JSON output parsing.</w:t>
      </w:r>
    </w:p>
    <w:p>
      <w:pPr>
        <w:pStyle w:val="ListParagraph"/>
        <w:numPr>
          <w:ilvl w:val="0"/>
          <w:numId w:val="3"/>
        </w:numPr>
        <w:spacing w:before="40" w:after="40"/>
      </w:pPr>
      <w:r>
        <w:rPr>
          <w:color w:val="222222"/>
          <w:sz w:val="22"/>
          <w:szCs w:val="22"/>
        </w:rPr>
        <w:t xml:space="preserve">Build RAG: create vector index from NDA template clauses using sentence-transformers, retrieve on query.</w:t>
      </w:r>
    </w:p>
    <w:p>
      <w:pPr>
        <w:pStyle w:val="ListParagraph"/>
        <w:numPr>
          <w:ilvl w:val="0"/>
          <w:numId w:val="3"/>
        </w:numPr>
        <w:spacing w:before="40" w:after="40"/>
      </w:pPr>
      <w:r>
        <w:rPr>
          <w:color w:val="222222"/>
          <w:sz w:val="22"/>
          <w:szCs w:val="22"/>
        </w:rPr>
        <w:t xml:space="preserve">Implement risk score computation: combine rule points + LLM flags into 0-10 score.</w:t>
      </w:r>
    </w:p>
    <w:p>
      <w:pPr>
        <w:pStyle w:val="ListParagraph"/>
        <w:numPr>
          <w:ilvl w:val="0"/>
          <w:numId w:val="3"/>
        </w:numPr>
        <w:spacing w:before="40" w:after="40"/>
      </w:pPr>
      <w:r>
        <w:rPr>
          <w:color w:val="222222"/>
          <w:sz w:val="22"/>
          <w:szCs w:val="22"/>
        </w:rPr>
        <w:t xml:space="preserve">Build report generation: structured JSON result assembled and cached in DB.</w:t>
      </w:r>
    </w:p>
    <w:p>
      <w:r>
        <w:rPr>
          <w:sz w:val="22"/>
          <w:szCs w:val="22"/>
        </w:rPr>
        <w:t xml:space="preserve"/>
      </w:r>
    </w:p>
    <w:p>
      <w:pPr>
        <w:pStyle w:val="Heading2"/>
        <w:spacing w:before="240" w:after="80"/>
      </w:pPr>
      <w:r>
        <w:rPr>
          <w:b/>
          <w:bCs/>
          <w:color w:val="2E86AB"/>
          <w:sz w:val="28"/>
          <w:szCs w:val="28"/>
        </w:rPr>
        <w:t xml:space="preserve">Week 4 — UI, Auth, Billing, Launch</w:t>
      </w:r>
    </w:p>
    <w:p>
      <w:pPr>
        <w:pStyle w:val="ListParagraph"/>
        <w:numPr>
          <w:ilvl w:val="0"/>
          <w:numId w:val="3"/>
        </w:numPr>
        <w:spacing w:before="40" w:after="40"/>
      </w:pPr>
      <w:r>
        <w:rPr>
          <w:color w:val="222222"/>
          <w:sz w:val="22"/>
          <w:szCs w:val="22"/>
        </w:rPr>
        <w:t xml:space="preserve">Build results dashboard: risk score card, issue cards with copy buttons, clause viewer.</w:t>
      </w:r>
    </w:p>
    <w:p>
      <w:pPr>
        <w:pStyle w:val="ListParagraph"/>
        <w:numPr>
          <w:ilvl w:val="0"/>
          <w:numId w:val="3"/>
        </w:numPr>
        <w:spacing w:before="40" w:after="40"/>
      </w:pPr>
      <w:r>
        <w:rPr>
          <w:color w:val="222222"/>
          <w:sz w:val="22"/>
          <w:szCs w:val="22"/>
        </w:rPr>
        <w:t xml:space="preserve">Implement PDF export: generate downloadable analysis report.</w:t>
      </w:r>
    </w:p>
    <w:p>
      <w:pPr>
        <w:pStyle w:val="ListParagraph"/>
        <w:numPr>
          <w:ilvl w:val="0"/>
          <w:numId w:val="3"/>
        </w:numPr>
        <w:spacing w:before="40" w:after="40"/>
      </w:pPr>
      <w:r>
        <w:rPr>
          <w:color w:val="222222"/>
          <w:sz w:val="22"/>
          <w:szCs w:val="22"/>
        </w:rPr>
        <w:t xml:space="preserve">Integrate Stripe: free/starter/professional plans with usage limits.</w:t>
      </w:r>
    </w:p>
    <w:p>
      <w:pPr>
        <w:pStyle w:val="ListParagraph"/>
        <w:numPr>
          <w:ilvl w:val="0"/>
          <w:numId w:val="3"/>
        </w:numPr>
        <w:spacing w:before="40" w:after="40"/>
      </w:pPr>
      <w:r>
        <w:rPr>
          <w:color w:val="222222"/>
          <w:sz w:val="22"/>
          <w:szCs w:val="22"/>
        </w:rPr>
        <w:t xml:space="preserve">Add user authentication (Supabase Auth or Auth0): signup, login, session management.</w:t>
      </w:r>
    </w:p>
    <w:p>
      <w:pPr>
        <w:pStyle w:val="ListParagraph"/>
        <w:numPr>
          <w:ilvl w:val="0"/>
          <w:numId w:val="3"/>
        </w:numPr>
        <w:spacing w:before="40" w:after="40"/>
      </w:pPr>
      <w:r>
        <w:rPr>
          <w:color w:val="222222"/>
          <w:sz w:val="22"/>
          <w:szCs w:val="22"/>
        </w:rPr>
        <w:t xml:space="preserve">Add analytics (PostHog) and error tracking (Sentry).</w:t>
      </w:r>
    </w:p>
    <w:p>
      <w:pPr>
        <w:pStyle w:val="ListParagraph"/>
        <w:numPr>
          <w:ilvl w:val="0"/>
          <w:numId w:val="3"/>
        </w:numPr>
        <w:spacing w:before="40" w:after="40"/>
      </w:pPr>
      <w:r>
        <w:rPr>
          <w:color w:val="222222"/>
          <w:sz w:val="22"/>
          <w:szCs w:val="22"/>
        </w:rPr>
        <w:t xml:space="preserve">Run beta with 10 users from network. Collect feedback. Fix critical bugs.</w:t>
      </w:r>
    </w:p>
    <w:p>
      <w:pPr>
        <w:pStyle w:val="ListParagraph"/>
        <w:numPr>
          <w:ilvl w:val="0"/>
          <w:numId w:val="3"/>
        </w:numPr>
        <w:spacing w:before="40" w:after="40"/>
      </w:pPr>
      <w:r>
        <w:rPr>
          <w:color w:val="222222"/>
          <w:sz w:val="22"/>
          <w:szCs w:val="22"/>
        </w:rPr>
        <w:t xml:space="preserve">Launch on Product Hunt and relevant startup communities.</w:t>
      </w:r>
    </w:p>
    <w:p>
      <w:r>
        <w:rPr>
          <w:sz w:val="22"/>
          <w:szCs w:val="22"/>
        </w:rPr>
        <w:t xml:space="preserve"/>
      </w:r>
    </w:p>
    <w:p>
      <w:pPr>
        <w:pStyle w:val="Heading1"/>
        <w:spacing w:before="360" w:after="120"/>
      </w:pPr>
      <w:r>
        <w:rPr>
          <w:b/>
          <w:bCs/>
          <w:color w:val="1E3A5F"/>
          <w:sz w:val="36"/>
          <w:szCs w:val="36"/>
        </w:rPr>
        <w:t xml:space="preserve">SECTION 13 — GO-TO-MARKET STRATEGY</w:t>
      </w:r>
    </w:p>
    <w:p>
      <w:pPr>
        <w:pBdr>
          <w:bottom w:val="single" w:color="AACCEE" w:sz="4" w:space="1"/>
        </w:pBdr>
        <w:spacing w:before="120" w:after="120"/>
      </w:pPr>
      <w:r>
        <w:t xml:space="preserve"/>
      </w:r>
    </w:p>
    <w:p>
      <w:pPr>
        <w:pStyle w:val="Heading2"/>
        <w:spacing w:before="240" w:after="80"/>
      </w:pPr>
      <w:r>
        <w:rPr>
          <w:b/>
          <w:bCs/>
          <w:color w:val="2E86AB"/>
          <w:sz w:val="28"/>
          <w:szCs w:val="28"/>
        </w:rPr>
        <w:t xml:space="preserve">13.1  Target Customer Profile (Month 1-3)</w:t>
      </w:r>
    </w:p>
    <w:p>
      <w:pPr>
        <w:pStyle w:val="ListParagraph"/>
        <w:numPr>
          <w:ilvl w:val="0"/>
          <w:numId w:val="2"/>
        </w:numPr>
        <w:spacing w:before="40" w:after="40"/>
      </w:pPr>
      <w:r>
        <w:rPr>
          <w:color w:val="222222"/>
          <w:sz w:val="22"/>
          <w:szCs w:val="22"/>
        </w:rPr>
        <w:t xml:space="preserve">Startup founders raising pre-seed or seed rounds — they sign many NDAs with investors and partners.</w:t>
      </w:r>
    </w:p>
    <w:p>
      <w:pPr>
        <w:pStyle w:val="ListParagraph"/>
        <w:numPr>
          <w:ilvl w:val="0"/>
          <w:numId w:val="2"/>
        </w:numPr>
        <w:spacing w:before="40" w:after="40"/>
      </w:pPr>
      <w:r>
        <w:rPr>
          <w:color w:val="222222"/>
          <w:sz w:val="22"/>
          <w:szCs w:val="22"/>
        </w:rPr>
        <w:t xml:space="preserve">Solo lawyers and small law firms (1-5 people) who want productivity tools.</w:t>
      </w:r>
    </w:p>
    <w:p>
      <w:pPr>
        <w:pStyle w:val="ListParagraph"/>
        <w:numPr>
          <w:ilvl w:val="0"/>
          <w:numId w:val="2"/>
        </w:numPr>
        <w:spacing w:before="40" w:after="40"/>
      </w:pPr>
      <w:r>
        <w:rPr>
          <w:color w:val="222222"/>
          <w:sz w:val="22"/>
          <w:szCs w:val="22"/>
        </w:rPr>
        <w:t xml:space="preserve">Freelancers in tech, consulting, creative services who receive NDAs from clients.</w:t>
      </w:r>
    </w:p>
    <w:p>
      <w:r>
        <w:rPr>
          <w:sz w:val="22"/>
          <w:szCs w:val="22"/>
        </w:rPr>
        <w:t xml:space="preserve"/>
      </w:r>
    </w:p>
    <w:p>
      <w:pPr>
        <w:pStyle w:val="Heading2"/>
        <w:spacing w:before="240" w:after="80"/>
      </w:pPr>
      <w:r>
        <w:rPr>
          <w:b/>
          <w:bCs/>
          <w:color w:val="2E86AB"/>
          <w:sz w:val="28"/>
          <w:szCs w:val="28"/>
        </w:rPr>
        <w:t xml:space="preserve">13.2  Acquisition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c>
          <w:tcPr>
            <w:tcW w:type="dxa" w:w="2200"/>
            <w:tcBorders>
              <w:top w:val="single" w:color="AACCEE" w:sz="1"/>
              <w:left w:val="single" w:color="AACCEE" w:sz="1"/>
              <w:bottom w:val="single" w:color="AACCEE" w:sz="1"/>
              <w:right w:val="single" w:color="AACCEE" w:sz="1"/>
            </w:tcBorders>
            <w:shd w:fill="1E3A5F" w:val="clear"/>
            <w:tcMar>
              <w:top w:type="dxa" w:w="80"/>
              <w:left w:type="dxa" w:w="120"/>
              <w:bottom w:type="dxa" w:w="80"/>
              <w:right w:type="dxa" w:w="120"/>
            </w:tcMar>
          </w:tcPr>
          <w:p>
            <w:r>
              <w:rPr>
                <w:b/>
                <w:bCs/>
                <w:color w:val="FFFFFF"/>
                <w:sz w:val="20"/>
                <w:szCs w:val="20"/>
              </w:rPr>
              <w:t xml:space="preserve">Channel</w:t>
            </w:r>
          </w:p>
        </w:tc>
        <w:tc>
          <w:tcPr>
            <w:tcW w:type="dxa" w:w="4160"/>
            <w:tcBorders>
              <w:top w:val="single" w:color="AACCEE" w:sz="1"/>
              <w:left w:val="single" w:color="AACCEE" w:sz="1"/>
              <w:bottom w:val="single" w:color="AACCEE" w:sz="1"/>
              <w:right w:val="single" w:color="AACCEE" w:sz="1"/>
            </w:tcBorders>
            <w:shd w:fill="1E3A5F" w:val="clear"/>
            <w:tcMar>
              <w:top w:type="dxa" w:w="80"/>
              <w:left w:type="dxa" w:w="120"/>
              <w:bottom w:type="dxa" w:w="80"/>
              <w:right w:type="dxa" w:w="120"/>
            </w:tcMar>
          </w:tcPr>
          <w:p>
            <w:r>
              <w:rPr>
                <w:b/>
                <w:bCs/>
                <w:color w:val="FFFFFF"/>
                <w:sz w:val="20"/>
                <w:szCs w:val="20"/>
              </w:rPr>
              <w:t xml:space="preserve">Tactic</w:t>
            </w:r>
          </w:p>
        </w:tc>
        <w:tc>
          <w:tcPr>
            <w:tcW w:type="dxa" w:w="3000"/>
            <w:tcBorders>
              <w:top w:val="single" w:color="AACCEE" w:sz="1"/>
              <w:left w:val="single" w:color="AACCEE" w:sz="1"/>
              <w:bottom w:val="single" w:color="AACCEE" w:sz="1"/>
              <w:right w:val="single" w:color="AACCEE" w:sz="1"/>
            </w:tcBorders>
            <w:shd w:fill="1E3A5F" w:val="clear"/>
            <w:tcMar>
              <w:top w:type="dxa" w:w="80"/>
              <w:left w:type="dxa" w:w="120"/>
              <w:bottom w:type="dxa" w:w="80"/>
              <w:right w:type="dxa" w:w="120"/>
            </w:tcMar>
          </w:tcPr>
          <w:p>
            <w:r>
              <w:rPr>
                <w:b/>
                <w:bCs/>
                <w:color w:val="FFFFFF"/>
                <w:sz w:val="20"/>
                <w:szCs w:val="20"/>
              </w:rPr>
              <w:t xml:space="preserve">Expected Outcome</w:t>
            </w:r>
          </w:p>
        </w:tc>
      </w:tr>
      <w:tr>
        <w:tc>
          <w:tcPr>
            <w:tcW w:type="dxa" w:w="220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Product Hunt</w:t>
            </w:r>
          </w:p>
        </w:tc>
        <w:tc>
          <w:tcPr>
            <w:tcW w:type="dxa" w:w="416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Launch with free tier offer, demo video, testimonials</w:t>
            </w:r>
          </w:p>
        </w:tc>
        <w:tc>
          <w:tcPr>
            <w:tcW w:type="dxa" w:w="300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500-2,000 signups on launch day</w:t>
            </w:r>
          </w:p>
        </w:tc>
      </w:tr>
      <w:tr>
        <w:tc>
          <w:tcPr>
            <w:tcW w:type="dxa" w:w="220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LinkedIn</w:t>
            </w:r>
          </w:p>
        </w:tc>
        <w:tc>
          <w:tcPr>
            <w:tcW w:type="dxa" w:w="416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Cold outreach to GCs, solo lawyers, startup founders</w:t>
            </w:r>
          </w:p>
        </w:tc>
        <w:tc>
          <w:tcPr>
            <w:tcW w:type="dxa" w:w="300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10-30 trials/week</w:t>
            </w:r>
          </w:p>
        </w:tc>
      </w:tr>
      <w:tr>
        <w:tc>
          <w:tcPr>
            <w:tcW w:type="dxa" w:w="220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Founder Slack communities</w:t>
            </w:r>
          </w:p>
        </w:tc>
        <w:tc>
          <w:tcPr>
            <w:tcW w:type="dxa" w:w="416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Share useful legal tips + tool link organically</w:t>
            </w:r>
          </w:p>
        </w:tc>
        <w:tc>
          <w:tcPr>
            <w:tcW w:type="dxa" w:w="300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Word-of-mouth signups</w:t>
            </w:r>
          </w:p>
        </w:tc>
      </w:tr>
      <w:tr>
        <w:tc>
          <w:tcPr>
            <w:tcW w:type="dxa" w:w="220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Accelerator partnerships</w:t>
            </w:r>
          </w:p>
        </w:tc>
        <w:tc>
          <w:tcPr>
            <w:tcW w:type="dxa" w:w="416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Offer free accounts to YC/Techstars cohorts</w:t>
            </w:r>
          </w:p>
        </w:tc>
        <w:tc>
          <w:tcPr>
            <w:tcW w:type="dxa" w:w="300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High-quality beta users + referrals</w:t>
            </w:r>
          </w:p>
        </w:tc>
      </w:tr>
      <w:tr>
        <w:tc>
          <w:tcPr>
            <w:tcW w:type="dxa" w:w="220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SEO</w:t>
            </w:r>
          </w:p>
        </w:tc>
        <w:tc>
          <w:tcPr>
            <w:tcW w:type="dxa" w:w="416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Blog: 'NDA risks to watch for', 'How to review a contract'</w:t>
            </w:r>
          </w:p>
        </w:tc>
        <w:tc>
          <w:tcPr>
            <w:tcW w:type="dxa" w:w="300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Organic traffic in 3-6 months</w:t>
            </w:r>
          </w:p>
        </w:tc>
      </w:tr>
      <w:tr>
        <w:tc>
          <w:tcPr>
            <w:tcW w:type="dxa" w:w="220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Email / newsletter</w:t>
            </w:r>
          </w:p>
        </w:tc>
        <w:tc>
          <w:tcPr>
            <w:tcW w:type="dxa" w:w="416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Weekly legal tips for founders</w:t>
            </w:r>
          </w:p>
        </w:tc>
        <w:tc>
          <w:tcPr>
            <w:tcW w:type="dxa" w:w="300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Nurture free users to paid</w:t>
            </w:r>
          </w:p>
        </w:tc>
      </w:tr>
    </w:tbl>
    <w:p>
      <w:r>
        <w:rPr>
          <w:sz w:val="22"/>
          <w:szCs w:val="22"/>
        </w:rPr>
        <w:t xml:space="preserve"/>
      </w:r>
    </w:p>
    <w:p>
      <w:pPr>
        <w:pStyle w:val="Heading2"/>
        <w:spacing w:before="240" w:after="80"/>
      </w:pPr>
      <w:r>
        <w:rPr>
          <w:b/>
          <w:bCs/>
          <w:color w:val="2E86AB"/>
          <w:sz w:val="28"/>
          <w:szCs w:val="28"/>
        </w:rPr>
        <w:t xml:space="preserve">13.3  Validation Before Full Build</w:t>
      </w:r>
    </w:p>
    <w:p>
      <w:pPr>
        <w:spacing w:before="60" w:after="60"/>
      </w:pPr>
      <w:r>
        <w:rPr>
          <w:color w:val="222222"/>
          <w:sz w:val="22"/>
          <w:szCs w:val="22"/>
        </w:rPr>
        <w:t xml:space="preserve">Before spending weeks building, validate demand with these fast experiments:</w:t>
      </w:r>
    </w:p>
    <w:p>
      <w:pPr>
        <w:pStyle w:val="ListParagraph"/>
        <w:numPr>
          <w:ilvl w:val="0"/>
          <w:numId w:val="2"/>
        </w:numPr>
        <w:spacing w:before="40" w:after="40"/>
      </w:pPr>
      <w:r>
        <w:rPr>
          <w:color w:val="222222"/>
          <w:sz w:val="22"/>
          <w:szCs w:val="22"/>
        </w:rPr>
        <w:t xml:space="preserve">Fake-door landing page: build a page explaining the product with a 'Join waitlist' CTA. Run $50 in LinkedIn ads targeting startup founders. If 100+ signups from 1,000 visitors, demand is confirmed.</w:t>
      </w:r>
    </w:p>
    <w:p>
      <w:pPr>
        <w:pStyle w:val="ListParagraph"/>
        <w:numPr>
          <w:ilvl w:val="0"/>
          <w:numId w:val="2"/>
        </w:numPr>
        <w:spacing w:before="40" w:after="40"/>
      </w:pPr>
      <w:r>
        <w:rPr>
          <w:color w:val="222222"/>
          <w:sz w:val="22"/>
          <w:szCs w:val="22"/>
        </w:rPr>
        <w:t xml:space="preserve">Concierge MVP: manually analyze 10 NDAs for beta users using Claude/GPT. Charge $49 per report. If people pay, product-market fit exists and you also collect labeled data.</w:t>
      </w:r>
    </w:p>
    <w:p>
      <w:pPr>
        <w:pStyle w:val="ListParagraph"/>
        <w:numPr>
          <w:ilvl w:val="0"/>
          <w:numId w:val="2"/>
        </w:numPr>
        <w:spacing w:before="40" w:after="40"/>
      </w:pPr>
      <w:r>
        <w:rPr>
          <w:color w:val="222222"/>
          <w:sz w:val="22"/>
          <w:szCs w:val="22"/>
        </w:rPr>
        <w:t xml:space="preserve">Cold outreach: message 50 startup founders on LinkedIn offering a free NDA review in exchange for 20 minutes of feedback.</w:t>
      </w:r>
    </w:p>
    <w:p>
      <w:r>
        <w:rPr>
          <w:sz w:val="22"/>
          <w:szCs w:val="22"/>
        </w:rPr>
        <w:t xml:space="preserve"/>
      </w:r>
    </w:p>
    <w:p>
      <w:pPr>
        <w:pStyle w:val="Heading1"/>
        <w:spacing w:before="360" w:after="120"/>
      </w:pPr>
      <w:r>
        <w:rPr>
          <w:b/>
          <w:bCs/>
          <w:color w:val="1E3A5F"/>
          <w:sz w:val="36"/>
          <w:szCs w:val="36"/>
        </w:rPr>
        <w:t xml:space="preserve">SECTION 14 — FUTURE FEATURES (Post-MVP)</w:t>
      </w:r>
    </w:p>
    <w:p>
      <w:pPr>
        <w:pBdr>
          <w:bottom w:val="single" w:color="AACCEE" w:sz="4" w:space="1"/>
        </w:pBdr>
        <w:spacing w:before="120" w:after="120"/>
      </w:pPr>
      <w:r>
        <w:t xml:space="preserve"/>
      </w:r>
    </w:p>
    <w:p>
      <w:pPr>
        <w:pStyle w:val="Heading2"/>
        <w:spacing w:before="240" w:after="80"/>
      </w:pPr>
      <w:r>
        <w:rPr>
          <w:b/>
          <w:bCs/>
          <w:color w:val="2E86AB"/>
          <w:sz w:val="28"/>
          <w:szCs w:val="28"/>
        </w:rPr>
        <w:t xml:space="preserve">Feature 1 — AI Contract Negotiation Assistant</w:t>
      </w:r>
    </w:p>
    <w:p>
      <w:pPr>
        <w:spacing w:before="60" w:after="60"/>
      </w:pPr>
      <w:r>
        <w:rPr>
          <w:color w:val="222222"/>
          <w:sz w:val="22"/>
          <w:szCs w:val="22"/>
        </w:rPr>
        <w:t xml:space="preserve">Problem: Lawyers and founders know a clause is risky but don't know what to counter-propose or what the market norm is.</w:t>
      </w:r>
    </w:p>
    <w:p>
      <w:pPr>
        <w:spacing w:before="60" w:after="60"/>
      </w:pPr>
      <w:r>
        <w:rPr>
          <w:color w:val="222222"/>
          <w:sz w:val="22"/>
          <w:szCs w:val="22"/>
        </w:rPr>
        <w:t xml:space="preserve">Solution: The system compares each flagged clause to a market benchmark (derived from aggregated data), shows the standard, and generates a ready-to-send negotiation message.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CCEE" w:sz="1"/>
              <w:left w:val="single" w:color="AACCEE" w:sz="1"/>
              <w:bottom w:val="single" w:color="AACCEE" w:sz="1"/>
              <w:right w:val="single" w:color="AACCEE" w:sz="1"/>
            </w:tcBorders>
            <w:shd w:fill="1E3A5F" w:val="clear"/>
            <w:tcMar>
              <w:top w:type="dxa" w:w="80"/>
              <w:left w:type="dxa" w:w="160"/>
              <w:bottom w:type="dxa" w:w="80"/>
              <w:right w:type="dxa" w:w="160"/>
            </w:tcMar>
          </w:tcPr>
          <w:p>
            <w:r>
              <w:rPr>
                <w:b/>
                <w:bCs/>
                <w:color w:val="FFFFFF"/>
                <w:sz w:val="22"/>
                <w:szCs w:val="22"/>
              </w:rPr>
              <w:t xml:space="preserve">Example Output — Negotiation Assistant</w:t>
            </w:r>
          </w:p>
        </w:tc>
      </w:tr>
      <w:tr>
        <w:tc>
          <w:tcPr>
            <w:tcW w:type="dxa" w:w="9360"/>
            <w:tcBorders>
              <w:top w:val="single" w:color="AACCEE" w:sz="1"/>
              <w:left w:val="single" w:color="AACCEE" w:sz="1"/>
              <w:bottom w:val="single" w:color="AACCEE" w:sz="1"/>
              <w:right w:val="single" w:color="AACCEE" w:sz="1"/>
            </w:tcBorders>
            <w:shd w:fill="EEF4FB" w:val="clear"/>
            <w:tcMar>
              <w:top w:type="dxa" w:w="60"/>
              <w:left w:type="dxa" w:w="160"/>
              <w:bottom w:type="dxa" w:w="60"/>
              <w:right w:type="dxa" w:w="160"/>
            </w:tcMar>
          </w:tcPr>
          <w:p>
            <w:r>
              <w:rPr>
                <w:color w:val="222222"/>
                <w:sz w:val="21"/>
                <w:szCs w:val="21"/>
              </w:rPr>
              <w:t xml:space="preserve">Clause: Payment Terms  |  Your contract: Net 90</w:t>
            </w:r>
          </w:p>
        </w:tc>
      </w:tr>
      <w:tr>
        <w:tc>
          <w:tcPr>
            <w:tcW w:type="dxa" w:w="9360"/>
            <w:tcBorders>
              <w:top w:val="single" w:color="AACCEE" w:sz="1"/>
              <w:left w:val="single" w:color="AACCEE" w:sz="1"/>
              <w:bottom w:val="single" w:color="AACCEE" w:sz="1"/>
              <w:right w:val="single" w:color="AACCEE" w:sz="1"/>
            </w:tcBorders>
            <w:shd w:fill="EEF4FB" w:val="clear"/>
            <w:tcMar>
              <w:top w:type="dxa" w:w="60"/>
              <w:left w:type="dxa" w:w="160"/>
              <w:bottom w:type="dxa" w:w="60"/>
              <w:right w:type="dxa" w:w="160"/>
            </w:tcMar>
          </w:tcPr>
          <w:p>
            <w:r>
              <w:rPr>
                <w:color w:val="222222"/>
                <w:sz w:val="21"/>
                <w:szCs w:val="21"/>
              </w:rPr>
              <w:t xml:space="preserve">Market standard: Net 30 (based on 2,400 analyzed SaaS contracts)</w:t>
            </w:r>
          </w:p>
        </w:tc>
      </w:tr>
      <w:tr>
        <w:tc>
          <w:tcPr>
            <w:tcW w:type="dxa" w:w="9360"/>
            <w:tcBorders>
              <w:top w:val="single" w:color="AACCEE" w:sz="1"/>
              <w:left w:val="single" w:color="AACCEE" w:sz="1"/>
              <w:bottom w:val="single" w:color="AACCEE" w:sz="1"/>
              <w:right w:val="single" w:color="AACCEE" w:sz="1"/>
            </w:tcBorders>
            <w:shd w:fill="EEF4FB" w:val="clear"/>
            <w:tcMar>
              <w:top w:type="dxa" w:w="60"/>
              <w:left w:type="dxa" w:w="160"/>
              <w:bottom w:type="dxa" w:w="60"/>
              <w:right w:type="dxa" w:w="160"/>
            </w:tcMar>
          </w:tcPr>
          <w:p>
            <w:r>
              <w:rPr>
                <w:color w:val="222222"/>
                <w:sz w:val="21"/>
                <w:szCs w:val="21"/>
              </w:rPr>
              <w:t xml:space="preserve">Suggested counter: 'We request payment terms of Net 30 from invoice date. If Net 30 is not acceptable, we propose Net 45 with a 1.5% per month late fee after 45 days.'</w:t>
            </w:r>
          </w:p>
        </w:tc>
      </w:tr>
      <w:tr>
        <w:tc>
          <w:tcPr>
            <w:tcW w:type="dxa" w:w="9360"/>
            <w:tcBorders>
              <w:top w:val="single" w:color="AACCEE" w:sz="1"/>
              <w:left w:val="single" w:color="AACCEE" w:sz="1"/>
              <w:bottom w:val="single" w:color="AACCEE" w:sz="1"/>
              <w:right w:val="single" w:color="AACCEE" w:sz="1"/>
            </w:tcBorders>
            <w:shd w:fill="EEF4FB" w:val="clear"/>
            <w:tcMar>
              <w:top w:type="dxa" w:w="60"/>
              <w:left w:type="dxa" w:w="160"/>
              <w:bottom w:type="dxa" w:w="60"/>
              <w:right w:type="dxa" w:w="160"/>
            </w:tcMar>
          </w:tcPr>
          <w:p>
            <w:r>
              <w:rPr>
                <w:color w:val="222222"/>
                <w:sz w:val="21"/>
                <w:szCs w:val="21"/>
              </w:rPr>
              <w:t xml:space="preserve">Estimated acceptance probability: 78% (based on historical negotiation outcomes)</w:t>
            </w:r>
          </w:p>
        </w:tc>
      </w:tr>
    </w:tbl>
    <w:p>
      <w:r>
        <w:rPr>
          <w:sz w:val="22"/>
          <w:szCs w:val="22"/>
        </w:rPr>
        <w:t xml:space="preserve"/>
      </w:r>
    </w:p>
    <w:p>
      <w:pPr>
        <w:pStyle w:val="Heading2"/>
        <w:spacing w:before="240" w:after="80"/>
      </w:pPr>
      <w:r>
        <w:rPr>
          <w:b/>
          <w:bCs/>
          <w:color w:val="2E86AB"/>
          <w:sz w:val="28"/>
          <w:szCs w:val="28"/>
        </w:rPr>
        <w:t xml:space="preserve">Feature 2 — Clause Library with AI Search</w:t>
      </w:r>
    </w:p>
    <w:p>
      <w:pPr>
        <w:spacing w:before="60" w:after="60"/>
      </w:pPr>
      <w:r>
        <w:rPr>
          <w:color w:val="222222"/>
          <w:sz w:val="22"/>
          <w:szCs w:val="22"/>
        </w:rPr>
        <w:t xml:space="preserve">Problem: Lawyers reuse similar clauses constantly but search through old documents manually.</w:t>
      </w:r>
    </w:p>
    <w:p>
      <w:pPr>
        <w:spacing w:before="60" w:after="60"/>
      </w:pPr>
      <w:r>
        <w:rPr>
          <w:color w:val="222222"/>
          <w:sz w:val="22"/>
          <w:szCs w:val="22"/>
        </w:rPr>
        <w:t xml:space="preserve">Solution: A searchable, AI-indexed library of standard clauses. User types: 'SaaS termination clause with 30-day notice' and gets matching templates ranked by usage frequency, risk level, and jurisdiction.</w:t>
      </w:r>
    </w:p>
    <w:p>
      <w:r>
        <w:rPr>
          <w:sz w:val="22"/>
          <w:szCs w:val="22"/>
        </w:rPr>
        <w:t xml:space="preserve"/>
      </w:r>
    </w:p>
    <w:p>
      <w:pPr>
        <w:pStyle w:val="Heading2"/>
        <w:spacing w:before="240" w:after="80"/>
      </w:pPr>
      <w:r>
        <w:rPr>
          <w:b/>
          <w:bCs/>
          <w:color w:val="2E86AB"/>
          <w:sz w:val="28"/>
          <w:szCs w:val="28"/>
        </w:rPr>
        <w:t xml:space="preserve">Feature 3 — Contract Lifecycle Tracking</w:t>
      </w:r>
    </w:p>
    <w:p>
      <w:pPr>
        <w:spacing w:before="60" w:after="60"/>
      </w:pPr>
      <w:r>
        <w:rPr>
          <w:color w:val="222222"/>
          <w:sz w:val="22"/>
          <w:szCs w:val="22"/>
        </w:rPr>
        <w:t xml:space="preserve">Problem: Companies miss renewal deadlines, payment obligations, and notice windows hidden in contracts.</w:t>
      </w:r>
    </w:p>
    <w:p>
      <w:pPr>
        <w:spacing w:before="60" w:after="60"/>
      </w:pPr>
      <w:r>
        <w:rPr>
          <w:color w:val="222222"/>
          <w:sz w:val="22"/>
          <w:szCs w:val="22"/>
        </w:rPr>
        <w:t xml:space="preserve">Solution: After analysis, AI extracts all dates, renewal clauses, and notice periods and creates a timeline. Users receive calendar reminders (email/Slack) before critical deadlines.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CCEE" w:sz="1"/>
              <w:left w:val="single" w:color="AACCEE" w:sz="1"/>
              <w:bottom w:val="single" w:color="AACCEE" w:sz="1"/>
              <w:right w:val="single" w:color="AACCEE" w:sz="1"/>
            </w:tcBorders>
            <w:shd w:fill="1E3A5F" w:val="clear"/>
            <w:tcMar>
              <w:top w:type="dxa" w:w="80"/>
              <w:left w:type="dxa" w:w="160"/>
              <w:bottom w:type="dxa" w:w="80"/>
              <w:right w:type="dxa" w:w="160"/>
            </w:tcMar>
          </w:tcPr>
          <w:p>
            <w:r>
              <w:rPr>
                <w:b/>
                <w:bCs/>
                <w:color w:val="FFFFFF"/>
                <w:sz w:val="22"/>
                <w:szCs w:val="22"/>
              </w:rPr>
              <w:t xml:space="preserve">Example — Lifecycle Alert</w:t>
            </w:r>
          </w:p>
        </w:tc>
      </w:tr>
      <w:tr>
        <w:tc>
          <w:tcPr>
            <w:tcW w:type="dxa" w:w="9360"/>
            <w:tcBorders>
              <w:top w:val="single" w:color="AACCEE" w:sz="1"/>
              <w:left w:val="single" w:color="AACCEE" w:sz="1"/>
              <w:bottom w:val="single" w:color="AACCEE" w:sz="1"/>
              <w:right w:val="single" w:color="AACCEE" w:sz="1"/>
            </w:tcBorders>
            <w:shd w:fill="FFF8EE" w:val="clear"/>
            <w:tcMar>
              <w:top w:type="dxa" w:w="60"/>
              <w:left w:type="dxa" w:w="160"/>
              <w:bottom w:type="dxa" w:w="60"/>
              <w:right w:type="dxa" w:w="160"/>
            </w:tcMar>
          </w:tcPr>
          <w:p>
            <w:r>
              <w:rPr>
                <w:color w:val="222222"/>
                <w:sz w:val="21"/>
                <w:szCs w:val="21"/>
              </w:rPr>
              <w:t xml:space="preserve">Contract: Vendor Agreement with SupplierCo | Expires: March 15, 2027</w:t>
            </w:r>
          </w:p>
        </w:tc>
      </w:tr>
      <w:tr>
        <w:tc>
          <w:tcPr>
            <w:tcW w:type="dxa" w:w="9360"/>
            <w:tcBorders>
              <w:top w:val="single" w:color="AACCEE" w:sz="1"/>
              <w:left w:val="single" w:color="AACCEE" w:sz="1"/>
              <w:bottom w:val="single" w:color="AACCEE" w:sz="1"/>
              <w:right w:val="single" w:color="AACCEE" w:sz="1"/>
            </w:tcBorders>
            <w:shd w:fill="FFF8EE" w:val="clear"/>
            <w:tcMar>
              <w:top w:type="dxa" w:w="60"/>
              <w:left w:type="dxa" w:w="160"/>
              <w:bottom w:type="dxa" w:w="60"/>
              <w:right w:type="dxa" w:w="160"/>
            </w:tcMar>
          </w:tcPr>
          <w:p>
            <w:r>
              <w:rPr>
                <w:color w:val="222222"/>
                <w:sz w:val="21"/>
                <w:szCs w:val="21"/>
              </w:rPr>
              <w:t xml:space="preserve">Auto-renewal clause: Renews automatically if not cancelled 30 days prior.</w:t>
            </w:r>
          </w:p>
        </w:tc>
      </w:tr>
      <w:tr>
        <w:tc>
          <w:tcPr>
            <w:tcW w:type="dxa" w:w="9360"/>
            <w:tcBorders>
              <w:top w:val="single" w:color="AACCEE" w:sz="1"/>
              <w:left w:val="single" w:color="AACCEE" w:sz="1"/>
              <w:bottom w:val="single" w:color="AACCEE" w:sz="1"/>
              <w:right w:val="single" w:color="AACCEE" w:sz="1"/>
            </w:tcBorders>
            <w:shd w:fill="FFF8EE" w:val="clear"/>
            <w:tcMar>
              <w:top w:type="dxa" w:w="60"/>
              <w:left w:type="dxa" w:w="160"/>
              <w:bottom w:type="dxa" w:w="60"/>
              <w:right w:type="dxa" w:w="160"/>
            </w:tcMar>
          </w:tcPr>
          <w:p>
            <w:r>
              <w:rPr>
                <w:color w:val="222222"/>
                <w:sz w:val="21"/>
                <w:szCs w:val="21"/>
              </w:rPr>
              <w:t xml:space="preserve">ALERT: You must send cancellation notice by February 13, 2027 to avoid auto-renewal.</w:t>
            </w:r>
          </w:p>
        </w:tc>
      </w:tr>
      <w:tr>
        <w:tc>
          <w:tcPr>
            <w:tcW w:type="dxa" w:w="9360"/>
            <w:tcBorders>
              <w:top w:val="single" w:color="AACCEE" w:sz="1"/>
              <w:left w:val="single" w:color="AACCEE" w:sz="1"/>
              <w:bottom w:val="single" w:color="AACCEE" w:sz="1"/>
              <w:right w:val="single" w:color="AACCEE" w:sz="1"/>
            </w:tcBorders>
            <w:shd w:fill="FFF8EE" w:val="clear"/>
            <w:tcMar>
              <w:top w:type="dxa" w:w="60"/>
              <w:left w:type="dxa" w:w="160"/>
              <w:bottom w:type="dxa" w:w="60"/>
              <w:right w:type="dxa" w:w="160"/>
            </w:tcMar>
          </w:tcPr>
          <w:p>
            <w:r>
              <w:rPr>
                <w:color w:val="222222"/>
                <w:sz w:val="21"/>
                <w:szCs w:val="21"/>
              </w:rPr>
              <w:t xml:space="preserve">Action: Add to calendar | Draft cancellation notice</w:t>
            </w:r>
          </w:p>
        </w:tc>
      </w:tr>
    </w:tbl>
    <w:p>
      <w:r>
        <w:rPr>
          <w:sz w:val="22"/>
          <w:szCs w:val="22"/>
        </w:rPr>
        <w:t xml:space="preserve"/>
      </w:r>
    </w:p>
    <w:p>
      <w:pPr>
        <w:pStyle w:val="Heading2"/>
        <w:spacing w:before="240" w:after="80"/>
      </w:pPr>
      <w:r>
        <w:rPr>
          <w:b/>
          <w:bCs/>
          <w:color w:val="2E86AB"/>
          <w:sz w:val="28"/>
          <w:szCs w:val="28"/>
        </w:rPr>
        <w:t xml:space="preserve">Feature 4 — Plain-Language Contract Generator</w:t>
      </w:r>
    </w:p>
    <w:p>
      <w:pPr>
        <w:spacing w:before="60" w:after="60"/>
      </w:pPr>
      <w:r>
        <w:rPr>
          <w:color w:val="222222"/>
          <w:sz w:val="22"/>
          <w:szCs w:val="22"/>
        </w:rPr>
        <w:t xml:space="preserve">Problem: Small companies need contracts but don't know how to draft them.</w:t>
      </w:r>
    </w:p>
    <w:p>
      <w:pPr>
        <w:spacing w:before="60" w:after="60"/>
      </w:pPr>
      <w:r>
        <w:rPr>
          <w:color w:val="222222"/>
          <w:sz w:val="22"/>
          <w:szCs w:val="22"/>
        </w:rPr>
        <w:t xml:space="preserve">Solution: User answers a short questionnaire (contract type, parties, key terms), and AI generates a complete, jurisdiction-appropriate contract with standard clauses. User can edit and download.</w:t>
      </w:r>
    </w:p>
    <w:p>
      <w:r>
        <w:rPr>
          <w:sz w:val="22"/>
          <w:szCs w:val="22"/>
        </w:rPr>
        <w:t xml:space="preserve"/>
      </w:r>
    </w:p>
    <w:p>
      <w:pPr>
        <w:pStyle w:val="Heading2"/>
        <w:spacing w:before="240" w:after="80"/>
      </w:pPr>
      <w:r>
        <w:rPr>
          <w:b/>
          <w:bCs/>
          <w:color w:val="2E86AB"/>
          <w:sz w:val="28"/>
          <w:szCs w:val="28"/>
        </w:rPr>
        <w:t xml:space="preserve">Feature 5 — Contract Comparison Tool</w:t>
      </w:r>
    </w:p>
    <w:p>
      <w:pPr>
        <w:spacing w:before="60" w:after="60"/>
      </w:pPr>
      <w:r>
        <w:rPr>
          <w:color w:val="222222"/>
          <w:sz w:val="22"/>
          <w:szCs w:val="22"/>
        </w:rPr>
        <w:t xml:space="preserve">Problem: Lawyers reviewing two versions of a contract (or comparing with a standard template) spend hours on manual side-by-side reading.</w:t>
      </w:r>
    </w:p>
    <w:p>
      <w:pPr>
        <w:spacing w:before="60" w:after="60"/>
      </w:pPr>
      <w:r>
        <w:rPr>
          <w:color w:val="222222"/>
          <w:sz w:val="22"/>
          <w:szCs w:val="22"/>
        </w:rPr>
        <w:t xml:space="preserve">Solution: Upload two contracts, AI detects semantic differences clause by clause, flags meaning changes (not just text changes), and highlights where risk increased or decreased.</w:t>
      </w:r>
    </w:p>
    <w:p>
      <w:r>
        <w:rPr>
          <w:sz w:val="22"/>
          <w:szCs w:val="22"/>
        </w:rPr>
        <w:t xml:space="preserve"/>
      </w:r>
    </w:p>
    <w:p>
      <w:pPr>
        <w:pStyle w:val="Heading1"/>
        <w:spacing w:before="360" w:after="120"/>
      </w:pPr>
      <w:r>
        <w:rPr>
          <w:b/>
          <w:bCs/>
          <w:color w:val="1E3A5F"/>
          <w:sz w:val="36"/>
          <w:szCs w:val="36"/>
        </w:rPr>
        <w:t xml:space="preserve">SECTION 15 — THE $100M+ VISION: 3 ADVANCED FEATURES</w:t>
      </w:r>
    </w:p>
    <w:p>
      <w:pPr>
        <w:pBdr>
          <w:bottom w:val="single" w:color="AACCEE" w:sz="4" w:space="1"/>
        </w:pBdr>
        <w:spacing w:before="120" w:after="120"/>
      </w:pPr>
      <w:r>
        <w:t xml:space="preserve"/>
      </w:r>
    </w:p>
    <w:p>
      <w:pPr>
        <w:pStyle w:val="Heading2"/>
        <w:spacing w:before="240" w:after="80"/>
      </w:pPr>
      <w:r>
        <w:rPr>
          <w:b/>
          <w:bCs/>
          <w:color w:val="2E86AB"/>
          <w:sz w:val="28"/>
          <w:szCs w:val="28"/>
        </w:rPr>
        <w:t xml:space="preserve">Feature A — Contract Market Intelligence Engine</w:t>
      </w:r>
    </w:p>
    <w:p>
      <w:pPr>
        <w:spacing w:before="60" w:after="60"/>
      </w:pPr>
      <w:r>
        <w:rPr>
          <w:color w:val="222222"/>
          <w:sz w:val="22"/>
          <w:szCs w:val="22"/>
        </w:rPr>
        <w:t xml:space="preserve">This feature collects anonymized, aggregated data from all analyzed contracts and creates real-time benchmarks for clause terms across industries and contract types.</w:t>
      </w:r>
    </w:p>
    <w:p>
      <w:pPr>
        <w:spacing w:before="60" w:after="60"/>
      </w:pPr>
      <w:r>
        <w:rPr>
          <w:color w:val="222222"/>
          <w:sz w:val="22"/>
          <w:szCs w:val="22"/>
        </w:rPr>
        <w:t xml:space="preserve">Example: 'You proposed Net-90 payment. Among 8,400 SaaS agreements in our database, 73% use Net-30 and 21% use Net-45. Only 6% use Net-90 — and those contracts had a 3x higher dispute rate.'</w:t>
      </w:r>
    </w:p>
    <w:p>
      <w:pPr>
        <w:spacing w:before="60" w:after="60"/>
      </w:pPr>
      <w:r>
        <w:rPr>
          <w:color w:val="222222"/>
          <w:sz w:val="22"/>
          <w:szCs w:val="22"/>
        </w:rPr>
        <w:t xml:space="preserve">This becomes Bloomberg for contracts. Legal and procurement teams at large companies will pay $200-$1,000/month for this intelligence alone.</w:t>
      </w:r>
    </w:p>
    <w:p>
      <w:r>
        <w:rPr>
          <w:sz w:val="22"/>
          <w:szCs w:val="22"/>
        </w:rPr>
        <w:t xml:space="preserve"/>
      </w:r>
    </w:p>
    <w:p>
      <w:pPr>
        <w:pStyle w:val="Heading2"/>
        <w:spacing w:before="240" w:after="80"/>
      </w:pPr>
      <w:r>
        <w:rPr>
          <w:b/>
          <w:bCs/>
          <w:color w:val="2E86AB"/>
          <w:sz w:val="28"/>
          <w:szCs w:val="28"/>
        </w:rPr>
        <w:t xml:space="preserve">Feature B — AI Contract Risk Prediction</w:t>
      </w:r>
    </w:p>
    <w:p>
      <w:pPr>
        <w:spacing w:before="60" w:after="60"/>
      </w:pPr>
      <w:r>
        <w:rPr>
          <w:color w:val="222222"/>
          <w:sz w:val="22"/>
          <w:szCs w:val="22"/>
        </w:rPr>
        <w:t xml:space="preserve">Using historical contract dispute data (court records, arbitration outcomes, public case law), train a model that estimates the probability of future disputes given specific clause combinations.</w:t>
      </w:r>
    </w:p>
    <w:p>
      <w:pPr>
        <w:spacing w:before="60" w:after="60"/>
      </w:pPr>
      <w:r>
        <w:rPr>
          <w:color w:val="222222"/>
          <w:sz w:val="22"/>
          <w:szCs w:val="22"/>
        </w:rPr>
        <w:t xml:space="preserve">Example output: 'Based on these 3 clause combinations, the estimated dispute probability is 34% — 2.8x the industry average. The primary driver is the absence of a dispute resolution clause combined with unlimited liability.'</w:t>
      </w:r>
    </w:p>
    <w:p>
      <w:pPr>
        <w:spacing w:before="60" w:after="60"/>
      </w:pPr>
      <w:r>
        <w:rPr>
          <w:color w:val="222222"/>
          <w:sz w:val="22"/>
          <w:szCs w:val="22"/>
        </w:rPr>
        <w:t xml:space="preserve">Insurance companies, corporate legal teams, and M&amp;A due diligence firms will pay premium pricing for this predictive capability.</w:t>
      </w:r>
    </w:p>
    <w:p>
      <w:r>
        <w:rPr>
          <w:sz w:val="22"/>
          <w:szCs w:val="22"/>
        </w:rPr>
        <w:t xml:space="preserve"/>
      </w:r>
    </w:p>
    <w:p>
      <w:pPr>
        <w:pStyle w:val="Heading2"/>
        <w:spacing w:before="240" w:after="80"/>
      </w:pPr>
      <w:r>
        <w:rPr>
          <w:b/>
          <w:bCs/>
          <w:color w:val="2E86AB"/>
          <w:sz w:val="28"/>
          <w:szCs w:val="28"/>
        </w:rPr>
        <w:t xml:space="preserve">Feature C — Autonomous Contract Negotiation Agent</w:t>
      </w:r>
    </w:p>
    <w:p>
      <w:pPr>
        <w:spacing w:before="60" w:after="60"/>
      </w:pPr>
      <w:r>
        <w:rPr>
          <w:color w:val="222222"/>
          <w:sz w:val="22"/>
          <w:szCs w:val="22"/>
        </w:rPr>
        <w:t xml:space="preserve">An AI agent that can actively participate in the negotiation process. It analyzes the incoming contract, generates redlined edits, drafts a negotiation email with rationale, and tracks responses across rounds.</w:t>
      </w:r>
    </w:p>
    <w:p>
      <w:pPr>
        <w:spacing w:before="60" w:after="60"/>
      </w:pPr>
      <w:r>
        <w:rPr>
          <w:color w:val="222222"/>
          <w:sz w:val="22"/>
          <w:szCs w:val="22"/>
        </w:rPr>
        <w:t xml:space="preserve">This is not just a suggestion tool — it is an AI that manages the negotiation loop, requiring human approval before sending.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CCEE" w:sz="1"/>
              <w:left w:val="single" w:color="AACCEE" w:sz="1"/>
              <w:bottom w:val="single" w:color="AACCEE" w:sz="1"/>
              <w:right w:val="single" w:color="AACCEE" w:sz="1"/>
            </w:tcBorders>
            <w:shd w:fill="1E3A5F" w:val="clear"/>
            <w:tcMar>
              <w:top w:type="dxa" w:w="80"/>
              <w:left w:type="dxa" w:w="160"/>
              <w:bottom w:type="dxa" w:w="80"/>
              <w:right w:type="dxa" w:w="160"/>
            </w:tcMar>
          </w:tcPr>
          <w:p>
            <w:r>
              <w:rPr>
                <w:b/>
                <w:bCs/>
                <w:color w:val="FFFFFF"/>
                <w:sz w:val="22"/>
                <w:szCs w:val="22"/>
              </w:rPr>
              <w:t xml:space="preserve">Example — Autonomous Negotiation Output</w:t>
            </w:r>
          </w:p>
        </w:tc>
      </w:tr>
      <w:tr>
        <w:tc>
          <w:tcPr>
            <w:tcW w:type="dxa" w:w="9360"/>
            <w:tcBorders>
              <w:top w:val="single" w:color="AACCEE" w:sz="1"/>
              <w:left w:val="single" w:color="AACCEE" w:sz="1"/>
              <w:bottom w:val="single" w:color="AACCEE" w:sz="1"/>
              <w:right w:val="single" w:color="AACCEE" w:sz="1"/>
            </w:tcBorders>
            <w:shd w:fill="F0F7EE" w:val="clear"/>
            <w:tcMar>
              <w:top w:type="dxa" w:w="60"/>
              <w:left w:type="dxa" w:w="160"/>
              <w:bottom w:type="dxa" w:w="60"/>
              <w:right w:type="dxa" w:w="160"/>
            </w:tcMar>
          </w:tcPr>
          <w:p>
            <w:r>
              <w:rPr>
                <w:color w:val="222222"/>
                <w:sz w:val="21"/>
                <w:szCs w:val="21"/>
              </w:rPr>
              <w:t xml:space="preserve">Action: Prepared redlined contract with 4 proposed changes.</w:t>
            </w:r>
          </w:p>
        </w:tc>
      </w:tr>
      <w:tr>
        <w:tc>
          <w:tcPr>
            <w:tcW w:type="dxa" w:w="9360"/>
            <w:tcBorders>
              <w:top w:val="single" w:color="AACCEE" w:sz="1"/>
              <w:left w:val="single" w:color="AACCEE" w:sz="1"/>
              <w:bottom w:val="single" w:color="AACCEE" w:sz="1"/>
              <w:right w:val="single" w:color="AACCEE" w:sz="1"/>
            </w:tcBorders>
            <w:shd w:fill="F0F7EE" w:val="clear"/>
            <w:tcMar>
              <w:top w:type="dxa" w:w="60"/>
              <w:left w:type="dxa" w:w="160"/>
              <w:bottom w:type="dxa" w:w="60"/>
              <w:right w:type="dxa" w:w="160"/>
            </w:tcMar>
          </w:tcPr>
          <w:p>
            <w:r>
              <w:rPr>
                <w:color w:val="222222"/>
                <w:sz w:val="21"/>
                <w:szCs w:val="21"/>
              </w:rPr>
              <w:t xml:space="preserve">Draft email generated: 'Thank you for sending the NDA. We have reviewed it and propose the attached redlined version. The key changes are: (1) liability cap at contract value, (2) confidentiality term reduced to 3 years...'</w:t>
            </w:r>
          </w:p>
        </w:tc>
      </w:tr>
      <w:tr>
        <w:tc>
          <w:tcPr>
            <w:tcW w:type="dxa" w:w="9360"/>
            <w:tcBorders>
              <w:top w:val="single" w:color="AACCEE" w:sz="1"/>
              <w:left w:val="single" w:color="AACCEE" w:sz="1"/>
              <w:bottom w:val="single" w:color="AACCEE" w:sz="1"/>
              <w:right w:val="single" w:color="AACCEE" w:sz="1"/>
            </w:tcBorders>
            <w:shd w:fill="F0F7EE" w:val="clear"/>
            <w:tcMar>
              <w:top w:type="dxa" w:w="60"/>
              <w:left w:type="dxa" w:w="160"/>
              <w:bottom w:type="dxa" w:w="60"/>
              <w:right w:type="dxa" w:w="160"/>
            </w:tcMar>
          </w:tcPr>
          <w:p>
            <w:r>
              <w:rPr>
                <w:color w:val="222222"/>
                <w:sz w:val="21"/>
                <w:szCs w:val="21"/>
              </w:rPr>
              <w:t xml:space="preserve">Waiting for your approval to send.</w:t>
            </w:r>
          </w:p>
        </w:tc>
      </w:tr>
      <w:tr>
        <w:tc>
          <w:tcPr>
            <w:tcW w:type="dxa" w:w="9360"/>
            <w:tcBorders>
              <w:top w:val="single" w:color="AACCEE" w:sz="1"/>
              <w:left w:val="single" w:color="AACCEE" w:sz="1"/>
              <w:bottom w:val="single" w:color="AACCEE" w:sz="1"/>
              <w:right w:val="single" w:color="AACCEE" w:sz="1"/>
            </w:tcBorders>
            <w:shd w:fill="F0F7EE" w:val="clear"/>
            <w:tcMar>
              <w:top w:type="dxa" w:w="60"/>
              <w:left w:type="dxa" w:w="160"/>
              <w:bottom w:type="dxa" w:w="60"/>
              <w:right w:type="dxa" w:w="160"/>
            </w:tcMar>
          </w:tcPr>
          <w:p>
            <w:r>
              <w:rPr>
                <w:color w:val="222222"/>
                <w:sz w:val="21"/>
                <w:szCs w:val="21"/>
              </w:rPr>
              <w:t xml:space="preserve">Estimated counterparty acceptance based on 1,200 similar negotiations: 81%</w:t>
            </w:r>
          </w:p>
        </w:tc>
      </w:tr>
    </w:tbl>
    <w:p>
      <w:r>
        <w:rPr>
          <w:sz w:val="22"/>
          <w:szCs w:val="22"/>
        </w:rPr>
        <w:t xml:space="preserve"/>
      </w:r>
    </w:p>
    <w:p>
      <w:pPr>
        <w:pStyle w:val="Heading1"/>
        <w:spacing w:before="360" w:after="120"/>
      </w:pPr>
      <w:r>
        <w:rPr>
          <w:b/>
          <w:bCs/>
          <w:color w:val="1E3A5F"/>
          <w:sz w:val="36"/>
          <w:szCs w:val="36"/>
        </w:rPr>
        <w:t xml:space="preserve">SECTION 16 — RISKS AND MITIGATION</w:t>
      </w:r>
    </w:p>
    <w:p>
      <w:pPr>
        <w:pBdr>
          <w:bottom w:val="single" w:color="AACCEE" w:sz="4" w:space="1"/>
        </w:pBd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c>
          <w:tcPr>
            <w:tcW w:type="dxa" w:w="2200"/>
            <w:tcBorders>
              <w:top w:val="single" w:color="AACCEE" w:sz="1"/>
              <w:left w:val="single" w:color="AACCEE" w:sz="1"/>
              <w:bottom w:val="single" w:color="AACCEE" w:sz="1"/>
              <w:right w:val="single" w:color="AACCEE" w:sz="1"/>
            </w:tcBorders>
            <w:shd w:fill="1E3A5F" w:val="clear"/>
            <w:tcMar>
              <w:top w:type="dxa" w:w="80"/>
              <w:left w:type="dxa" w:w="120"/>
              <w:bottom w:type="dxa" w:w="80"/>
              <w:right w:type="dxa" w:w="120"/>
            </w:tcMar>
          </w:tcPr>
          <w:p>
            <w:r>
              <w:rPr>
                <w:b/>
                <w:bCs/>
                <w:color w:val="FFFFFF"/>
                <w:sz w:val="20"/>
                <w:szCs w:val="20"/>
              </w:rPr>
              <w:t xml:space="preserve">Risk</w:t>
            </w:r>
          </w:p>
        </w:tc>
        <w:tc>
          <w:tcPr>
            <w:tcW w:type="dxa" w:w="3560"/>
            <w:tcBorders>
              <w:top w:val="single" w:color="AACCEE" w:sz="1"/>
              <w:left w:val="single" w:color="AACCEE" w:sz="1"/>
              <w:bottom w:val="single" w:color="AACCEE" w:sz="1"/>
              <w:right w:val="single" w:color="AACCEE" w:sz="1"/>
            </w:tcBorders>
            <w:shd w:fill="1E3A5F" w:val="clear"/>
            <w:tcMar>
              <w:top w:type="dxa" w:w="80"/>
              <w:left w:type="dxa" w:w="120"/>
              <w:bottom w:type="dxa" w:w="80"/>
              <w:right w:type="dxa" w:w="120"/>
            </w:tcMar>
          </w:tcPr>
          <w:p>
            <w:r>
              <w:rPr>
                <w:b/>
                <w:bCs/>
                <w:color w:val="FFFFFF"/>
                <w:sz w:val="20"/>
                <w:szCs w:val="20"/>
              </w:rPr>
              <w:t xml:space="preserve">Description</w:t>
            </w:r>
          </w:p>
        </w:tc>
        <w:tc>
          <w:tcPr>
            <w:tcW w:type="dxa" w:w="3600"/>
            <w:tcBorders>
              <w:top w:val="single" w:color="AACCEE" w:sz="1"/>
              <w:left w:val="single" w:color="AACCEE" w:sz="1"/>
              <w:bottom w:val="single" w:color="AACCEE" w:sz="1"/>
              <w:right w:val="single" w:color="AACCEE" w:sz="1"/>
            </w:tcBorders>
            <w:shd w:fill="1E3A5F" w:val="clear"/>
            <w:tcMar>
              <w:top w:type="dxa" w:w="80"/>
              <w:left w:type="dxa" w:w="120"/>
              <w:bottom w:type="dxa" w:w="80"/>
              <w:right w:type="dxa" w:w="120"/>
            </w:tcMar>
          </w:tcPr>
          <w:p>
            <w:r>
              <w:rPr>
                <w:b/>
                <w:bCs/>
                <w:color w:val="FFFFFF"/>
                <w:sz w:val="20"/>
                <w:szCs w:val="20"/>
              </w:rPr>
              <w:t xml:space="preserve">Mitigation</w:t>
            </w:r>
          </w:p>
        </w:tc>
      </w:tr>
      <w:tr>
        <w:tc>
          <w:tcPr>
            <w:tcW w:type="dxa" w:w="220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Accuracy / Hallucination</w:t>
            </w:r>
          </w:p>
        </w:tc>
        <w:tc>
          <w:tcPr>
            <w:tcW w:type="dxa" w:w="356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AI gives wrong risk assessment; user signs bad contract</w:t>
            </w:r>
          </w:p>
        </w:tc>
        <w:tc>
          <w:tcPr>
            <w:tcW w:type="dxa" w:w="360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Rules engine provides deterministic baseline; LLM is additive; always show confidence level; prominent 'consult a lawyer' disclaimer</w:t>
            </w:r>
          </w:p>
        </w:tc>
      </w:tr>
      <w:tr>
        <w:tc>
          <w:tcPr>
            <w:tcW w:type="dxa" w:w="220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Legal liability</w:t>
            </w:r>
          </w:p>
        </w:tc>
        <w:tc>
          <w:tcPr>
            <w:tcW w:type="dxa" w:w="356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User relies solely on AI and suffers legal damage</w:t>
            </w:r>
          </w:p>
        </w:tc>
        <w:tc>
          <w:tcPr>
            <w:tcW w:type="dxa" w:w="360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ToS clearly states tool is informational only; E&amp;O insurance; limit of liability clause in ToS</w:t>
            </w:r>
          </w:p>
        </w:tc>
      </w:tr>
      <w:tr>
        <w:tc>
          <w:tcPr>
            <w:tcW w:type="dxa" w:w="220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Data privacy breach</w:t>
            </w:r>
          </w:p>
        </w:tc>
        <w:tc>
          <w:tcPr>
            <w:tcW w:type="dxa" w:w="356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Sensitive contract data leaked or misused</w:t>
            </w:r>
          </w:p>
        </w:tc>
        <w:tc>
          <w:tcPr>
            <w:tcW w:type="dxa" w:w="360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AES-256 encryption; minimal retention by default; auto-delete option; SOC 2 roadmap; DPA for enterprise</w:t>
            </w:r>
          </w:p>
        </w:tc>
      </w:tr>
      <w:tr>
        <w:tc>
          <w:tcPr>
            <w:tcW w:type="dxa" w:w="220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LLM API cost</w:t>
            </w:r>
          </w:p>
        </w:tc>
        <w:tc>
          <w:tcPr>
            <w:tcW w:type="dxa" w:w="356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High per-document LLM costs erode margins</w:t>
            </w:r>
          </w:p>
        </w:tc>
        <w:tc>
          <w:tcPr>
            <w:tcW w:type="dxa" w:w="360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Cache results; only call LLM for flagged clauses; use smaller models for classification; rate limit free tier</w:t>
            </w:r>
          </w:p>
        </w:tc>
      </w:tr>
      <w:tr>
        <w:tc>
          <w:tcPr>
            <w:tcW w:type="dxa" w:w="220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Competitor response</w:t>
            </w:r>
          </w:p>
        </w:tc>
        <w:tc>
          <w:tcPr>
            <w:tcW w:type="dxa" w:w="356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Enterprise players build cheap tier or acquire similar</w:t>
            </w:r>
          </w:p>
        </w:tc>
        <w:tc>
          <w:tcPr>
            <w:tcW w:type="dxa" w:w="360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Focus on niche (NDA first), build switching costs via clause library and lifecycle data, expand faster</w:t>
            </w:r>
          </w:p>
        </w:tc>
      </w:tr>
      <w:tr>
        <w:tc>
          <w:tcPr>
            <w:tcW w:type="dxa" w:w="220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Trust barrier</w:t>
            </w:r>
          </w:p>
        </w:tc>
        <w:tc>
          <w:tcPr>
            <w:tcW w:type="dxa" w:w="356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Lawyers reluctant to upload sensitive contracts</w:t>
            </w:r>
          </w:p>
        </w:tc>
        <w:tc>
          <w:tcPr>
            <w:tcW w:type="dxa" w:w="360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Strong privacy messaging; on-prem option for enterprise; EU data residency option; testimonials from lawyers</w:t>
            </w:r>
          </w:p>
        </w:tc>
      </w:tr>
    </w:tbl>
    <w:p>
      <w:r>
        <w:rPr>
          <w:sz w:val="22"/>
          <w:szCs w:val="22"/>
        </w:rPr>
        <w:t xml:space="preserve"/>
      </w:r>
    </w:p>
    <w:p>
      <w:pPr>
        <w:pStyle w:val="Heading1"/>
        <w:spacing w:before="360" w:after="120"/>
      </w:pPr>
      <w:r>
        <w:rPr>
          <w:b/>
          <w:bCs/>
          <w:color w:val="1E3A5F"/>
          <w:sz w:val="36"/>
          <w:szCs w:val="36"/>
        </w:rPr>
        <w:t xml:space="preserve">SECTION 17 — SECURITY AND COMPLIANCE</w:t>
      </w:r>
    </w:p>
    <w:p>
      <w:pPr>
        <w:pBdr>
          <w:bottom w:val="single" w:color="AACCEE" w:sz="4" w:space="1"/>
        </w:pBdr>
        <w:spacing w:before="120" w:after="120"/>
      </w:pPr>
      <w:r>
        <w:t xml:space="preserve"/>
      </w:r>
    </w:p>
    <w:p>
      <w:pPr>
        <w:pStyle w:val="ListParagraph"/>
        <w:numPr>
          <w:ilvl w:val="0"/>
          <w:numId w:val="2"/>
        </w:numPr>
        <w:spacing w:before="40" w:after="40"/>
      </w:pPr>
      <w:r>
        <w:rPr>
          <w:color w:val="222222"/>
          <w:sz w:val="22"/>
          <w:szCs w:val="22"/>
        </w:rPr>
        <w:t xml:space="preserve">Transport: All data transmitted over TLS 1.3.</w:t>
      </w:r>
    </w:p>
    <w:p>
      <w:pPr>
        <w:pStyle w:val="ListParagraph"/>
        <w:numPr>
          <w:ilvl w:val="0"/>
          <w:numId w:val="2"/>
        </w:numPr>
        <w:spacing w:before="40" w:after="40"/>
      </w:pPr>
      <w:r>
        <w:rPr>
          <w:color w:val="222222"/>
          <w:sz w:val="22"/>
          <w:szCs w:val="22"/>
        </w:rPr>
        <w:t xml:space="preserve">Storage: Files encrypted at rest (AES-256) in S3. Database encrypted at rest.</w:t>
      </w:r>
    </w:p>
    <w:p>
      <w:pPr>
        <w:pStyle w:val="ListParagraph"/>
        <w:numPr>
          <w:ilvl w:val="0"/>
          <w:numId w:val="2"/>
        </w:numPr>
        <w:spacing w:before="40" w:after="40"/>
      </w:pPr>
      <w:r>
        <w:rPr>
          <w:color w:val="222222"/>
          <w:sz w:val="22"/>
          <w:szCs w:val="22"/>
        </w:rPr>
        <w:t xml:space="preserve">Access control: Role-based access; no cross-tenant data access possible.</w:t>
      </w:r>
    </w:p>
    <w:p>
      <w:pPr>
        <w:pStyle w:val="ListParagraph"/>
        <w:numPr>
          <w:ilvl w:val="0"/>
          <w:numId w:val="2"/>
        </w:numPr>
        <w:spacing w:before="40" w:after="40"/>
      </w:pPr>
      <w:r>
        <w:rPr>
          <w:color w:val="222222"/>
          <w:sz w:val="22"/>
          <w:szCs w:val="22"/>
        </w:rPr>
        <w:t xml:space="preserve">Data retention: Default 30-day retention; configurable per customer; guaranteed deletion.</w:t>
      </w:r>
    </w:p>
    <w:p>
      <w:pPr>
        <w:pStyle w:val="ListParagraph"/>
        <w:numPr>
          <w:ilvl w:val="0"/>
          <w:numId w:val="2"/>
        </w:numPr>
        <w:spacing w:before="40" w:after="40"/>
      </w:pPr>
      <w:r>
        <w:rPr>
          <w:color w:val="222222"/>
          <w:sz w:val="22"/>
          <w:szCs w:val="22"/>
        </w:rPr>
        <w:t xml:space="preserve">Audit logging: All uploads, downloads, analyses logged with user ID and timestamp.</w:t>
      </w:r>
    </w:p>
    <w:p>
      <w:pPr>
        <w:pStyle w:val="ListParagraph"/>
        <w:numPr>
          <w:ilvl w:val="0"/>
          <w:numId w:val="2"/>
        </w:numPr>
        <w:spacing w:before="40" w:after="40"/>
      </w:pPr>
      <w:r>
        <w:rPr>
          <w:color w:val="222222"/>
          <w:sz w:val="22"/>
          <w:szCs w:val="22"/>
        </w:rPr>
        <w:t xml:space="preserve">Privacy options: Auto-delete after analysis; no training on customer data without explicit consent.</w:t>
      </w:r>
    </w:p>
    <w:p>
      <w:pPr>
        <w:pStyle w:val="ListParagraph"/>
        <w:numPr>
          <w:ilvl w:val="0"/>
          <w:numId w:val="2"/>
        </w:numPr>
        <w:spacing w:before="40" w:after="40"/>
      </w:pPr>
      <w:r>
        <w:rPr>
          <w:color w:val="222222"/>
          <w:sz w:val="22"/>
          <w:szCs w:val="22"/>
        </w:rPr>
        <w:t xml:space="preserve">Compliance roadmap: SOC 2 Type II (Year 1), ISO 27001 (Year 2), GDPR DPA (for EU), DPDPA (for India).</w:t>
      </w:r>
    </w:p>
    <w:p>
      <w:r>
        <w:rPr>
          <w:sz w:val="22"/>
          <w:szCs w:val="22"/>
        </w:rPr>
        <w:t xml:space="preserve"/>
      </w:r>
    </w:p>
    <w:p>
      <w:pPr>
        <w:pStyle w:val="Heading1"/>
        <w:spacing w:before="360" w:after="120"/>
      </w:pPr>
      <w:r>
        <w:rPr>
          <w:b/>
          <w:bCs/>
          <w:color w:val="1E3A5F"/>
          <w:sz w:val="36"/>
          <w:szCs w:val="36"/>
        </w:rPr>
        <w:t xml:space="preserve">SECTION 18 — KEY METRICS TO TRACK</w:t>
      </w:r>
    </w:p>
    <w:p>
      <w:pPr>
        <w:pBdr>
          <w:bottom w:val="single" w:color="AACCEE" w:sz="4" w:space="1"/>
        </w:pBd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580"/>
        <w:gridCol w:w="2980"/>
      </w:tblGrid>
      <w:tr>
        <w:tc>
          <w:tcPr>
            <w:tcW w:type="dxa" w:w="3800"/>
            <w:tcBorders>
              <w:top w:val="single" w:color="AACCEE" w:sz="1"/>
              <w:left w:val="single" w:color="AACCEE" w:sz="1"/>
              <w:bottom w:val="single" w:color="AACCEE" w:sz="1"/>
              <w:right w:val="single" w:color="AACCEE" w:sz="1"/>
            </w:tcBorders>
            <w:shd w:fill="1E3A5F" w:val="clear"/>
            <w:tcMar>
              <w:top w:type="dxa" w:w="80"/>
              <w:left w:type="dxa" w:w="120"/>
              <w:bottom w:type="dxa" w:w="80"/>
              <w:right w:type="dxa" w:w="120"/>
            </w:tcMar>
          </w:tcPr>
          <w:p>
            <w:r>
              <w:rPr>
                <w:b/>
                <w:bCs/>
                <w:color w:val="FFFFFF"/>
                <w:sz w:val="20"/>
                <w:szCs w:val="20"/>
              </w:rPr>
              <w:t xml:space="preserve">Metric</w:t>
            </w:r>
          </w:p>
        </w:tc>
        <w:tc>
          <w:tcPr>
            <w:tcW w:type="dxa" w:w="2580"/>
            <w:tcBorders>
              <w:top w:val="single" w:color="AACCEE" w:sz="1"/>
              <w:left w:val="single" w:color="AACCEE" w:sz="1"/>
              <w:bottom w:val="single" w:color="AACCEE" w:sz="1"/>
              <w:right w:val="single" w:color="AACCEE" w:sz="1"/>
            </w:tcBorders>
            <w:shd w:fill="1E3A5F" w:val="clear"/>
            <w:tcMar>
              <w:top w:type="dxa" w:w="80"/>
              <w:left w:type="dxa" w:w="120"/>
              <w:bottom w:type="dxa" w:w="80"/>
              <w:right w:type="dxa" w:w="120"/>
            </w:tcMar>
          </w:tcPr>
          <w:p>
            <w:r>
              <w:rPr>
                <w:b/>
                <w:bCs/>
                <w:color w:val="FFFFFF"/>
                <w:sz w:val="20"/>
                <w:szCs w:val="20"/>
              </w:rPr>
              <w:t xml:space="preserve">Target (Month 3)</w:t>
            </w:r>
          </w:p>
        </w:tc>
        <w:tc>
          <w:tcPr>
            <w:tcW w:type="dxa" w:w="2980"/>
            <w:tcBorders>
              <w:top w:val="single" w:color="AACCEE" w:sz="1"/>
              <w:left w:val="single" w:color="AACCEE" w:sz="1"/>
              <w:bottom w:val="single" w:color="AACCEE" w:sz="1"/>
              <w:right w:val="single" w:color="AACCEE" w:sz="1"/>
            </w:tcBorders>
            <w:shd w:fill="1E3A5F" w:val="clear"/>
            <w:tcMar>
              <w:top w:type="dxa" w:w="80"/>
              <w:left w:type="dxa" w:w="120"/>
              <w:bottom w:type="dxa" w:w="80"/>
              <w:right w:type="dxa" w:w="120"/>
            </w:tcMar>
          </w:tcPr>
          <w:p>
            <w:r>
              <w:rPr>
                <w:b/>
                <w:bCs/>
                <w:color w:val="FFFFFF"/>
                <w:sz w:val="20"/>
                <w:szCs w:val="20"/>
              </w:rPr>
              <w:t xml:space="preserve">Target (Month 12)</w:t>
            </w:r>
          </w:p>
        </w:tc>
      </w:tr>
      <w:tr>
        <w:tc>
          <w:tcPr>
            <w:tcW w:type="dxa" w:w="380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Monthly signups</w:t>
            </w:r>
          </w:p>
        </w:tc>
        <w:tc>
          <w:tcPr>
            <w:tcW w:type="dxa" w:w="258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500</w:t>
            </w:r>
          </w:p>
        </w:tc>
        <w:tc>
          <w:tcPr>
            <w:tcW w:type="dxa" w:w="298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5,000</w:t>
            </w:r>
          </w:p>
        </w:tc>
      </w:tr>
      <w:tr>
        <w:tc>
          <w:tcPr>
            <w:tcW w:type="dxa" w:w="380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Free-to-paid conversion</w:t>
            </w:r>
          </w:p>
        </w:tc>
        <w:tc>
          <w:tcPr>
            <w:tcW w:type="dxa" w:w="258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5%</w:t>
            </w:r>
          </w:p>
        </w:tc>
        <w:tc>
          <w:tcPr>
            <w:tcW w:type="dxa" w:w="298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12%</w:t>
            </w:r>
          </w:p>
        </w:tc>
      </w:tr>
      <w:tr>
        <w:tc>
          <w:tcPr>
            <w:tcW w:type="dxa" w:w="380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MRR</w:t>
            </w:r>
          </w:p>
        </w:tc>
        <w:tc>
          <w:tcPr>
            <w:tcW w:type="dxa" w:w="258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$2,000</w:t>
            </w:r>
          </w:p>
        </w:tc>
        <w:tc>
          <w:tcPr>
            <w:tcW w:type="dxa" w:w="298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$50,000+</w:t>
            </w:r>
          </w:p>
        </w:tc>
      </w:tr>
      <w:tr>
        <w:tc>
          <w:tcPr>
            <w:tcW w:type="dxa" w:w="380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Time to result (avg)</w:t>
            </w:r>
          </w:p>
        </w:tc>
        <w:tc>
          <w:tcPr>
            <w:tcW w:type="dxa" w:w="258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&lt; 60 seconds</w:t>
            </w:r>
          </w:p>
        </w:tc>
        <w:tc>
          <w:tcPr>
            <w:tcW w:type="dxa" w:w="298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&lt; 30 seconds</w:t>
            </w:r>
          </w:p>
        </w:tc>
      </w:tr>
      <w:tr>
        <w:tc>
          <w:tcPr>
            <w:tcW w:type="dxa" w:w="380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Suggestion copy rate</w:t>
            </w:r>
          </w:p>
        </w:tc>
        <w:tc>
          <w:tcPr>
            <w:tcW w:type="dxa" w:w="258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&gt; 20%</w:t>
            </w:r>
          </w:p>
        </w:tc>
        <w:tc>
          <w:tcPr>
            <w:tcW w:type="dxa" w:w="298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&gt; 35%</w:t>
            </w:r>
          </w:p>
        </w:tc>
      </w:tr>
      <w:tr>
        <w:tc>
          <w:tcPr>
            <w:tcW w:type="dxa" w:w="380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Clause accuracy (recall)</w:t>
            </w:r>
          </w:p>
        </w:tc>
        <w:tc>
          <w:tcPr>
            <w:tcW w:type="dxa" w:w="258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&gt; 80%</w:t>
            </w:r>
          </w:p>
        </w:tc>
        <w:tc>
          <w:tcPr>
            <w:tcW w:type="dxa" w:w="298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&gt; 92%</w:t>
            </w:r>
          </w:p>
        </w:tc>
      </w:tr>
      <w:tr>
        <w:tc>
          <w:tcPr>
            <w:tcW w:type="dxa" w:w="380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Monthly churn</w:t>
            </w:r>
          </w:p>
        </w:tc>
        <w:tc>
          <w:tcPr>
            <w:tcW w:type="dxa" w:w="258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&lt; 10%</w:t>
            </w:r>
          </w:p>
        </w:tc>
        <w:tc>
          <w:tcPr>
            <w:tcW w:type="dxa" w:w="298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&lt; 5%</w:t>
            </w:r>
          </w:p>
        </w:tc>
      </w:tr>
      <w:tr>
        <w:tc>
          <w:tcPr>
            <w:tcW w:type="dxa" w:w="380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NPS</w:t>
            </w:r>
          </w:p>
        </w:tc>
        <w:tc>
          <w:tcPr>
            <w:tcW w:type="dxa" w:w="258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40+</w:t>
            </w:r>
          </w:p>
        </w:tc>
        <w:tc>
          <w:tcPr>
            <w:tcW w:type="dxa" w:w="298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60+</w:t>
            </w:r>
          </w:p>
        </w:tc>
      </w:tr>
    </w:tbl>
    <w:p>
      <w:r>
        <w:rPr>
          <w:sz w:val="22"/>
          <w:szCs w:val="22"/>
        </w:rPr>
        <w:t xml:space="preserve"/>
      </w:r>
    </w:p>
    <w:p>
      <w:pPr>
        <w:pStyle w:val="Heading1"/>
        <w:spacing w:before="360" w:after="120"/>
      </w:pPr>
      <w:r>
        <w:rPr>
          <w:b/>
          <w:bCs/>
          <w:color w:val="1E3A5F"/>
          <w:sz w:val="36"/>
          <w:szCs w:val="36"/>
        </w:rPr>
        <w:t xml:space="preserve">SECTION 19 — PRODUCT ROADMAP OVERVIEW</w:t>
      </w:r>
    </w:p>
    <w:p>
      <w:pPr>
        <w:pBdr>
          <w:bottom w:val="single" w:color="AACCEE" w:sz="4" w:space="1"/>
        </w:pBd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960"/>
        <w:gridCol w:w="2200"/>
      </w:tblGrid>
      <w:tr>
        <w:tc>
          <w:tcPr>
            <w:tcW w:type="dxa" w:w="2200"/>
            <w:tcBorders>
              <w:top w:val="single" w:color="AACCEE" w:sz="1"/>
              <w:left w:val="single" w:color="AACCEE" w:sz="1"/>
              <w:bottom w:val="single" w:color="AACCEE" w:sz="1"/>
              <w:right w:val="single" w:color="AACCEE" w:sz="1"/>
            </w:tcBorders>
            <w:shd w:fill="1E3A5F" w:val="clear"/>
            <w:tcMar>
              <w:top w:type="dxa" w:w="80"/>
              <w:left w:type="dxa" w:w="120"/>
              <w:bottom w:type="dxa" w:w="80"/>
              <w:right w:type="dxa" w:w="120"/>
            </w:tcMar>
          </w:tcPr>
          <w:p>
            <w:r>
              <w:rPr>
                <w:b/>
                <w:bCs/>
                <w:color w:val="FFFFFF"/>
                <w:sz w:val="20"/>
                <w:szCs w:val="20"/>
              </w:rPr>
              <w:t xml:space="preserve">Phase</w:t>
            </w:r>
          </w:p>
        </w:tc>
        <w:tc>
          <w:tcPr>
            <w:tcW w:type="dxa" w:w="4960"/>
            <w:tcBorders>
              <w:top w:val="single" w:color="AACCEE" w:sz="1"/>
              <w:left w:val="single" w:color="AACCEE" w:sz="1"/>
              <w:bottom w:val="single" w:color="AACCEE" w:sz="1"/>
              <w:right w:val="single" w:color="AACCEE" w:sz="1"/>
            </w:tcBorders>
            <w:shd w:fill="1E3A5F" w:val="clear"/>
            <w:tcMar>
              <w:top w:type="dxa" w:w="80"/>
              <w:left w:type="dxa" w:w="120"/>
              <w:bottom w:type="dxa" w:w="80"/>
              <w:right w:type="dxa" w:w="120"/>
            </w:tcMar>
          </w:tcPr>
          <w:p>
            <w:r>
              <w:rPr>
                <w:b/>
                <w:bCs/>
                <w:color w:val="FFFFFF"/>
                <w:sz w:val="20"/>
                <w:szCs w:val="20"/>
              </w:rPr>
              <w:t xml:space="preserve">Milestone</w:t>
            </w:r>
          </w:p>
        </w:tc>
        <w:tc>
          <w:tcPr>
            <w:tcW w:type="dxa" w:w="2200"/>
            <w:tcBorders>
              <w:top w:val="single" w:color="AACCEE" w:sz="1"/>
              <w:left w:val="single" w:color="AACCEE" w:sz="1"/>
              <w:bottom w:val="single" w:color="AACCEE" w:sz="1"/>
              <w:right w:val="single" w:color="AACCEE" w:sz="1"/>
            </w:tcBorders>
            <w:shd w:fill="1E3A5F" w:val="clear"/>
            <w:tcMar>
              <w:top w:type="dxa" w:w="80"/>
              <w:left w:type="dxa" w:w="120"/>
              <w:bottom w:type="dxa" w:w="80"/>
              <w:right w:type="dxa" w:w="120"/>
            </w:tcMar>
          </w:tcPr>
          <w:p>
            <w:r>
              <w:rPr>
                <w:b/>
                <w:bCs/>
                <w:color w:val="FFFFFF"/>
                <w:sz w:val="20"/>
                <w:szCs w:val="20"/>
              </w:rPr>
              <w:t xml:space="preserve">Timeframe</w:t>
            </w:r>
          </w:p>
        </w:tc>
      </w:tr>
      <w:tr>
        <w:tc>
          <w:tcPr>
            <w:tcW w:type="dxa" w:w="220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Phase 0 — Validate</w:t>
            </w:r>
          </w:p>
        </w:tc>
        <w:tc>
          <w:tcPr>
            <w:tcW w:type="dxa" w:w="496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Concierge MVP: manually analyze 50 NDAs. Charge $49/report. Collect feedback.</w:t>
            </w:r>
          </w:p>
        </w:tc>
        <w:tc>
          <w:tcPr>
            <w:tcW w:type="dxa" w:w="220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Weeks 1-2</w:t>
            </w:r>
          </w:p>
        </w:tc>
      </w:tr>
      <w:tr>
        <w:tc>
          <w:tcPr>
            <w:tcW w:type="dxa" w:w="220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Phase 1 — MVP</w:t>
            </w:r>
          </w:p>
        </w:tc>
        <w:tc>
          <w:tcPr>
            <w:tcW w:type="dxa" w:w="496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Launch NDA Analyzer: upload, analyze, risk score, suggested edits, PDF export.</w:t>
            </w:r>
          </w:p>
        </w:tc>
        <w:tc>
          <w:tcPr>
            <w:tcW w:type="dxa" w:w="220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Month 1</w:t>
            </w:r>
          </w:p>
        </w:tc>
      </w:tr>
      <w:tr>
        <w:tc>
          <w:tcPr>
            <w:tcW w:type="dxa" w:w="220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Phase 2 — Growth</w:t>
            </w:r>
          </w:p>
        </w:tc>
        <w:tc>
          <w:tcPr>
            <w:tcW w:type="dxa" w:w="496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Add employment + SaaS contracts. Improve ML classifier. Run paid acquisition.</w:t>
            </w:r>
          </w:p>
        </w:tc>
        <w:tc>
          <w:tcPr>
            <w:tcW w:type="dxa" w:w="220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Month 2-3</w:t>
            </w:r>
          </w:p>
        </w:tc>
      </w:tr>
      <w:tr>
        <w:tc>
          <w:tcPr>
            <w:tcW w:type="dxa" w:w="220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Phase 3 — Retention</w:t>
            </w:r>
          </w:p>
        </w:tc>
        <w:tc>
          <w:tcPr>
            <w:tcW w:type="dxa" w:w="496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Add clause library, contract comparison, and lifecycle tracking.</w:t>
            </w:r>
          </w:p>
        </w:tc>
        <w:tc>
          <w:tcPr>
            <w:tcW w:type="dxa" w:w="220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Month 4-6</w:t>
            </w:r>
          </w:p>
        </w:tc>
      </w:tr>
      <w:tr>
        <w:tc>
          <w:tcPr>
            <w:tcW w:type="dxa" w:w="220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Phase 4 — Expansion</w:t>
            </w:r>
          </w:p>
        </w:tc>
        <w:tc>
          <w:tcPr>
            <w:tcW w:type="dxa" w:w="496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Add negotiation assistant, multi-jurisdiction support, team plans.</w:t>
            </w:r>
          </w:p>
        </w:tc>
        <w:tc>
          <w:tcPr>
            <w:tcW w:type="dxa" w:w="220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Month 7-9</w:t>
            </w:r>
          </w:p>
        </w:tc>
      </w:tr>
      <w:tr>
        <w:tc>
          <w:tcPr>
            <w:tcW w:type="dxa" w:w="220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Phase 5 — Enterprise</w:t>
            </w:r>
          </w:p>
        </w:tc>
        <w:tc>
          <w:tcPr>
            <w:tcW w:type="dxa" w:w="496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API, SSO, on-prem, DPA, market intelligence engine. Pursue enterprise deals.</w:t>
            </w:r>
          </w:p>
        </w:tc>
        <w:tc>
          <w:tcPr>
            <w:tcW w:type="dxa" w:w="220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Month 10-18</w:t>
            </w:r>
          </w:p>
        </w:tc>
      </w:tr>
      <w:tr>
        <w:tc>
          <w:tcPr>
            <w:tcW w:type="dxa" w:w="220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Phase 6 — Platform</w:t>
            </w:r>
          </w:p>
        </w:tc>
        <w:tc>
          <w:tcPr>
            <w:tcW w:type="dxa" w:w="496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Contract generation, autonomous negotiation agent, risk prediction model.</w:t>
            </w:r>
          </w:p>
        </w:tc>
        <w:tc>
          <w:tcPr>
            <w:tcW w:type="dxa" w:w="2200"/>
            <w:tcBorders>
              <w:top w:val="single" w:color="AACCEE" w:sz="1"/>
              <w:left w:val="single" w:color="AACCEE" w:sz="1"/>
              <w:bottom w:val="single" w:color="AACCEE" w:sz="1"/>
              <w:right w:val="single" w:color="AACCEE" w:sz="1"/>
            </w:tcBorders>
            <w:shd w:fill="EEF4FB" w:val="clear"/>
            <w:tcMar>
              <w:top w:type="dxa" w:w="60"/>
              <w:left w:type="dxa" w:w="120"/>
              <w:bottom w:type="dxa" w:w="60"/>
              <w:right w:type="dxa" w:w="120"/>
            </w:tcMar>
          </w:tcPr>
          <w:p>
            <w:r>
              <w:rPr>
                <w:color w:val="222222"/>
                <w:sz w:val="20"/>
                <w:szCs w:val="20"/>
              </w:rPr>
              <w:t xml:space="preserve">Year 2+</w:t>
            </w:r>
          </w:p>
        </w:tc>
      </w:tr>
    </w:tbl>
    <w:p>
      <w:r>
        <w:rPr>
          <w:sz w:val="22"/>
          <w:szCs w:val="22"/>
        </w:rPr>
        <w:t xml:space="preserve"/>
      </w:r>
    </w:p>
    <w:p>
      <w:pPr>
        <w:pStyle w:val="Heading1"/>
        <w:spacing w:before="360" w:after="120"/>
      </w:pPr>
      <w:r>
        <w:rPr>
          <w:b/>
          <w:bCs/>
          <w:color w:val="1E3A5F"/>
          <w:sz w:val="36"/>
          <w:szCs w:val="36"/>
        </w:rPr>
        <w:t xml:space="preserve">FINAL NOTE — HOW TO WIN</w:t>
      </w:r>
    </w:p>
    <w:p>
      <w:pPr>
        <w:pBdr>
          <w:bottom w:val="single" w:color="AACCEE" w:sz="4" w:space="1"/>
        </w:pBdr>
        <w:spacing w:before="120" w:after="120"/>
      </w:pPr>
      <w:r>
        <w:t xml:space="preserve"/>
      </w:r>
    </w:p>
    <w:p>
      <w:pPr>
        <w:spacing w:before="60" w:after="60"/>
      </w:pPr>
      <w:r>
        <w:rPr>
          <w:color w:val="222222"/>
          <w:sz w:val="22"/>
          <w:szCs w:val="22"/>
        </w:rPr>
        <w:t xml:space="preserve">The legal industry is one of the last major industries to be transformed by AI. The companies that will win are not those that build the most features — they are those that build the most TRUSTED product in a specific niche and then expand.</w:t>
      </w:r>
    </w:p>
    <w:p>
      <w:r>
        <w:rPr>
          <w:sz w:val="22"/>
          <w:szCs w:val="22"/>
        </w:rPr>
        <w:t xml:space="preserve"/>
      </w:r>
    </w:p>
    <w:p>
      <w:pPr>
        <w:spacing w:before="60" w:after="60"/>
      </w:pPr>
      <w:r>
        <w:rPr>
          <w:color w:val="222222"/>
          <w:sz w:val="22"/>
          <w:szCs w:val="22"/>
        </w:rPr>
        <w:t xml:space="preserve">Your strategy: Start narrow (NDA analyzer). Prove accuracy. Build trust. Get 100 paying users. Then expand one contract type at a time. By Month 12, you have a full AI Contract Copilot with thousands of users and a growing recurring revenue base.</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CCEE" w:sz="1"/>
              <w:left w:val="single" w:color="AACCEE" w:sz="1"/>
              <w:bottom w:val="single" w:color="AACCEE" w:sz="1"/>
              <w:right w:val="single" w:color="AACCEE" w:sz="1"/>
            </w:tcBorders>
            <w:shd w:fill="1E3A5F" w:val="clear"/>
            <w:tcMar>
              <w:top w:type="dxa" w:w="80"/>
              <w:left w:type="dxa" w:w="160"/>
              <w:bottom w:type="dxa" w:w="80"/>
              <w:right w:type="dxa" w:w="160"/>
            </w:tcMar>
          </w:tcPr>
          <w:p>
            <w:r>
              <w:rPr>
                <w:b/>
                <w:bCs/>
                <w:color w:val="FFFFFF"/>
                <w:sz w:val="22"/>
                <w:szCs w:val="22"/>
              </w:rPr>
              <w:t xml:space="preserve">The Winning Formula</w:t>
            </w:r>
          </w:p>
        </w:tc>
      </w:tr>
      <w:tr>
        <w:tc>
          <w:tcPr>
            <w:tcW w:type="dxa" w:w="9360"/>
            <w:tcBorders>
              <w:top w:val="single" w:color="AACCEE" w:sz="1"/>
              <w:left w:val="single" w:color="AACCEE" w:sz="1"/>
              <w:bottom w:val="single" w:color="AACCEE" w:sz="1"/>
              <w:right w:val="single" w:color="AACCEE" w:sz="1"/>
            </w:tcBorders>
            <w:shd w:fill="F0F7EE" w:val="clear"/>
            <w:tcMar>
              <w:top w:type="dxa" w:w="60"/>
              <w:left w:type="dxa" w:w="160"/>
              <w:bottom w:type="dxa" w:w="60"/>
              <w:right w:type="dxa" w:w="160"/>
            </w:tcMar>
          </w:tcPr>
          <w:p>
            <w:r>
              <w:rPr>
                <w:color w:val="222222"/>
                <w:sz w:val="21"/>
                <w:szCs w:val="21"/>
              </w:rPr>
              <w:t xml:space="preserve">1. Build: NDA Analyzer MVP in 30 days. 3 features only: upload, analyze, risk report.</w:t>
            </w:r>
          </w:p>
        </w:tc>
      </w:tr>
      <w:tr>
        <w:tc>
          <w:tcPr>
            <w:tcW w:type="dxa" w:w="9360"/>
            <w:tcBorders>
              <w:top w:val="single" w:color="AACCEE" w:sz="1"/>
              <w:left w:val="single" w:color="AACCEE" w:sz="1"/>
              <w:bottom w:val="single" w:color="AACCEE" w:sz="1"/>
              <w:right w:val="single" w:color="AACCEE" w:sz="1"/>
            </w:tcBorders>
            <w:shd w:fill="F0F7EE" w:val="clear"/>
            <w:tcMar>
              <w:top w:type="dxa" w:w="60"/>
              <w:left w:type="dxa" w:w="160"/>
              <w:bottom w:type="dxa" w:w="60"/>
              <w:right w:type="dxa" w:w="160"/>
            </w:tcMar>
          </w:tcPr>
          <w:p>
            <w:r>
              <w:rPr>
                <w:color w:val="222222"/>
                <w:sz w:val="21"/>
                <w:szCs w:val="21"/>
              </w:rPr>
              <w:t xml:space="preserve">2. Validate: Concierge MVP first — manually analyze contracts for first 20 users. Charge $49 each.</w:t>
            </w:r>
          </w:p>
        </w:tc>
      </w:tr>
      <w:tr>
        <w:tc>
          <w:tcPr>
            <w:tcW w:type="dxa" w:w="9360"/>
            <w:tcBorders>
              <w:top w:val="single" w:color="AACCEE" w:sz="1"/>
              <w:left w:val="single" w:color="AACCEE" w:sz="1"/>
              <w:bottom w:val="single" w:color="AACCEE" w:sz="1"/>
              <w:right w:val="single" w:color="AACCEE" w:sz="1"/>
            </w:tcBorders>
            <w:shd w:fill="F0F7EE" w:val="clear"/>
            <w:tcMar>
              <w:top w:type="dxa" w:w="60"/>
              <w:left w:type="dxa" w:w="160"/>
              <w:bottom w:type="dxa" w:w="60"/>
              <w:right w:type="dxa" w:w="160"/>
            </w:tcMar>
          </w:tcPr>
          <w:p>
            <w:r>
              <w:rPr>
                <w:color w:val="222222"/>
                <w:sz w:val="21"/>
                <w:szCs w:val="21"/>
              </w:rPr>
              <w:t xml:space="preserve">3. Launch: Product Hunt, founder communities, cold outreach to lawyers.</w:t>
            </w:r>
          </w:p>
        </w:tc>
      </w:tr>
      <w:tr>
        <w:tc>
          <w:tcPr>
            <w:tcW w:type="dxa" w:w="9360"/>
            <w:tcBorders>
              <w:top w:val="single" w:color="AACCEE" w:sz="1"/>
              <w:left w:val="single" w:color="AACCEE" w:sz="1"/>
              <w:bottom w:val="single" w:color="AACCEE" w:sz="1"/>
              <w:right w:val="single" w:color="AACCEE" w:sz="1"/>
            </w:tcBorders>
            <w:shd w:fill="F0F7EE" w:val="clear"/>
            <w:tcMar>
              <w:top w:type="dxa" w:w="60"/>
              <w:left w:type="dxa" w:w="160"/>
              <w:bottom w:type="dxa" w:w="60"/>
              <w:right w:type="dxa" w:w="160"/>
            </w:tcMar>
          </w:tcPr>
          <w:p>
            <w:r>
              <w:rPr>
                <w:color w:val="222222"/>
                <w:sz w:val="21"/>
                <w:szCs w:val="21"/>
              </w:rPr>
              <w:t xml:space="preserve">4. Iterate: Fix biggest pain points reported by early users. Add negotiation suggestions next.</w:t>
            </w:r>
          </w:p>
        </w:tc>
      </w:tr>
      <w:tr>
        <w:tc>
          <w:tcPr>
            <w:tcW w:type="dxa" w:w="9360"/>
            <w:tcBorders>
              <w:top w:val="single" w:color="AACCEE" w:sz="1"/>
              <w:left w:val="single" w:color="AACCEE" w:sz="1"/>
              <w:bottom w:val="single" w:color="AACCEE" w:sz="1"/>
              <w:right w:val="single" w:color="AACCEE" w:sz="1"/>
            </w:tcBorders>
            <w:shd w:fill="F0F7EE" w:val="clear"/>
            <w:tcMar>
              <w:top w:type="dxa" w:w="60"/>
              <w:left w:type="dxa" w:w="160"/>
              <w:bottom w:type="dxa" w:w="60"/>
              <w:right w:type="dxa" w:w="160"/>
            </w:tcMar>
          </w:tcPr>
          <w:p>
            <w:r>
              <w:rPr>
                <w:color w:val="222222"/>
                <w:sz w:val="21"/>
                <w:szCs w:val="21"/>
              </w:rPr>
              <w:t xml:space="preserve">5. Expand: Employment contracts, SaaS contracts, clause library, lifecycle tracking.</w:t>
            </w:r>
          </w:p>
        </w:tc>
      </w:tr>
      <w:tr>
        <w:tc>
          <w:tcPr>
            <w:tcW w:type="dxa" w:w="9360"/>
            <w:tcBorders>
              <w:top w:val="single" w:color="AACCEE" w:sz="1"/>
              <w:left w:val="single" w:color="AACCEE" w:sz="1"/>
              <w:bottom w:val="single" w:color="AACCEE" w:sz="1"/>
              <w:right w:val="single" w:color="AACCEE" w:sz="1"/>
            </w:tcBorders>
            <w:shd w:fill="F0F7EE" w:val="clear"/>
            <w:tcMar>
              <w:top w:type="dxa" w:w="60"/>
              <w:left w:type="dxa" w:w="160"/>
              <w:bottom w:type="dxa" w:w="60"/>
              <w:right w:type="dxa" w:w="160"/>
            </w:tcMar>
          </w:tcPr>
          <w:p>
            <w:r>
              <w:rPr>
                <w:color w:val="222222"/>
                <w:sz w:val="21"/>
                <w:szCs w:val="21"/>
              </w:rPr>
              <w:t xml:space="preserve">6. Scale: Enterprise plans, market intelligence, negotiation agent, $100M vision.</w:t>
            </w:r>
          </w:p>
        </w:tc>
      </w:tr>
    </w:tbl>
    <w:p>
      <w:r>
        <w:rPr>
          <w:sz w:val="22"/>
          <w:szCs w:val="22"/>
        </w:rPr>
        <w:t xml:space="preserve"/>
      </w:r>
    </w:p>
    <w:p>
      <w:pPr>
        <w:spacing w:before="240" w:after="80"/>
        <w:jc w:val="center"/>
      </w:pPr>
      <w:r>
        <w:rPr>
          <w:b/>
          <w:bCs/>
          <w:color w:val="1E3A5F"/>
          <w:sz w:val="28"/>
          <w:szCs w:val="28"/>
        </w:rPr>
        <w:t xml:space="preserve">AI Contract Copilot — Your Complete Build Blueprint</w:t>
      </w:r>
    </w:p>
    <w:p>
      <w:pPr>
        <w:jc w:val="center"/>
      </w:pPr>
      <w:r>
        <w:rPr>
          <w:i/>
          <w:iCs/>
          <w:color w:val="555555"/>
          <w:sz w:val="24"/>
          <w:szCs w:val="24"/>
        </w:rPr>
        <w:t xml:space="preserve">Build it. Ship it. Win the legal AI market.</w:t>
      </w:r>
    </w:p>
    <w:sectPr>
      <w:footerReference w:type="default" r:id="rId6"/>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AI Contract Copilot — Complete Build Blueprint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E3A5F"/>
      <w:sz w:val="36"/>
      <w:szCs w:val="36"/>
    </w:rPr>
  </w:style>
  <w:style w:type="paragraph" w:styleId="Heading2">
    <w:name w:val="Heading 2"/>
    <w:basedOn w:val="Normal"/>
    <w:next w:val="Normal"/>
    <w:qFormat/>
    <w:pPr>
      <w:spacing w:before="240" w:after="80"/>
      <w:outlineLvl w:val="1"/>
    </w:pPr>
    <w:rPr>
      <w:rFonts w:ascii="Arial" w:cs="Arial" w:eastAsia="Arial" w:hAnsi="Arial"/>
      <w:b/>
      <w:bCs/>
      <w:color w:val="2E86AB"/>
      <w:sz w:val="28"/>
      <w:szCs w:val="28"/>
    </w:rPr>
  </w:style>
  <w:style w:type="paragraph" w:styleId="Heading3">
    <w:name w:val="Heading 3"/>
    <w:basedOn w:val="Normal"/>
    <w:next w:val="Normal"/>
    <w:qFormat/>
    <w:pPr>
      <w:spacing w:before="180" w:after="6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2026-03-08T06:40:26.127Z</dcterms:created>
  <dcterms:modified xsi:type="dcterms:W3CDTF">2026-03-08T06:40:26.128Z</dcterms:modified>
</cp:coreProperties>
</file>

<file path=docProps/custom.xml><?xml version="1.0" encoding="utf-8"?>
<Properties xmlns="http://schemas.openxmlformats.org/officeDocument/2006/custom-properties" xmlns:vt="http://schemas.openxmlformats.org/officeDocument/2006/docPropsVTypes"/>
</file>