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D2E"/>
          <w:sz w:val="44"/>
        </w:rPr>
        <w:t>🌿 ArecaLens — Comprehensive Project Summary</w:t>
      </w:r>
    </w:p>
    <w:p>
      <w:pPr>
        <w:jc w:val="center"/>
      </w:pPr>
      <w:r>
        <w:rPr>
          <w:i/>
          <w:color w:val="505F50"/>
          <w:sz w:val="22"/>
        </w:rPr>
        <w:t>Explainable AI (XAI) &amp; Knowledge-Grounded Agricultural Assistant for Arecanut Disease Detection</w:t>
        <w:br/>
        <w:t>Full Engineering &amp; Project Delivery Report</w:t>
      </w:r>
    </w:p>
    <w:p>
      <w:pPr>
        <w:spacing w:after="200"/>
      </w:pPr>
    </w:p>
    <w:p>
      <w:pPr>
        <w:keepNext/>
        <w:spacing w:before="280" w:after="80"/>
      </w:pPr>
      <w:r>
        <w:rPr>
          <w:b/>
          <w:color w:val="1A4D2E"/>
          <w:sz w:val="28"/>
        </w:rPr>
        <w:t>1. Executive Summary &amp; Purpose</w:t>
      </w:r>
    </w:p>
    <w:p>
      <w:pPr>
        <w:spacing w:after="120"/>
      </w:pPr>
      <w:r>
        <w:t>ArecaLens is an end-to-end, safety-first Explainable Artificial Intelligence (XAI) screening aid and knowledge-grounded agricultural assistant developed specifically for arecanut (Areca catechu) growers in Karnataka and Kerala, India. The project directly targets devastating crop diseases—predominantly Mahali / Koleroga (fruit rot caused by Phytophthora meadii) and Yellow Leaf Disease (YLD)—providing instant screening, visual explanations via Class Activation Maps (CAM), and zero-hallucination agricultural guidance.</w:t>
      </w:r>
    </w:p>
    <w:p>
      <w:pPr>
        <w:spacing w:after="160"/>
      </w:pPr>
      <w:r>
        <w:t>Unlike generic agricultural apps that risk farmer livelihood through automated hallucinations or misleading overconfidence, ArecaLens enforces rigorous guardrails: protective high-confidence thresholds (labeling uncertain cases as 'Unsure'), zero chemical dosage invention, strict refusal of off-label recommendations, and complete local privacy without photo storage.</w:t>
      </w:r>
    </w:p>
    <w:p>
      <w:pPr>
        <w:keepNext/>
        <w:spacing w:before="280" w:after="80"/>
      </w:pPr>
      <w:r>
        <w:rPr>
          <w:b/>
          <w:color w:val="1A4D2E"/>
          <w:sz w:val="28"/>
        </w:rPr>
        <w:t>2. System Architecture &amp;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312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Key Responsibilities</w:t>
            </w:r>
          </w:p>
        </w:tc>
      </w:tr>
      <w:tr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Web Frontend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React 19, Vite, Vanilla CSS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WCAG AA accessible UI, interactive CAM heatmap slider, multilingual switching (EN, KN, HI, ML), local 8-scan history.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Backend Server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FastAPI (Python 3.13), Uvicorn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Async API endpoints, threadpool inference, zero-logging farmer privacy, unified static production serving.</w:t>
            </w:r>
          </w:p>
        </w:tc>
      </w:tr>
      <w:tr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Computer Vision &amp; XAI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TensorFlow 2.21, Keras, TFLite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MobileNetV3Small classification, 224x224 half-pixel preprocessing, deterministic CAM heatmap computation.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Offline Chatbot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Pure Python Standard Library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Deterministic TF-IDF, synonym mapping, strict retrieval from 27 vetted FAQ entries &amp; disease guides. Zero hallucinations.</w:t>
            </w:r>
          </w:p>
        </w:tc>
      </w:tr>
      <w:tr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Online LLM Proxy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OpenAI-compatible client</w:t>
            </w:r>
          </w:p>
        </w:tc>
        <w:tc>
          <w:tcPr>
            <w:tcW w:type="dxa" w:w="3312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Optional server-configured RAG with Google Gemini / Groq; strict regex post-checks blocking unvetted doses &amp; certainty claims.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A4D2E"/>
          <w:sz w:val="28"/>
        </w:rPr>
        <w:t>3. Computer Vision &amp; Explainable AI (XAI) Pipeline</w:t>
      </w:r>
    </w:p>
    <w:p>
      <w:pPr>
        <w:spacing w:after="60"/>
        <w:ind w:left="360"/>
      </w:pPr>
      <w:r>
        <w:rPr>
          <w:b/>
          <w:color w:val="1E281E"/>
        </w:rPr>
        <w:t xml:space="preserve">Target Disease Classes: </w:t>
      </w:r>
      <w:r>
        <w:rPr>
          <w:color w:val="323732"/>
        </w:rPr>
        <w:t>Healthy Leaf, Healthy Nut, Mahali/Koleroga (Fruit rot), and Yellow Leaf Disease (YLD).</w:t>
      </w:r>
    </w:p>
    <w:p>
      <w:pPr>
        <w:spacing w:after="60"/>
        <w:ind w:left="360"/>
      </w:pPr>
      <w:r>
        <w:rPr>
          <w:b/>
          <w:color w:val="1E281E"/>
        </w:rPr>
        <w:t xml:space="preserve">Protective Confidence Thresholding: </w:t>
      </w:r>
      <w:r>
        <w:rPr>
          <w:color w:val="323732"/>
        </w:rPr>
        <w:t>Healthy classes require &gt;= 0.95 confidence; diseased classes require &gt;= 0.70 confidence. Any score falling below these cutoffs is classified as 'Unsure', shielding farmers from false reassurance.</w:t>
      </w:r>
    </w:p>
    <w:p>
      <w:pPr>
        <w:spacing w:after="60"/>
        <w:ind w:left="360"/>
      </w:pPr>
      <w:r>
        <w:rPr>
          <w:b/>
          <w:color w:val="1E281E"/>
        </w:rPr>
        <w:t xml:space="preserve">Deterministic Class Activation Mapping (CAM): </w:t>
      </w:r>
      <w:r>
        <w:rPr>
          <w:color w:val="323732"/>
        </w:rPr>
        <w:t>Computes heatmap = ReLU(features * W_eff), overlaid directly onto the input image. Highlights the exact biological symptoms (lesions, discolorations) guiding the neural network.</w:t>
      </w:r>
    </w:p>
    <w:p>
      <w:pPr>
        <w:spacing w:after="60"/>
        <w:ind w:left="360"/>
      </w:pPr>
      <w:r>
        <w:rPr>
          <w:b/>
          <w:color w:val="1E281E"/>
        </w:rPr>
        <w:t xml:space="preserve">Preprocessing &amp; Parity Validation: </w:t>
      </w:r>
      <w:r>
        <w:rPr>
          <w:color w:val="323732"/>
        </w:rPr>
        <w:t>Strict 224x224 bilinear interpolation adhering to TensorFlow half-pixel centers (float32 [0, 255]), mathematically validated against Google Colab baseline exports.</w:t>
      </w:r>
    </w:p>
    <w:p>
      <w:pPr>
        <w:keepNext/>
        <w:spacing w:before="280" w:after="80"/>
      </w:pPr>
      <w:r>
        <w:rPr>
          <w:b/>
          <w:color w:val="1A4D2E"/>
          <w:sz w:val="28"/>
        </w:rPr>
        <w:t>4. Multilingual Offline Agricultural Chatbot ('Ask' Tab)</w:t>
      </w:r>
    </w:p>
    <w:p>
      <w:pPr>
        <w:spacing w:after="60"/>
        <w:ind w:left="360"/>
      </w:pPr>
      <w:r>
        <w:rPr>
          <w:b/>
          <w:color w:val="1E281E"/>
        </w:rPr>
        <w:t xml:space="preserve">100% Knowledge Grounding: </w:t>
      </w:r>
      <w:r>
        <w:rPr>
          <w:color w:val="323732"/>
        </w:rPr>
        <w:t>All offline responses originate directly from verified data files (chatbot_faq.json, disease_info.json). Completely offline, requiring no internet connectivity or cloud credits.</w:t>
      </w:r>
    </w:p>
    <w:p>
      <w:pPr>
        <w:spacing w:after="60"/>
        <w:ind w:left="360"/>
      </w:pPr>
      <w:r>
        <w:rPr>
          <w:b/>
          <w:color w:val="1E281E"/>
        </w:rPr>
        <w:t xml:space="preserve">Active Result Contextualization: </w:t>
      </w:r>
      <w:r>
        <w:rPr>
          <w:color w:val="323732"/>
        </w:rPr>
        <w:t>Features a dynamic 'About your last result' chip connecting screening outcomes to recommended next steps without re-uploading photos.</w:t>
      </w:r>
    </w:p>
    <w:p>
      <w:pPr>
        <w:spacing w:after="60"/>
        <w:ind w:left="360"/>
      </w:pPr>
      <w:r>
        <w:rPr>
          <w:b/>
          <w:color w:val="1E281E"/>
        </w:rPr>
        <w:t xml:space="preserve">Critical Safety Guardrails: </w:t>
      </w:r>
      <w:r>
        <w:rPr>
          <w:color w:val="323732"/>
        </w:rPr>
        <w:br/>
        <w:t xml:space="preserve">  • _DOSE: Strict refusal of numeric spray volumes/concentrations; directs farmers to KVKs.</w:t>
        <w:br/>
        <w:t xml:space="preserve">  • _HEALTH: Intercepts poison/pesticide ingestion and urges immediate emergency medical attention.</w:t>
        <w:br/>
        <w:t xml:space="preserve">  • _CONFIRM: Restricts terminology to 'suspected screening aid', strictly prohibiting false diagnosis certainty.</w:t>
        <w:br/>
        <w:t xml:space="preserve">  • _OUT: Gracefully declines non-arecanut queries (market rates, weather, unrelated crops).</w:t>
      </w:r>
    </w:p>
    <w:p>
      <w:pPr>
        <w:spacing w:after="60"/>
        <w:ind w:left="360"/>
      </w:pPr>
      <w:r>
        <w:rPr>
          <w:b/>
          <w:color w:val="1E281E"/>
        </w:rPr>
        <w:t xml:space="preserve">Multilingual Reach: </w:t>
      </w:r>
      <w:r>
        <w:rPr>
          <w:color w:val="323732"/>
        </w:rPr>
        <w:t>Full translations and localized chips in English, Kannada, Hindi, and Malayalam with visible 'Draft translation' audit badges.</w:t>
      </w:r>
    </w:p>
    <w:p>
      <w:pPr>
        <w:keepNext/>
        <w:spacing w:before="280" w:after="80"/>
      </w:pPr>
      <w:r>
        <w:rPr>
          <w:b/>
          <w:color w:val="1A4D2E"/>
          <w:sz w:val="28"/>
        </w:rPr>
        <w:t>5. Online 'Ask More' Cloud LLM Proxy</w:t>
      </w:r>
    </w:p>
    <w:p>
      <w:pPr>
        <w:spacing w:after="80"/>
      </w:pPr>
      <w:r>
        <w:t>For complex farmer queries beyond canned FAQs, ArecaLens features an optional server-side LLM proxy (/api/chat/online) grounded via RAG (Retrieval-Augmented Generation):</w:t>
      </w:r>
    </w:p>
    <w:p>
      <w:pPr>
        <w:spacing w:after="60"/>
        <w:ind w:left="360"/>
      </w:pPr>
      <w:r>
        <w:rPr>
          <w:b/>
          <w:color w:val="1E281E"/>
        </w:rPr>
        <w:t xml:space="preserve">Bounded Context Retrieval: </w:t>
      </w:r>
      <w:r>
        <w:rPr>
          <w:color w:val="323732"/>
        </w:rPr>
        <w:t>Retrieves top-3 relevant FAQ entries and current class guidance as strict context. Prompts enforce under 120 words with zero dose advice.</w:t>
      </w:r>
    </w:p>
    <w:p>
      <w:pPr>
        <w:spacing w:after="60"/>
        <w:ind w:left="360"/>
      </w:pPr>
      <w:r>
        <w:rPr>
          <w:b/>
          <w:color w:val="1E281E"/>
        </w:rPr>
        <w:t xml:space="preserve">Strict Safety Post-Checks: </w:t>
      </w:r>
      <w:r>
        <w:rPr>
          <w:color w:val="323732"/>
        </w:rPr>
        <w:t>Server-side regex automatically inspects the generated response before returning it to the user. If the model invents any ungrounded unit (ml, g, kg, litre, ppm, %) or certainty word ('definitely', 'confirmed'), the reply is discarded and replaced with verified guide text.</w:t>
      </w:r>
    </w:p>
    <w:p>
      <w:pPr>
        <w:spacing w:after="60"/>
        <w:ind w:left="360"/>
      </w:pPr>
      <w:r>
        <w:rPr>
          <w:b/>
          <w:color w:val="1E281E"/>
        </w:rPr>
        <w:t xml:space="preserve">Farmer Privacy &amp; Badging: </w:t>
      </w:r>
      <w:r>
        <w:rPr>
          <w:color w:val="323732"/>
        </w:rPr>
        <w:t>First-use privacy consent modal explicitly outlines what is transmitted (text query only; never photos). Clear badging labels outputs as 'AI-generated • Verify with officer'.</w:t>
      </w:r>
    </w:p>
    <w:p>
      <w:pPr>
        <w:keepNext/>
        <w:spacing w:before="280" w:after="80"/>
      </w:pPr>
      <w:r>
        <w:rPr>
          <w:b/>
          <w:color w:val="1A4D2E"/>
          <w:sz w:val="28"/>
        </w:rPr>
        <w:t>6. Comprehensive Verification &amp; Evaluation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Evaluation Suite</w:t>
            </w:r>
          </w:p>
        </w:tc>
        <w:tc>
          <w:tcPr>
            <w:tcW w:type="dxa" w:w="2484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Component</w:t>
            </w:r>
          </w:p>
        </w:tc>
        <w:tc>
          <w:tcPr>
            <w:tcW w:type="dxa" w:w="2484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Results</w:t>
            </w:r>
          </w:p>
        </w:tc>
        <w:tc>
          <w:tcPr>
            <w:tcW w:type="dxa" w:w="2484"/>
            <w:shd w:fill="2E754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Compliance Rate</w:t>
            </w:r>
          </w:p>
        </w:tc>
      </w:tr>
      <w:tr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Backend Pytest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FastAPI, Models, CAM, Chat API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83 passed, 0 failed in 2.48s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6E32"/>
                <w:sz w:val="19"/>
              </w:rPr>
              <w:t>100% Pass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Frontend Vitest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AskTab, Slider, Local History, UI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30 passed across 8 test suites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6E32"/>
                <w:sz w:val="19"/>
              </w:rPr>
              <w:t>100% Pass</w:t>
            </w:r>
          </w:p>
        </w:tc>
      </w:tr>
      <w:tr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Chatbot Dev Set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64 representative farmer questions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64 / 64 exact intent/FAQ match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6E32"/>
                <w:sz w:val="19"/>
              </w:rPr>
              <w:t>100% Match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Chatbot Unseen Set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 unseen, paraphrased questions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15/20 exact (75%), 20/20 safe outcomes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6E32"/>
                <w:sz w:val="19"/>
              </w:rPr>
              <w:t>100% Safe (Exceeds &gt;=70%)</w:t>
            </w:r>
          </w:p>
        </w:tc>
      </w:tr>
      <w:tr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Chemical Doses Audit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All dev &amp; unseen test runs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0 unverified doses generated</w:t>
            </w:r>
          </w:p>
        </w:tc>
        <w:tc>
          <w:tcPr>
            <w:tcW w:type="dxa" w:w="2484"/>
            <w:shd w:fill="F4F7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6E32"/>
                <w:sz w:val="19"/>
              </w:rPr>
              <w:t>100% Safe (Strict 0)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A4D2E"/>
          <w:sz w:val="28"/>
        </w:rPr>
        <w:t>7. Companion Flutter Mobile Application</w:t>
      </w:r>
    </w:p>
    <w:p>
      <w:pPr>
        <w:spacing w:after="160"/>
      </w:pPr>
      <w:r>
        <w:t>Located in the mobile/ directory, a Flutter cross-platform mobile application was developed to complement the web app. It includes local farmer onboarding, 5-tab navigation, camera/gallery image capture, offline network indicators, and a pure Dart chat engine with 100% golden parity to the backend logic.</w:t>
      </w:r>
    </w:p>
    <w:p>
      <w:pPr>
        <w:keepNext/>
        <w:spacing w:before="280" w:after="80"/>
      </w:pPr>
      <w:r>
        <w:rPr>
          <w:b/>
          <w:color w:val="1A4D2E"/>
          <w:sz w:val="28"/>
        </w:rPr>
        <w:t>8. How to Run the Website</w:t>
      </w:r>
    </w:p>
    <w:p>
      <w:pPr>
        <w:spacing w:after="80"/>
      </w:pPr>
      <w:r>
        <w:t>The application serves both the React UI and FastAPI API from a single local port:</w:t>
      </w:r>
    </w:p>
    <w:p>
      <w:pPr>
        <w:ind w:left="432"/>
      </w:pPr>
      <w:r>
        <w:rPr>
          <w:rFonts w:ascii="Consolas" w:hAnsi="Consolas"/>
          <w:color w:val="1E4628"/>
          <w:sz w:val="19"/>
        </w:rPr>
        <w:t>Double-click start.cmd</w:t>
        <w:br/>
        <w:t># OR run in PowerShell:</w:t>
        <w:br/>
        <w:t>.\backend\.venv\Scripts\python.exe -m uvicorn backend.main:app --host 127.0.0.1 --port 8000</w:t>
        <w:br/>
        <w:t>-&gt; Open http://127.0.0.1:8000 in your browser.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D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