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pPr>
      <w:r>
        <w:rPr>
          <w:rFonts w:ascii="Arial" w:cs="Arial" w:eastAsia="Arial" w:hAnsi="Arial"/>
          <w:b/>
          <w:bCs/>
          <w:i w:val="false"/>
          <w:iCs w:val="false"/>
          <w:color w:val="C74634"/>
          <w:sz w:val="52"/>
          <w:szCs w:val="52"/>
        </w:rPr>
        <w:t xml:space="preserve">POINT OF VIEW</w:t>
      </w:r>
    </w:p>
    <w:p>
      <w:pPr>
        <w:spacing w:after="100"/>
      </w:pPr>
      <w:r>
        <w:rPr>
          <w:rFonts w:ascii="Arial" w:cs="Arial" w:eastAsia="Arial" w:hAnsi="Arial"/>
          <w:b/>
          <w:bCs/>
          <w:i w:val="false"/>
          <w:iCs w:val="false"/>
          <w:color w:val="8B0000"/>
          <w:sz w:val="36"/>
          <w:szCs w:val="36"/>
        </w:rPr>
        <w:t xml:space="preserve">Oracle Fusion Cloud Implementation Estimation</w:t>
      </w:r>
    </w:p>
    <w:p>
      <w:pPr>
        <w:pBdr>
          <w:bottom w:val="single" w:sz="10"/>
        </w:pBdr>
        <w:spacing w:after="80"/>
      </w:pPr>
      <w:r>
        <w:rPr>
          <w:rFonts w:ascii="Arial" w:cs="Arial" w:eastAsia="Arial" w:hAnsi="Arial"/>
          <w:b/>
          <w:bCs/>
          <w:i w:val="false"/>
          <w:iCs w:val="false"/>
          <w:color w:val="1A237E"/>
          <w:sz w:val="28"/>
          <w:szCs w:val="28"/>
        </w:rPr>
        <w:t xml:space="preserve">How Estimation Differs Across Industry Domains</w:t>
      </w:r>
    </w:p>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iCs/>
          <w:color w:val="757575"/>
          <w:sz w:val="18"/>
          <w:szCs w:val="18"/>
        </w:rPr>
        <w:t xml:space="preserve">Why the same Oracle module costs very different amounts to implement depending on who the client is — and why a one-size-fits-all estimate is almost always wrong.</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200"/>
        <w:gridCol w:w="24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Ref</w:t>
            </w:r>
          </w:p>
        </w:tc>
        <w:tc>
          <w:tcPr>
            <w:tcW w:type="dxa" w:w="5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Audience</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Version</w:t>
            </w:r>
          </w:p>
        </w:tc>
        <w:tc>
          <w:tcPr>
            <w:tcW w:type="dxa" w:w="2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Date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424242"/>
                <w:sz w:val="16"/>
                <w:szCs w:val="16"/>
              </w:rPr>
              <w:t xml:space="preserve">OFP-POV-DOMAIN-001</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Estimation CoE · Sales · Delivery Leads · Practice Heads</w:t>
            </w:r>
          </w:p>
        </w:tc>
        <w:tc>
          <w:tcPr>
            <w:tcW w:type="dxa" w:w="1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v1.0</w:t>
            </w:r>
          </w:p>
        </w:tc>
        <w:tc>
          <w:tcPr>
            <w:tcW w:type="dxa" w:w="2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July 2026</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30"/>
        <w:gridCol w:w="1530"/>
        <w:gridCol w:w="1530"/>
        <w:gridCol w:w="1530"/>
        <w:gridCol w:w="1530"/>
        <w:gridCol w:w="1530"/>
        <w:gridCol w:w="1530"/>
        <w:gridCol w:w="1530"/>
      </w:tblGrid>
      <w:tr>
        <w:trPr>
          <w:tblHeader/>
        </w:trPr>
        <w:tc>
          <w:tcPr>
            <w:tcW w:type="dxa" w:w="153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Domains Covered</w:t>
            </w:r>
          </w:p>
        </w:tc>
        <w:tc>
          <w:tcPr>
            <w:tcW w:type="dxa" w:w="153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
            </w:r>
          </w:p>
        </w:tc>
        <w:tc>
          <w:tcPr>
            <w:tcW w:type="dxa" w:w="153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
            </w:r>
          </w:p>
        </w:tc>
        <w:tc>
          <w:tcPr>
            <w:tcW w:type="dxa" w:w="153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
            </w:r>
          </w:p>
        </w:tc>
        <w:tc>
          <w:tcPr>
            <w:tcW w:type="dxa" w:w="153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
            </w:r>
          </w:p>
        </w:tc>
        <w:tc>
          <w:tcPr>
            <w:tcW w:type="dxa" w:w="153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
            </w:r>
          </w:p>
        </w:tc>
        <w:tc>
          <w:tcPr>
            <w:tcW w:type="dxa" w:w="153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
            </w:r>
          </w:p>
        </w:tc>
        <w:tc>
          <w:tcPr>
            <w:tcW w:type="dxa" w:w="153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
            </w:r>
          </w:p>
        </w:tc>
      </w:tr>
      <w:tr>
        <w:tc>
          <w:tcPr>
            <w:tcW w:type="dxa" w:w="1530"/>
            <w:shd w:fill="E8EAF6"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1A237E"/>
                <w:sz w:val="16"/>
                <w:szCs w:val="16"/>
              </w:rPr>
              <w:t xml:space="preserve">BFSI</w:t>
            </w:r>
          </w:p>
        </w:tc>
        <w:tc>
          <w:tcPr>
            <w:tcW w:type="dxa" w:w="1530"/>
            <w:shd w:fill="E0F2F1"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00695C"/>
                <w:sz w:val="16"/>
                <w:szCs w:val="16"/>
              </w:rPr>
              <w:t xml:space="preserve">Manufacturing</w:t>
            </w:r>
          </w:p>
        </w:tc>
        <w:tc>
          <w:tcPr>
            <w:tcW w:type="dxa" w:w="153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Retail &amp; CPG</w:t>
            </w:r>
          </w:p>
        </w:tc>
        <w:tc>
          <w:tcPr>
            <w:tcW w:type="dxa" w:w="1530"/>
            <w:shd w:fill="E8F5E9"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Healthcare</w:t>
            </w:r>
          </w:p>
        </w:tc>
        <w:tc>
          <w:tcPr>
            <w:tcW w:type="dxa" w:w="1530"/>
            <w:shd w:fill="EFEBE9"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5D4037"/>
                <w:sz w:val="16"/>
                <w:szCs w:val="16"/>
              </w:rPr>
              <w:t xml:space="preserve">Energy</w:t>
            </w:r>
          </w:p>
        </w:tc>
        <w:tc>
          <w:tcPr>
            <w:tcW w:type="dxa" w:w="1530"/>
            <w:shd w:fill="F3E5F5"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6A1B9A"/>
                <w:sz w:val="16"/>
                <w:szCs w:val="16"/>
              </w:rPr>
              <w:t xml:space="preserve">Public Sector</w:t>
            </w:r>
          </w:p>
        </w:tc>
        <w:tc>
          <w:tcPr>
            <w:tcW w:type="dxa" w:w="1530"/>
            <w:shd w:fill="E0F7F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006064"/>
                <w:sz w:val="16"/>
                <w:szCs w:val="16"/>
              </w:rPr>
              <w:t xml:space="preserve">Prof. Services</w:t>
            </w:r>
          </w:p>
        </w:tc>
        <w:tc>
          <w:tcPr>
            <w:tcW w:type="dxa" w:w="153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7B5E00"/>
                <w:sz w:val="16"/>
                <w:szCs w:val="16"/>
              </w:rPr>
              <w:t xml:space="preserve">Logistics</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r>
        <w:br w:type="page"/>
      </w:r>
    </w:p>
    <w:p>
      <w:pPr>
        <w:pStyle w:val="Heading1"/>
        <w:pBdr>
          <w:bottom w:val="single" w:color="C74634" w:sz="8"/>
        </w:pBdr>
        <w:spacing w:after="120" w:before="300"/>
      </w:pPr>
      <w:r>
        <w:rPr>
          <w:rFonts w:ascii="Arial" w:cs="Arial" w:eastAsia="Arial" w:hAnsi="Arial"/>
          <w:b/>
          <w:bCs/>
          <w:i w:val="false"/>
          <w:iCs w:val="false"/>
          <w:color w:val="8B0000"/>
          <w:sz w:val="28"/>
          <w:szCs w:val="28"/>
        </w:rPr>
        <w:t xml:space="preserve">Executive Summary</w:t>
      </w:r>
    </w:p>
    <w:p>
      <w:pPr>
        <w:spacing w:after="100" w:before="0"/>
        <w:jc w:val="left"/>
      </w:pPr>
      <w:r>
        <w:rPr>
          <w:rFonts w:ascii="Arial" w:cs="Arial" w:eastAsia="Arial" w:hAnsi="Arial"/>
          <w:b w:val="false"/>
          <w:bCs w:val="false"/>
          <w:i w:val="false"/>
          <w:iCs w:val="false"/>
          <w:color w:val="000000"/>
          <w:sz w:val="18"/>
          <w:szCs w:val="18"/>
        </w:rPr>
        <w:t xml:space="preserve">Oracle Fusion Cloud is a single platform — but the effort required to implement it varies by as much as 3× across industry domains for the same module, the same complexity rating, and the same number of users. A payroll implementation for a manufacturing firm with 10 countries and shift-pay rules is fundamentally different from payroll for a professional services firm with salary-only employees in one country. An ERP financials implementation for a bank with regulatory capital reporting is not comparable to one for a retailer with high-volume transaction processing.</w:t>
      </w:r>
    </w:p>
    <w:p>
      <w:pPr>
        <w:spacing w:after="60"/>
      </w:pPr>
      <w:r>
        <w:rPr>
          <w:rFonts w:ascii="Arial" w:cs="Arial" w:eastAsia="Arial" w:hAnsi="Arial"/>
          <w:b w:val="false"/>
          <w:bCs w:val="false"/>
          <w:i w:val="false"/>
          <w:iCs w:val="false"/>
          <w:color w:val="000000"/>
          <w:sz w:val="18"/>
          <w:szCs w:val="18"/>
        </w:rPr>
        <w:t xml:space="preserve"/>
      </w:r>
    </w:p>
    <w:p>
      <w:pPr>
        <w:spacing w:after="100" w:before="0"/>
        <w:jc w:val="left"/>
      </w:pPr>
      <w:r>
        <w:rPr>
          <w:rFonts w:ascii="Arial" w:cs="Arial" w:eastAsia="Arial" w:hAnsi="Arial"/>
          <w:b w:val="false"/>
          <w:bCs w:val="false"/>
          <w:i w:val="false"/>
          <w:iCs w:val="false"/>
          <w:color w:val="000000"/>
          <w:sz w:val="18"/>
          <w:szCs w:val="18"/>
        </w:rPr>
        <w:t xml:space="preserve">This Point of View codifies those differences for the eight domains where Oracle Fusion implementation activity is concentrated. For each domain, it identifies:</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The modules that are scope-certain versus scope-variable for that industry</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The estimation drivers that are unique to the domain — the factors that most reliably explain why estimates for this domain are higher or lower than benchmark</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The SDLC phase where domain-specific complexity concentrates — and why</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The integration and data migration characteristics that differentiate the domain</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Typical complexity profile and what adjustments to make to the HL Estimator for this industry</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The top five risks that domain estimators consistently under-price</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C74634" w:color="auto" w:val="clear"/>
            <w:tcMar>
              <w:top w:type="dxa" w:w="70"/>
              <w:left w:type="dxa" w:w="130"/>
              <w:bottom w:type="dxa" w:w="70"/>
              <w:right w:type="dxa" w:w="120"/>
            </w:tcMar>
          </w:tcPr>
          <w:p>
            <w:pPr>
              <w:spacing w:after="60" w:before="60"/>
              <w:ind w:left="80"/>
            </w:pPr>
            <w:r>
              <w:rPr>
                <w:rFonts w:ascii="Arial" w:cs="Arial" w:eastAsia="Arial" w:hAnsi="Arial"/>
                <w:b/>
                <w:bCs/>
                <w:i w:val="false"/>
                <w:iCs w:val="false"/>
                <w:color w:val="FFFFFF"/>
                <w:sz w:val="19"/>
                <w:szCs w:val="19"/>
              </w:rPr>
              <w:t xml:space="preserve">The Fundamental Point of View</w:t>
            </w:r>
          </w:p>
        </w:tc>
      </w:tr>
      <w:tr>
        <w:tc>
          <w:tcPr>
            <w:tcW w:type="dxa" w:w="10080"/>
            <w:shd w:fill="FFF3CD" w:color="auto" w:val="clear"/>
            <w:tcMar>
              <w:top w:type="dxa" w:w="90"/>
              <w:left w:type="dxa" w:w="140"/>
              <w:bottom w:type="dxa" w:w="90"/>
              <w:right w:type="dxa" w:w="120"/>
            </w:tcMar>
          </w:tcPr>
          <w:p>
            <w:pPr>
              <w:spacing w:after="70"/>
              <w:ind w:left="80"/>
            </w:pPr>
            <w:r>
              <w:rPr>
                <w:rFonts w:ascii="Arial" w:cs="Arial" w:eastAsia="Arial" w:hAnsi="Arial"/>
                <w:b w:val="false"/>
                <w:bCs w:val="false"/>
                <w:i w:val="false"/>
                <w:iCs w:val="false"/>
                <w:color w:val="424242"/>
                <w:sz w:val="17"/>
                <w:szCs w:val="17"/>
              </w:rPr>
              <w:t xml:space="preserve">Estimation should begin with domain context, not with module count. Before opening the HL Estimator, the estimator should be able to answer five questions about the client's domain context — and the answers to those questions should adjust the estimate before a single component row is filled in.</w:t>
            </w:r>
          </w:p>
          <w:p>
            <w:pPr>
              <w:spacing w:after="70"/>
              <w:ind w:left="80"/>
            </w:pPr>
            <w:r>
              <w:rPr>
                <w:rFonts w:ascii="Arial" w:cs="Arial" w:eastAsia="Arial" w:hAnsi="Arial"/>
                <w:b w:val="false"/>
                <w:bCs w:val="false"/>
                <w:i w:val="false"/>
                <w:iCs w:val="false"/>
                <w:color w:val="424242"/>
                <w:sz w:val="17"/>
                <w:szCs w:val="17"/>
              </w:rPr>
              <w:t xml:space="preserve">Those five questions are: (1) What is the regulatory burden? (2) How complex is the payroll? (3) How many integration touchpoints does this industry carry structurally? (4) How mature is the data in this sector? (5) What are the non-negotiable localisation requirements?</w:t>
            </w:r>
          </w:p>
          <w:p>
            <w:pPr>
              <w:spacing w:after="70"/>
              <w:ind w:left="80"/>
            </w:pPr>
            <w:r>
              <w:rPr>
                <w:rFonts w:ascii="Arial" w:cs="Arial" w:eastAsia="Arial" w:hAnsi="Arial"/>
                <w:b w:val="false"/>
                <w:bCs w:val="false"/>
                <w:i w:val="false"/>
                <w:iCs w:val="false"/>
                <w:color w:val="424242"/>
                <w:sz w:val="17"/>
                <w:szCs w:val="17"/>
              </w:rPr>
              <w:t xml:space="preserve">The domain sections below answer all five for each of the eight domains covered.</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r>
        <w:br w:type="page"/>
      </w:r>
    </w:p>
    <w:p>
      <w:pPr>
        <w:pStyle w:val="Heading1"/>
        <w:pBdr>
          <w:bottom w:val="single" w:color="C74634" w:sz="8"/>
        </w:pBdr>
        <w:spacing w:after="120" w:before="300"/>
      </w:pPr>
      <w:r>
        <w:rPr>
          <w:rFonts w:ascii="Arial" w:cs="Arial" w:eastAsia="Arial" w:hAnsi="Arial"/>
          <w:b/>
          <w:bCs/>
          <w:i w:val="false"/>
          <w:iCs w:val="false"/>
          <w:color w:val="8B0000"/>
          <w:sz w:val="28"/>
          <w:szCs w:val="28"/>
        </w:rPr>
        <w:t xml:space="preserve">1.  The Estimation Dimensions That Vary by Domain</w:t>
      </w:r>
    </w:p>
    <w:p>
      <w:pPr>
        <w:spacing w:after="100" w:before="0"/>
        <w:jc w:val="left"/>
      </w:pPr>
      <w:r>
        <w:rPr>
          <w:rFonts w:ascii="Arial" w:cs="Arial" w:eastAsia="Arial" w:hAnsi="Arial"/>
          <w:b w:val="false"/>
          <w:bCs w:val="false"/>
          <w:i w:val="false"/>
          <w:iCs w:val="false"/>
          <w:color w:val="000000"/>
          <w:sz w:val="18"/>
          <w:szCs w:val="18"/>
        </w:rPr>
        <w:t xml:space="preserve">Before examining each domain, it is important to identify which estimation dimensions are sensitive to industry context and which are relatively stable. Most estimators focus on module count and complexity. Domain-aware estimation adds five additional dimensions that the generic HL Estimator does not capture by default.</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000"/>
        <w:gridCol w:w="2600"/>
      </w:tblGrid>
      <w:tr>
        <w:trPr>
          <w:tblHeader/>
        </w:trPr>
        <w:tc>
          <w:tcPr>
            <w:tcW w:type="dxa" w:w="2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Estimation Dimension</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Domain-Sensitive?</w:t>
            </w:r>
          </w:p>
        </w:tc>
        <w:tc>
          <w:tcPr>
            <w:tcW w:type="dxa" w:w="4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What Drives the Variance</w:t>
            </w:r>
          </w:p>
        </w:tc>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Estimator Adjustment Required</w:t>
            </w:r>
          </w:p>
        </w:tc>
      </w:tr>
      <w:tr>
        <w:tc>
          <w:tcPr>
            <w:tcW w:type="dxa" w:w="2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Module scope</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LOW — modules are industry-agnostic</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Module list varies but impact is captured in N modules</w:t>
            </w:r>
          </w:p>
        </w:tc>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 — use HL Estimator module list as-is</w:t>
            </w:r>
          </w:p>
        </w:tc>
      </w:tr>
      <w:tr>
        <w:tc>
          <w:tcPr>
            <w:tcW w:type="dxa" w:w="2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Unit effort per component</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C74634"/>
                <w:sz w:val="16"/>
                <w:szCs w:val="16"/>
              </w:rPr>
              <w:t xml:space="preserve">HIGH</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Regulatory depth, localisation, legacy data quality vary significantly</w:t>
            </w:r>
          </w:p>
        </w:tc>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Apply domain-specific unit effort uplift factors from Section 2</w:t>
            </w:r>
          </w:p>
        </w:tc>
      </w:tr>
      <w:tr>
        <w:tc>
          <w:tcPr>
            <w:tcW w:type="dxa" w:w="2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Integration count and complexity</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C74634"/>
                <w:sz w:val="16"/>
                <w:szCs w:val="16"/>
              </w:rPr>
              <w:t xml:space="preserve">HIGH</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Each industry has a structural integration landscape (Bloomberg for BFSI, MES for Manufacturing, POS for Retail, LIMS for Healthcare)</w:t>
            </w:r>
          </w:p>
        </w:tc>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Validate integration inventory against domain benchmark before estimating</w:t>
            </w:r>
          </w:p>
        </w:tc>
      </w:tr>
      <w:tr>
        <w:tc>
          <w:tcPr>
            <w:tcW w:type="dxa" w:w="2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Data migration complexity</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C74634"/>
                <w:sz w:val="16"/>
                <w:szCs w:val="16"/>
              </w:rPr>
              <w:t xml:space="preserve">HIGH</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Source system maturity, data volume, statutory data retention, and cleanliness vary radically</w:t>
            </w:r>
          </w:p>
        </w:tc>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Apply domain-specific DM complexity uplift and extend cleanse phase</w:t>
            </w:r>
          </w:p>
        </w:tc>
      </w:tr>
      <w:tr>
        <w:tc>
          <w:tcPr>
            <w:tcW w:type="dxa" w:w="2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Regulatory &amp; compliance configuration</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C74634"/>
                <w:sz w:val="16"/>
                <w:szCs w:val="16"/>
              </w:rPr>
              <w:t xml:space="preserve">VERY HIGH</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BFSI, Healthcare, Public Sector carry mandatory compliance configuration not present in other domains</w:t>
            </w:r>
          </w:p>
        </w:tc>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Add regulatory configuration as explicit scope item — not covered by standard module unit effort</w:t>
            </w:r>
          </w:p>
        </w:tc>
      </w:tr>
      <w:tr>
        <w:tc>
          <w:tcPr>
            <w:tcW w:type="dxa" w:w="2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SDLC phase distribution</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F5A623"/>
                <w:sz w:val="16"/>
                <w:szCs w:val="16"/>
              </w:rPr>
              <w:t xml:space="preserve">MEDIUM</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Phase weights shift: regulated industries front-load Discover/Design; high-integration industries back-load Build/SIT</w:t>
            </w:r>
          </w:p>
        </w:tc>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Adjust Assumptions Section D phase splits per domain guidance</w:t>
            </w:r>
          </w:p>
        </w:tc>
      </w:tr>
      <w:tr>
        <w:tc>
          <w:tcPr>
            <w:tcW w:type="dxa" w:w="2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OCM and training complexity</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MEDIUM</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User count, role diversity, and change resistance vary by sector</w:t>
            </w:r>
          </w:p>
        </w:tc>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Adjust OCM % upward for complex organisational structures</w:t>
            </w:r>
          </w:p>
        </w:tc>
      </w:tr>
      <w:tr>
        <w:tc>
          <w:tcPr>
            <w:tcW w:type="dxa" w:w="2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Complexity multiplier</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F5A623"/>
                <w:sz w:val="16"/>
                <w:szCs w:val="16"/>
              </w:rPr>
              <w:t xml:space="preserve">MEDIUM-HIGH</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Manufacturing and BFSI systematically under-represent complexity in initial scoping</w:t>
            </w:r>
          </w:p>
        </w:tc>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Apply domain minimum complexity floor (H for BFSI; H for Manufacturing &gt; 5 entities)</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pPr>
        <w:spacing w:after="80" w:before="0"/>
        <w:jc w:val="left"/>
      </w:pPr>
      <w:r>
        <w:rPr>
          <w:rFonts w:ascii="Arial" w:cs="Arial" w:eastAsia="Arial" w:hAnsi="Arial"/>
          <w:b w:val="false"/>
          <w:bCs w:val="false"/>
          <w:i w:val="false"/>
          <w:iCs w:val="false"/>
          <w:color w:val="000000"/>
          <w:sz w:val="18"/>
          <w:szCs w:val="18"/>
        </w:rPr>
        <w:t xml:space="preserve">The following domain heatmap provides a quick-reference view of which estimation dimensions are most sensitive in each sector, before the detailed domain sections.</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1700"/>
        <w:gridCol w:w="1400"/>
        <w:gridCol w:w="1200"/>
        <w:gridCol w:w="1200"/>
      </w:tblGrid>
      <w:tr>
        <w:trPr>
          <w:tblHeader/>
        </w:trPr>
        <w:tc>
          <w:tcPr>
            <w:tcW w:type="dxa" w:w="1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Domain</w:t>
            </w:r>
          </w:p>
        </w:tc>
        <w:tc>
          <w:tcPr>
            <w:tcW w:type="dxa" w:w="17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Regulatory
Config</w:t>
            </w:r>
          </w:p>
        </w:tc>
        <w:tc>
          <w:tcPr>
            <w:tcW w:type="dxa" w:w="17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Integration
Landscape</w:t>
            </w:r>
          </w:p>
        </w:tc>
        <w:tc>
          <w:tcPr>
            <w:tcW w:type="dxa" w:w="17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Payroll
Complexity</w:t>
            </w:r>
          </w:p>
        </w:tc>
        <w:tc>
          <w:tcPr>
            <w:tcW w:type="dxa" w:w="17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Data Mig
Maturity</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Localisation</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Phase
Shift</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Min CX</w:t>
            </w:r>
          </w:p>
        </w:tc>
      </w:tr>
      <w:tr>
        <w:tc>
          <w:tcPr>
            <w:tcW w:type="dxa" w:w="1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BFSI</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8B0000"/>
                <w:sz w:val="16"/>
                <w:szCs w:val="16"/>
              </w:rPr>
              <w:t xml:space="preserve">⬛⬛⬛⬛</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C74634"/>
                <w:sz w:val="16"/>
                <w:szCs w:val="16"/>
              </w:rPr>
              <w:t xml:space="preserve">⬛⬛⬛⬛</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Multi-country</w:t>
            </w:r>
          </w:p>
        </w:tc>
        <w:tc>
          <w:tcPr>
            <w:tcW w:type="dxa" w:w="1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Front-loads</w:t>
            </w:r>
          </w:p>
        </w:tc>
        <w:tc>
          <w:tcPr>
            <w:tcW w:type="dxa" w:w="1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C74634"/>
                <w:sz w:val="16"/>
                <w:szCs w:val="16"/>
              </w:rPr>
              <w:t xml:space="preserve">H mandatory</w:t>
            </w:r>
          </w:p>
        </w:tc>
      </w:tr>
      <w:tr>
        <w:tc>
          <w:tcPr>
            <w:tcW w:type="dxa" w:w="1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Manufacturing</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C74634"/>
                <w:sz w:val="16"/>
                <w:szCs w:val="16"/>
              </w:rPr>
              <w:t xml:space="preserve">⬛⬛⬛⬛</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C74634"/>
                <w:sz w:val="16"/>
                <w:szCs w:val="16"/>
              </w:rPr>
              <w:t xml:space="preserve">⬛⬛⬛⬛</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Multi-country</w:t>
            </w:r>
          </w:p>
        </w:tc>
        <w:tc>
          <w:tcPr>
            <w:tcW w:type="dxa" w:w="1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Back-loads Build</w:t>
            </w:r>
          </w:p>
        </w:tc>
        <w:tc>
          <w:tcPr>
            <w:tcW w:type="dxa" w:w="1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C74634"/>
                <w:sz w:val="16"/>
                <w:szCs w:val="16"/>
              </w:rPr>
              <w:t xml:space="preserve">H for &gt;3 BU</w:t>
            </w:r>
          </w:p>
        </w:tc>
      </w:tr>
      <w:tr>
        <w:tc>
          <w:tcPr>
            <w:tcW w:type="dxa" w:w="1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Retail &amp; CPG</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High volume</w:t>
            </w:r>
          </w:p>
        </w:tc>
        <w:tc>
          <w:tcPr>
            <w:tcW w:type="dxa" w:w="1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Back-loads SIT</w:t>
            </w:r>
          </w:p>
        </w:tc>
        <w:tc>
          <w:tcPr>
            <w:tcW w:type="dxa" w:w="1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M–H</w:t>
            </w:r>
          </w:p>
        </w:tc>
      </w:tr>
      <w:tr>
        <w:tc>
          <w:tcPr>
            <w:tcW w:type="dxa" w:w="1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Healthcare</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8B0000"/>
                <w:sz w:val="16"/>
                <w:szCs w:val="16"/>
              </w:rPr>
              <w:t xml:space="preserve">⬛⬛⬛⬛</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Complex</w:t>
            </w:r>
          </w:p>
        </w:tc>
        <w:tc>
          <w:tcPr>
            <w:tcW w:type="dxa" w:w="1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Front-loads Design</w:t>
            </w:r>
          </w:p>
        </w:tc>
        <w:tc>
          <w:tcPr>
            <w:tcW w:type="dxa" w:w="1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C74634"/>
                <w:sz w:val="16"/>
                <w:szCs w:val="16"/>
              </w:rPr>
              <w:t xml:space="preserve">H mandatory</w:t>
            </w:r>
          </w:p>
        </w:tc>
      </w:tr>
      <w:tr>
        <w:tc>
          <w:tcPr>
            <w:tcW w:type="dxa" w:w="1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Energy &amp; Utilities</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Multi-site</w:t>
            </w:r>
          </w:p>
        </w:tc>
        <w:tc>
          <w:tcPr>
            <w:tcW w:type="dxa" w:w="1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Extends DM</w:t>
            </w:r>
          </w:p>
        </w:tc>
        <w:tc>
          <w:tcPr>
            <w:tcW w:type="dxa" w:w="1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424242"/>
                <w:sz w:val="16"/>
                <w:szCs w:val="16"/>
              </w:rPr>
              <w:t xml:space="preserve">H for projects</w:t>
            </w:r>
          </w:p>
        </w:tc>
      </w:tr>
      <w:tr>
        <w:tc>
          <w:tcPr>
            <w:tcW w:type="dxa" w:w="1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Public Sector</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8B0000"/>
                <w:sz w:val="16"/>
                <w:szCs w:val="16"/>
              </w:rPr>
              <w:t xml:space="preserve">⬛⬛⬛⬛</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2E7D32"/>
                <w:sz w:val="16"/>
                <w:szCs w:val="16"/>
              </w:rPr>
              <w:t xml:space="preserve">⬛</w:t>
            </w:r>
          </w:p>
        </w:tc>
        <w:tc>
          <w:tcPr>
            <w:tcW w:type="dxa" w:w="1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Statutory</w:t>
            </w:r>
          </w:p>
        </w:tc>
        <w:tc>
          <w:tcPr>
            <w:tcW w:type="dxa" w:w="1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Front-loads</w:t>
            </w:r>
          </w:p>
        </w:tc>
        <w:tc>
          <w:tcPr>
            <w:tcW w:type="dxa" w:w="1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C74634"/>
                <w:sz w:val="16"/>
                <w:szCs w:val="16"/>
              </w:rPr>
              <w:t xml:space="preserve">H mandatory</w:t>
            </w:r>
          </w:p>
        </w:tc>
      </w:tr>
      <w:tr>
        <w:tc>
          <w:tcPr>
            <w:tcW w:type="dxa" w:w="1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Professional Svcs</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2E7D32"/>
                <w:sz w:val="16"/>
                <w:szCs w:val="16"/>
              </w:rPr>
              <w:t xml:space="preserve">⬛</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2E7D32"/>
                <w:sz w:val="16"/>
                <w:szCs w:val="16"/>
              </w:rPr>
              <w:t xml:space="preserve">⬛</w:t>
            </w:r>
          </w:p>
        </w:tc>
        <w:tc>
          <w:tcPr>
            <w:tcW w:type="dxa" w:w="17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2E7D32"/>
                <w:sz w:val="16"/>
                <w:szCs w:val="16"/>
              </w:rPr>
              <w:t xml:space="preserve">⬛</w:t>
            </w:r>
          </w:p>
        </w:tc>
        <w:tc>
          <w:tcPr>
            <w:tcW w:type="dxa" w:w="1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Low</w:t>
            </w:r>
          </w:p>
        </w:tc>
        <w:tc>
          <w:tcPr>
            <w:tcW w:type="dxa" w:w="1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w:t>
            </w:r>
          </w:p>
        </w:tc>
        <w:tc>
          <w:tcPr>
            <w:tcW w:type="dxa" w:w="1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M–H</w:t>
            </w:r>
          </w:p>
        </w:tc>
      </w:tr>
      <w:tr>
        <w:tc>
          <w:tcPr>
            <w:tcW w:type="dxa" w:w="1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Logistics &amp; SCM</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C74634"/>
                <w:sz w:val="16"/>
                <w:szCs w:val="16"/>
              </w:rPr>
              <w:t xml:space="preserve">⬛⬛⬛⬛</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7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F5A623"/>
                <w:sz w:val="16"/>
                <w:szCs w:val="16"/>
              </w:rPr>
              <w:t xml:space="preserve">⬛⬛⬛</w:t>
            </w:r>
          </w:p>
        </w:tc>
        <w:tc>
          <w:tcPr>
            <w:tcW w:type="dxa" w:w="1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Multi-site</w:t>
            </w:r>
          </w:p>
        </w:tc>
        <w:tc>
          <w:tcPr>
            <w:tcW w:type="dxa" w:w="1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Back-loads Integration</w:t>
            </w:r>
          </w:p>
        </w:tc>
        <w:tc>
          <w:tcPr>
            <w:tcW w:type="dxa" w:w="1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 for 3PL</w:t>
            </w:r>
          </w:p>
        </w:tc>
      </w:tr>
    </w:tbl>
    <w:p>
      <w:pPr>
        <w:spacing w:after="80" w:before="0"/>
        <w:jc w:val="left"/>
      </w:pPr>
      <w:r>
        <w:rPr>
          <w:rFonts w:ascii="Arial" w:cs="Arial" w:eastAsia="Arial" w:hAnsi="Arial"/>
          <w:b w:val="false"/>
          <w:bCs w:val="false"/>
          <w:i/>
          <w:iCs/>
          <w:color w:val="757575"/>
          <w:sz w:val="15"/>
          <w:szCs w:val="15"/>
        </w:rPr>
        <w:t xml:space="preserve">⬛ = Low impact   ⬛⬛ = Moderate   ⬛⬛⬛ = Significant   ⬛⬛⬛⬛ = Very High</w:t>
      </w:r>
    </w:p>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r>
        <w:br w:type="pag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1A237E" w:color="auto" w:val="clear"/>
            <w:tcMar>
              <w:top w:type="dxa" w:w="120"/>
              <w:left w:type="dxa" w:w="180"/>
              <w:bottom w:type="dxa" w:w="120"/>
              <w:right w:type="dxa" w:w="120"/>
            </w:tcMar>
          </w:tcPr>
          <w:p>
            <w:pPr>
              <w:spacing w:after="60"/>
            </w:pPr>
            <w:r>
              <w:rPr>
                <w:rFonts w:ascii="Arial" w:cs="Arial" w:eastAsia="Arial" w:hAnsi="Arial"/>
                <w:b/>
                <w:bCs/>
                <w:i w:val="false"/>
                <w:iCs w:val="false"/>
                <w:color w:val="FFFFFF"/>
                <w:sz w:val="30"/>
                <w:szCs w:val="30"/>
              </w:rPr>
              <w:t xml:space="preserve">Banking, Financial Services &amp; Insurance (BFSI)</w:t>
            </w:r>
          </w:p>
          <w:p>
            <w:pPr>
              <w:spacing w:after="0"/>
            </w:pPr>
            <w:r>
              <w:rPr>
                <w:rFonts w:ascii="Arial" w:cs="Arial" w:eastAsia="Arial" w:hAnsi="Arial"/>
                <w:b w:val="false"/>
                <w:bCs w:val="false"/>
                <w:i/>
                <w:iCs/>
                <w:color w:val="FFFFFF"/>
                <w:sz w:val="18"/>
                <w:szCs w:val="18"/>
              </w:rPr>
              <w:t xml:space="preserve">The most regulated Oracle Fusion implementation domain — where compliance configuration is never optional and integration depth is structural</w:t>
            </w:r>
          </w:p>
        </w:tc>
      </w:tr>
    </w:tbl>
    <w:p>
      <w:pPr>
        <w:spacing w:after="60"/>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424242"/>
          <w:sz w:val="18"/>
          <w:szCs w:val="18"/>
        </w:rPr>
        <w:t xml:space="preserve">BFSI clients implement Oracle Fusion in a landscape defined by three forces that directly inflate estimation: regulatory mandates (Basel III/IV, IFRS 9/17, Solvency II, GDPR), the existence of core banking or core insurance systems that Oracle Fusion must integrate with but cannot replace, and extremely high data sensitivity that extends cleansing and reconciliation cycles. A BFSI ERP implementation is not just a financial system change — it is a change to the financial control environment, which carries audit, internal control, and regulatory sign-off requirements that add 20–35% to standard delivery timelines.</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1A237E" w:color="auto" w:val="clear"/>
            <w:tcMar>
              <w:top w:type="dxa" w:w="60"/>
              <w:left w:type="dxa" w:w="130"/>
              <w:bottom w:type="dxa" w:w="60"/>
              <w:right w:type="dxa" w:w="80"/>
            </w:tcMar>
          </w:tcPr>
          <w:p>
            <w:pPr>
              <w:spacing w:after="40" w:before="40"/>
            </w:pPr>
            <w:r>
              <w:rPr>
                <w:rFonts w:ascii="Arial" w:cs="Arial" w:eastAsia="Arial" w:hAnsi="Arial"/>
                <w:b/>
                <w:bCs/>
                <w:i w:val="false"/>
                <w:iCs w:val="false"/>
                <w:color w:val="FFFFFF"/>
                <w:sz w:val="17"/>
                <w:szCs w:val="17"/>
              </w:rPr>
              <w:t xml:space="preserve">ESTIMATION SNAPSHOT</w:t>
            </w:r>
          </w:p>
        </w:tc>
      </w:tr>
      <w:tr>
        <w:tc>
          <w:tcPr>
            <w:tcW w:type="dxa" w:w="10080"/>
            <w:shd w:fill="E8EAF6"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Complexity Floor:  </w:t>
            </w:r>
            <w:r>
              <w:rPr>
                <w:rFonts w:ascii="Arial" w:cs="Arial" w:eastAsia="Arial" w:hAnsi="Arial"/>
                <w:b w:val="false"/>
                <w:bCs w:val="false"/>
                <w:i w:val="false"/>
                <w:iCs w:val="false"/>
                <w:color w:val="424242"/>
                <w:sz w:val="16"/>
                <w:szCs w:val="16"/>
              </w:rPr>
              <w:t xml:space="preserve">H mandatory (VH for multi-country banking)</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Module Count:  </w:t>
            </w:r>
            <w:r>
              <w:rPr>
                <w:rFonts w:ascii="Arial" w:cs="Arial" w:eastAsia="Arial" w:hAnsi="Arial"/>
                <w:b w:val="false"/>
                <w:bCs w:val="false"/>
                <w:i w:val="false"/>
                <w:iCs w:val="false"/>
                <w:color w:val="424242"/>
                <w:sz w:val="16"/>
                <w:szCs w:val="16"/>
              </w:rPr>
              <w:t xml:space="preserve">5–8 modules</w:t>
            </w:r>
          </w:p>
        </w:tc>
      </w:tr>
      <w:tr>
        <w:tc>
          <w:tcPr>
            <w:tcW w:type="dxa" w:w="10080"/>
            <w:shd w:fill="E8EAF6"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Integration Count (Simple/Complex):  </w:t>
            </w:r>
            <w:r>
              <w:rPr>
                <w:rFonts w:ascii="Arial" w:cs="Arial" w:eastAsia="Arial" w:hAnsi="Arial"/>
                <w:b w:val="false"/>
                <w:bCs w:val="false"/>
                <w:i w:val="false"/>
                <w:iCs w:val="false"/>
                <w:color w:val="424242"/>
                <w:sz w:val="16"/>
                <w:szCs w:val="16"/>
              </w:rPr>
              <w:t xml:space="preserve">12–25 simple / 8–18 complex</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DM Object Count:  </w:t>
            </w:r>
            <w:r>
              <w:rPr>
                <w:rFonts w:ascii="Arial" w:cs="Arial" w:eastAsia="Arial" w:hAnsi="Arial"/>
                <w:b w:val="false"/>
                <w:bCs w:val="false"/>
                <w:i w:val="false"/>
                <w:iCs w:val="false"/>
                <w:color w:val="424242"/>
                <w:sz w:val="16"/>
                <w:szCs w:val="16"/>
              </w:rPr>
              <w:t xml:space="preserve">12–25 objects</w:t>
            </w:r>
          </w:p>
        </w:tc>
      </w:tr>
      <w:tr>
        <w:tc>
          <w:tcPr>
            <w:tcW w:type="dxa" w:w="10080"/>
            <w:shd w:fill="E8EAF6"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CEMLI / Extensions:  </w:t>
            </w:r>
            <w:r>
              <w:rPr>
                <w:rFonts w:ascii="Arial" w:cs="Arial" w:eastAsia="Arial" w:hAnsi="Arial"/>
                <w:b w:val="false"/>
                <w:bCs w:val="false"/>
                <w:i w:val="false"/>
                <w:iCs w:val="false"/>
                <w:color w:val="424242"/>
                <w:sz w:val="16"/>
                <w:szCs w:val="16"/>
              </w:rPr>
              <w:t xml:space="preserve">15–35 extensions</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Duration:  </w:t>
            </w:r>
            <w:r>
              <w:rPr>
                <w:rFonts w:ascii="Arial" w:cs="Arial" w:eastAsia="Arial" w:hAnsi="Arial"/>
                <w:b w:val="false"/>
                <w:bCs w:val="false"/>
                <w:i w:val="false"/>
                <w:iCs w:val="false"/>
                <w:color w:val="424242"/>
                <w:sz w:val="16"/>
                <w:szCs w:val="16"/>
              </w:rPr>
              <w:t xml:space="preserve">18–30 months</w:t>
            </w:r>
          </w:p>
        </w:tc>
      </w:tr>
      <w:tr>
        <w:tc>
          <w:tcPr>
            <w:tcW w:type="dxa" w:w="10080"/>
            <w:shd w:fill="E8EAF6"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Effort Uplift vs Generic Benchmark:  </w:t>
            </w:r>
            <w:r>
              <w:rPr>
                <w:rFonts w:ascii="Arial" w:cs="Arial" w:eastAsia="Arial" w:hAnsi="Arial"/>
                <w:b w:val="false"/>
                <w:bCs w:val="false"/>
                <w:i w:val="false"/>
                <w:iCs w:val="false"/>
                <w:color w:val="424242"/>
                <w:sz w:val="16"/>
                <w:szCs w:val="16"/>
              </w:rPr>
              <w:t xml:space="preserve">+35–55% vs generic benchmark</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Highest-Risk Phase:  </w:t>
            </w:r>
            <w:r>
              <w:rPr>
                <w:rFonts w:ascii="Arial" w:cs="Arial" w:eastAsia="Arial" w:hAnsi="Arial"/>
                <w:b w:val="false"/>
                <w:bCs w:val="false"/>
                <w:i w:val="false"/>
                <w:iCs w:val="false"/>
                <w:color w:val="424242"/>
                <w:sz w:val="16"/>
                <w:szCs w:val="16"/>
              </w:rPr>
              <w:t xml:space="preserve">Ph3: Build (regulatory config) and Ph4: SIT (core banking reconciliation)</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4840"/>
        <w:gridCol w:w="5240"/>
      </w:tblGrid>
      <w:tr>
        <w:tc>
          <w:tcPr>
            <w:tcW w:type="dxa" w:w="4840"/>
            <w:tcMar>
              <w:top w:type="dxa" w:w="0"/>
              <w:left w:type="dxa" w:w="0"/>
              <w:bottom w:type="dxa" w:w="0"/>
              <w:right w:type="dxa" w:w="80"/>
            </w:tcMar>
          </w:tcPr>
          <w:p>
            <w:pPr>
              <w:spacing w:after="80"/>
            </w:pPr>
            <w:r>
              <w:rPr>
                <w:rFonts w:ascii="Arial" w:cs="Arial" w:eastAsia="Arial" w:hAnsi="Arial"/>
                <w:b/>
                <w:bCs/>
                <w:i w:val="false"/>
                <w:iCs w:val="false"/>
                <w:color w:val="1A237E"/>
                <w:sz w:val="17"/>
                <w:szCs w:val="17"/>
              </w:rPr>
              <w:t xml:space="preserve">Standard Oracle Modules (always in scope)</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Financials (GL, AP, AR, FA, Cash)</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HCM – Core HR &amp; Payroll</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EPM – Financial Consolidation (FCCS)</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EPM – Planning &amp; Budgeting (EPBCS)</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Tax</w:t>
            </w:r>
          </w:p>
        </w:tc>
        <w:tc>
          <w:tcPr>
            <w:tcW w:type="dxa" w:w="5240"/>
            <w:tcMar>
              <w:top w:type="dxa" w:w="0"/>
              <w:left w:type="dxa" w:w="80"/>
              <w:bottom w:type="dxa" w:w="0"/>
              <w:right w:type="dxa" w:w="0"/>
            </w:tcMar>
          </w:tcPr>
          <w:p>
            <w:pPr>
              <w:spacing w:after="80"/>
            </w:pPr>
            <w:r>
              <w:rPr>
                <w:rFonts w:ascii="Arial" w:cs="Arial" w:eastAsia="Arial" w:hAnsi="Arial"/>
                <w:b/>
                <w:bCs/>
                <w:i w:val="false"/>
                <w:iCs w:val="false"/>
                <w:color w:val="1A237E"/>
                <w:sz w:val="17"/>
                <w:szCs w:val="17"/>
              </w:rPr>
              <w:t xml:space="preserve">Domain-Specific Scope Additions</w:t>
            </w:r>
          </w:p>
          <w:p>
            <w:pPr>
              <w:spacing w:after="60"/>
              <w:ind w:left="200" w:hanging="160"/>
            </w:pPr>
            <w:r>
              <w:rPr>
                <w:rFonts w:ascii="Arial" w:cs="Arial" w:eastAsia="Arial" w:hAnsi="Arial"/>
                <w:b/>
                <w:bCs/>
                <w:i w:val="false"/>
                <w:iCs w:val="false"/>
                <w:color w:val="1A237E"/>
                <w:sz w:val="16"/>
                <w:szCs w:val="16"/>
              </w:rPr>
              <w:t xml:space="preserve">★  </w:t>
            </w:r>
            <w:r>
              <w:rPr>
                <w:rFonts w:ascii="Arial" w:cs="Arial" w:eastAsia="Arial" w:hAnsi="Arial"/>
                <w:b w:val="false"/>
                <w:bCs w:val="false"/>
                <w:i w:val="false"/>
                <w:iCs w:val="false"/>
                <w:color w:val="424242"/>
                <w:sz w:val="16"/>
                <w:szCs w:val="16"/>
              </w:rPr>
              <w:t xml:space="preserve">Regulatory Reporting Config (FinReg, DFAST, COREP, FINREP)</w:t>
            </w:r>
          </w:p>
          <w:p>
            <w:pPr>
              <w:spacing w:after="60"/>
              <w:ind w:left="200" w:hanging="160"/>
            </w:pPr>
            <w:r>
              <w:rPr>
                <w:rFonts w:ascii="Arial" w:cs="Arial" w:eastAsia="Arial" w:hAnsi="Arial"/>
                <w:b/>
                <w:bCs/>
                <w:i w:val="false"/>
                <w:iCs w:val="false"/>
                <w:color w:val="1A237E"/>
                <w:sz w:val="16"/>
                <w:szCs w:val="16"/>
              </w:rPr>
              <w:t xml:space="preserve">★  </w:t>
            </w:r>
            <w:r>
              <w:rPr>
                <w:rFonts w:ascii="Arial" w:cs="Arial" w:eastAsia="Arial" w:hAnsi="Arial"/>
                <w:b w:val="false"/>
                <w:bCs w:val="false"/>
                <w:i w:val="false"/>
                <w:iCs w:val="false"/>
                <w:color w:val="424242"/>
                <w:sz w:val="16"/>
                <w:szCs w:val="16"/>
              </w:rPr>
              <w:t xml:space="preserve">Multi-entity Consolidation with Minority Interest</w:t>
            </w:r>
          </w:p>
          <w:p>
            <w:pPr>
              <w:spacing w:after="60"/>
              <w:ind w:left="200" w:hanging="160"/>
            </w:pPr>
            <w:r>
              <w:rPr>
                <w:rFonts w:ascii="Arial" w:cs="Arial" w:eastAsia="Arial" w:hAnsi="Arial"/>
                <w:b/>
                <w:bCs/>
                <w:i w:val="false"/>
                <w:iCs w:val="false"/>
                <w:color w:val="1A237E"/>
                <w:sz w:val="16"/>
                <w:szCs w:val="16"/>
              </w:rPr>
              <w:t xml:space="preserve">★  </w:t>
            </w:r>
            <w:r>
              <w:rPr>
                <w:rFonts w:ascii="Arial" w:cs="Arial" w:eastAsia="Arial" w:hAnsi="Arial"/>
                <w:b w:val="false"/>
                <w:bCs w:val="false"/>
                <w:i w:val="false"/>
                <w:iCs w:val="false"/>
                <w:color w:val="424242"/>
                <w:sz w:val="16"/>
                <w:szCs w:val="16"/>
              </w:rPr>
              <w:t xml:space="preserve">Intercompany &amp; Transfer Pricing Configuration</w:t>
            </w:r>
          </w:p>
          <w:p>
            <w:pPr>
              <w:spacing w:after="60"/>
              <w:ind w:left="200" w:hanging="160"/>
            </w:pPr>
            <w:r>
              <w:rPr>
                <w:rFonts w:ascii="Arial" w:cs="Arial" w:eastAsia="Arial" w:hAnsi="Arial"/>
                <w:b/>
                <w:bCs/>
                <w:i w:val="false"/>
                <w:iCs w:val="false"/>
                <w:color w:val="1A237E"/>
                <w:sz w:val="16"/>
                <w:szCs w:val="16"/>
              </w:rPr>
              <w:t xml:space="preserve">★  </w:t>
            </w:r>
            <w:r>
              <w:rPr>
                <w:rFonts w:ascii="Arial" w:cs="Arial" w:eastAsia="Arial" w:hAnsi="Arial"/>
                <w:b w:val="false"/>
                <w:bCs w:val="false"/>
                <w:i w:val="false"/>
                <w:iCs w:val="false"/>
                <w:color w:val="424242"/>
                <w:sz w:val="16"/>
                <w:szCs w:val="16"/>
              </w:rPr>
              <w:t xml:space="preserve">IFRS 9/17 / CECL Provisioning Rules</w:t>
            </w:r>
          </w:p>
          <w:p>
            <w:pPr>
              <w:spacing w:after="60"/>
              <w:ind w:left="200" w:hanging="160"/>
            </w:pPr>
            <w:r>
              <w:rPr>
                <w:rFonts w:ascii="Arial" w:cs="Arial" w:eastAsia="Arial" w:hAnsi="Arial"/>
                <w:b/>
                <w:bCs/>
                <w:i w:val="false"/>
                <w:iCs w:val="false"/>
                <w:color w:val="1A237E"/>
                <w:sz w:val="16"/>
                <w:szCs w:val="16"/>
              </w:rPr>
              <w:t xml:space="preserve">★  </w:t>
            </w:r>
            <w:r>
              <w:rPr>
                <w:rFonts w:ascii="Arial" w:cs="Arial" w:eastAsia="Arial" w:hAnsi="Arial"/>
                <w:b w:val="false"/>
                <w:bCs w:val="false"/>
                <w:i w:val="false"/>
                <w:iCs w:val="false"/>
                <w:color w:val="424242"/>
                <w:sz w:val="16"/>
                <w:szCs w:val="16"/>
              </w:rPr>
              <w:t xml:space="preserve">Internal Controls &amp; Audit Trail Configuration</w:t>
            </w:r>
          </w:p>
          <w:p>
            <w:pPr>
              <w:spacing w:after="60"/>
              <w:ind w:left="200" w:hanging="160"/>
            </w:pPr>
            <w:r>
              <w:rPr>
                <w:rFonts w:ascii="Arial" w:cs="Arial" w:eastAsia="Arial" w:hAnsi="Arial"/>
                <w:b/>
                <w:bCs/>
                <w:i w:val="false"/>
                <w:iCs w:val="false"/>
                <w:color w:val="1A237E"/>
                <w:sz w:val="16"/>
                <w:szCs w:val="16"/>
              </w:rPr>
              <w:t xml:space="preserve">★  </w:t>
            </w:r>
            <w:r>
              <w:rPr>
                <w:rFonts w:ascii="Arial" w:cs="Arial" w:eastAsia="Arial" w:hAnsi="Arial"/>
                <w:b w:val="false"/>
                <w:bCs w:val="false"/>
                <w:i w:val="false"/>
                <w:iCs w:val="false"/>
                <w:color w:val="424242"/>
                <w:sz w:val="16"/>
                <w:szCs w:val="16"/>
              </w:rPr>
              <w:t xml:space="preserve">FX Translation &amp; Multi-Currency Revaluation</w:t>
            </w:r>
          </w:p>
          <w:p>
            <w:pPr>
              <w:spacing w:after="60"/>
              <w:ind w:left="200" w:hanging="160"/>
            </w:pPr>
            <w:r>
              <w:rPr>
                <w:rFonts w:ascii="Arial" w:cs="Arial" w:eastAsia="Arial" w:hAnsi="Arial"/>
                <w:b/>
                <w:bCs/>
                <w:i w:val="false"/>
                <w:iCs w:val="false"/>
                <w:color w:val="1A237E"/>
                <w:sz w:val="16"/>
                <w:szCs w:val="16"/>
              </w:rPr>
              <w:t xml:space="preserve">★  </w:t>
            </w:r>
            <w:r>
              <w:rPr>
                <w:rFonts w:ascii="Arial" w:cs="Arial" w:eastAsia="Arial" w:hAnsi="Arial"/>
                <w:b w:val="false"/>
                <w:bCs w:val="false"/>
                <w:i w:val="false"/>
                <w:iCs w:val="false"/>
                <w:color w:val="424242"/>
                <w:sz w:val="16"/>
                <w:szCs w:val="16"/>
              </w:rPr>
              <w:t xml:space="preserve">Revenue Recognition (IFRS 15)</w:t>
            </w:r>
          </w:p>
          <w:p>
            <w:pPr>
              <w:spacing w:after="60"/>
              <w:ind w:left="200" w:hanging="160"/>
            </w:pPr>
            <w:r>
              <w:rPr>
                <w:rFonts w:ascii="Arial" w:cs="Arial" w:eastAsia="Arial" w:hAnsi="Arial"/>
                <w:b/>
                <w:bCs/>
                <w:i w:val="false"/>
                <w:iCs w:val="false"/>
                <w:color w:val="1A237E"/>
                <w:sz w:val="16"/>
                <w:szCs w:val="16"/>
              </w:rPr>
              <w:t xml:space="preserve">★  </w:t>
            </w:r>
            <w:r>
              <w:rPr>
                <w:rFonts w:ascii="Arial" w:cs="Arial" w:eastAsia="Arial" w:hAnsi="Arial"/>
                <w:b w:val="false"/>
                <w:bCs w:val="false"/>
                <w:i w:val="false"/>
                <w:iCs w:val="false"/>
                <w:color w:val="424242"/>
                <w:sz w:val="16"/>
                <w:szCs w:val="16"/>
              </w:rPr>
              <w:t xml:space="preserve">Liquidity &amp; Capital Reporting (LCR, NSFR)</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Key Estimation Drivers &amp; Unit Effort Uplift Factors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5000"/>
      </w:tblGrid>
      <w:tr>
        <w:trPr>
          <w:tblHeader/>
        </w:trPr>
        <w:tc>
          <w:tcPr>
            <w:tcW w:type="dxa" w:w="3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Driver</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Impact</w:t>
            </w:r>
          </w:p>
        </w:tc>
        <w:tc>
          <w:tcPr>
            <w:tcW w:type="dxa" w:w="1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Uplift vs Benchmark</w:t>
            </w:r>
          </w:p>
        </w:tc>
        <w:tc>
          <w:tcPr>
            <w:tcW w:type="dxa" w:w="5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Estimator Action</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Regulatory reporting configuration (COREP/FINREP/DFAST)</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+40–60%</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Add dedicated Regulatory Config stream: 60–120 days depending on jurisdictions in scope. Do not absorb into standard GL/EPM estimate.</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Multi-entity consolidation with intercompany elimination</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+30–45%</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Every additional legal entity above 5 adds non-linear complexity. Use 18 days/entity for FCCS config beyond the base 3-entity model.</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Integration with core banking / core insurance platform</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+50–80% on integration stream</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Core banking integrations (Temenos, Finacle, Murex, FIS) are always bidirectional, real-time, and require bespoke API development. Budget 20–35 days per interface, not 6–14.</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Audit trail, internal controls &amp; SOX configuration</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+25–35%</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SOX-in-scope clients require explicit control mapping, approver configuration, and evidence generation. Add 40–60 days as a separate Security &amp; Controls stream.</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IFRS 9/17 / CECL provisioning logic</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+35–50% on EPM/GL</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Expected credit loss provisioning requires custom calculation models and integration with risk systems. Treat as a separate workstream: 60–100 days for design and build.</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Multi-currency, FX translation &amp; revaluation rules</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+20–30%</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Global BFSI clients with 15+ operating currencies require extensive FX rule configuration. Add 15–25 days to GL stream per currency zone.</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Domain Integration Landscape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1200"/>
        <w:gridCol w:w="44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System / Interface</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Type</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Complexity</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Typical Count</w:t>
            </w:r>
          </w:p>
        </w:tc>
        <w:tc>
          <w:tcPr>
            <w:tcW w:type="dxa" w:w="4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Estimation Note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Core Banking System (Temenos T24 / Finacle / FIS)</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 Real-Time</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3–8</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Most complex integration in BFSI. Average 25–40 days per interface. Rarely OOB — always custom OIC orchestration.</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Treasury Management System (Murex / Finastra)</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Real-Time + Batch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2–4</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Position and P&amp;L feeds. Require financial reconciliation sign-off from treasury team.</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Risk &amp; Compliance Platform (Moody's / SAS / OneSumX)</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2–5</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Regulatory capital and stress testing data. Strict schema requirements.</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Payment Systems (SWIFT / SEPA / Faster Payments)</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Real-Time</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3–6</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ISO 20022 migration adds significant format complexity post-2025.</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Regulatory Reporting Systems (XBRL / FinReg)</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2–4</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Submission-format specific — not generic REST. Requires specialist knowledge.</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HR/Payroll (if separate from Fusion HCM)</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 Batch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 FBDI/HDL pattern if migrating from SAP HCM or Workday.</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SDLC Phase Distribution — Domain Adjustments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400"/>
        <w:gridCol w:w="40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Phase</w:t>
            </w:r>
          </w:p>
        </w:tc>
        <w:tc>
          <w:tcPr>
            <w:tcW w:type="dxa" w:w="15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Standard %</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Domain Adj. %</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Variance</w:t>
            </w:r>
          </w:p>
        </w:tc>
        <w:tc>
          <w:tcPr>
            <w:tcW w:type="dxa" w:w="4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Reason</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Ph1: Discover &amp; Assess</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18%</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+6pp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Regulatory landscape mapping and legal entity structure analysis requires dedicated workshops with Compliance, Finance, and Internal Audit</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Ph2: Design/Blueprint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24%</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+6pp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IFRS/Basel configuration decisions require Finance Director and external auditor sign-off before build can begin — decision cycle is longer</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Ph3: Build/Configure</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32%</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+4pp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Regulatory config, SOX controls, and multi-entity intercompany rules extend build significantly</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Ph4: Integration &amp; SIT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16%</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+4pp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Core banking integration testing requires bank IT team availability and financial reconciliation sign-off — typically 2–3 SIT cycles</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Ph5: UAT</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10%</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UAT must include Compliance sign-off and Internal Audit walkthrough — adds 2–3 weeks to standard UAT</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Ph6: Data Migration</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6%</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BFSI data is often well-structured (core banking is a mature source) — reduction reflects cleaner source data than average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Ph8: Go-Live / Cutover</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Regulatory environment requires parallel run in most jurisdictions — extends cutover window</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Ph9: Hypercare</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Month-end and quarter-end close in new system requires Finance Controller sign-off — extends hypercare</w:t>
            </w:r>
          </w:p>
        </w:tc>
      </w:tr>
    </w:tbl>
    <w:p>
      <w:pPr>
        <w:spacing w:after="100" w:before="60"/>
        <w:jc w:val="left"/>
      </w:pPr>
      <w:r>
        <w:rPr>
          <w:rFonts w:ascii="Arial" w:cs="Arial" w:eastAsia="Arial" w:hAnsi="Arial"/>
          <w:b w:val="false"/>
          <w:bCs w:val="false"/>
          <w:i/>
          <w:iCs/>
          <w:color w:val="757575"/>
          <w:sz w:val="17"/>
          <w:szCs w:val="17"/>
        </w:rPr>
        <w:t xml:space="preserve">BFSI programmes front-load heavily into Discover and Design because regulatory sign-off gates cannot be bypassed. Build phase is also elevated due to the volume of compliance configuration. The distinctive pattern is that both the beginning and the end of the programme are longer than standard — discovery is longer (regulatory mapping) and hypercare is longer (financial close validation).</w:t>
      </w:r>
    </w:p>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Top 5 Under-Priced Risks in Banking, Financial Services &amp; Insurance (BFSI) Estimates</w:t>
      </w:r>
    </w:p>
    <w:p>
      <w:pPr>
        <w:spacing w:after="40" w:before="80"/>
        <w:ind w:left="120"/>
      </w:pPr>
      <w:r>
        <w:rPr>
          <w:rFonts w:ascii="Arial" w:cs="Arial" w:eastAsia="Arial" w:hAnsi="Arial"/>
          <w:b/>
          <w:bCs/>
          <w:i w:val="false"/>
          <w:iCs w:val="false"/>
          <w:color w:val="1A237E"/>
          <w:sz w:val="18"/>
          <w:szCs w:val="18"/>
        </w:rPr>
        <w:t xml:space="preserve">1.  Core banking integration scope not confirmed at estimation</w:t>
      </w:r>
    </w:p>
    <w:p>
      <w:pPr>
        <w:spacing w:after="80"/>
        <w:ind w:left="300"/>
      </w:pPr>
      <w:r>
        <w:rPr>
          <w:rFonts w:ascii="Arial" w:cs="Arial" w:eastAsia="Arial" w:hAnsi="Arial"/>
          <w:b w:val="false"/>
          <w:bCs w:val="false"/>
          <w:i w:val="false"/>
          <w:iCs w:val="false"/>
          <w:color w:val="424242"/>
          <w:sz w:val="17"/>
          <w:szCs w:val="17"/>
        </w:rPr>
        <w:t xml:space="preserve">Core banking integrations are routinely missed or underestimated because the banking IT team is not involved in the Oracle scoping conversation. Each undiscovered core banking interface adds 25–40 days. Mandate a core banking IT representative in the integration scoping workshop.</w:t>
      </w:r>
    </w:p>
    <w:p>
      <w:pPr>
        <w:spacing w:after="40" w:before="80"/>
        <w:ind w:left="120"/>
      </w:pPr>
      <w:r>
        <w:rPr>
          <w:rFonts w:ascii="Arial" w:cs="Arial" w:eastAsia="Arial" w:hAnsi="Arial"/>
          <w:b/>
          <w:bCs/>
          <w:i w:val="false"/>
          <w:iCs w:val="false"/>
          <w:color w:val="1A237E"/>
          <w:sz w:val="18"/>
          <w:szCs w:val="18"/>
        </w:rPr>
        <w:t xml:space="preserve">2.  Regulatory reporting treated as 'just another report'</w:t>
      </w:r>
    </w:p>
    <w:p>
      <w:pPr>
        <w:spacing w:after="80"/>
        <w:ind w:left="300"/>
      </w:pPr>
      <w:r>
        <w:rPr>
          <w:rFonts w:ascii="Arial" w:cs="Arial" w:eastAsia="Arial" w:hAnsi="Arial"/>
          <w:b w:val="false"/>
          <w:bCs w:val="false"/>
          <w:i w:val="false"/>
          <w:iCs w:val="false"/>
          <w:color w:val="424242"/>
          <w:sz w:val="17"/>
          <w:szCs w:val="17"/>
        </w:rPr>
        <w:t xml:space="preserve">COREP, FINREP, DFAST, Pillar III, and IFRS 17 reporting are not BI reports — they are statutory submissions with specific schemas, audit trails, and sign-off requirements. Budget a dedicated regulatory reporting stream of 60–120 days.</w:t>
      </w:r>
    </w:p>
    <w:p>
      <w:pPr>
        <w:spacing w:after="40" w:before="80"/>
        <w:ind w:left="120"/>
      </w:pPr>
      <w:r>
        <w:rPr>
          <w:rFonts w:ascii="Arial" w:cs="Arial" w:eastAsia="Arial" w:hAnsi="Arial"/>
          <w:b/>
          <w:bCs/>
          <w:i w:val="false"/>
          <w:iCs w:val="false"/>
          <w:color w:val="1A237E"/>
          <w:sz w:val="18"/>
          <w:szCs w:val="18"/>
        </w:rPr>
        <w:t xml:space="preserve">3.  SOX controls and internal audit not scoped as a workstream</w:t>
      </w:r>
    </w:p>
    <w:p>
      <w:pPr>
        <w:spacing w:after="80"/>
        <w:ind w:left="300"/>
      </w:pPr>
      <w:r>
        <w:rPr>
          <w:rFonts w:ascii="Arial" w:cs="Arial" w:eastAsia="Arial" w:hAnsi="Arial"/>
          <w:b w:val="false"/>
          <w:bCs w:val="false"/>
          <w:i w:val="false"/>
          <w:iCs w:val="false"/>
          <w:color w:val="424242"/>
          <w:sz w:val="17"/>
          <w:szCs w:val="17"/>
        </w:rPr>
        <w:t xml:space="preserve">SOX-in-scope BFSI clients need explicit control mapping, approver workflow configuration, and evidence repository setup. This is consistently absorbed into 'Security' and underestimated by 40–60 days.</w:t>
      </w:r>
    </w:p>
    <w:p>
      <w:pPr>
        <w:spacing w:after="40" w:before="80"/>
        <w:ind w:left="120"/>
      </w:pPr>
      <w:r>
        <w:rPr>
          <w:rFonts w:ascii="Arial" w:cs="Arial" w:eastAsia="Arial" w:hAnsi="Arial"/>
          <w:b/>
          <w:bCs/>
          <w:i w:val="false"/>
          <w:iCs w:val="false"/>
          <w:color w:val="1A237E"/>
          <w:sz w:val="18"/>
          <w:szCs w:val="18"/>
        </w:rPr>
        <w:t xml:space="preserve">4.  Parallel run period not included in the estimate</w:t>
      </w:r>
    </w:p>
    <w:p>
      <w:pPr>
        <w:spacing w:after="80"/>
        <w:ind w:left="300"/>
      </w:pPr>
      <w:r>
        <w:rPr>
          <w:rFonts w:ascii="Arial" w:cs="Arial" w:eastAsia="Arial" w:hAnsi="Arial"/>
          <w:b w:val="false"/>
          <w:bCs w:val="false"/>
          <w:i w:val="false"/>
          <w:iCs w:val="false"/>
          <w:color w:val="424242"/>
          <w:sz w:val="17"/>
          <w:szCs w:val="17"/>
        </w:rPr>
        <w:t xml:space="preserve">Most BFSI regulators require a parallel run period (old system and new system simultaneously). This is typically 4–8 weeks and is never 'free' — it requires dedicated reconciliation effort estimated at 15–25 days.</w:t>
      </w:r>
    </w:p>
    <w:p>
      <w:pPr>
        <w:spacing w:after="40" w:before="80"/>
        <w:ind w:left="120"/>
      </w:pPr>
      <w:r>
        <w:rPr>
          <w:rFonts w:ascii="Arial" w:cs="Arial" w:eastAsia="Arial" w:hAnsi="Arial"/>
          <w:b/>
          <w:bCs/>
          <w:i w:val="false"/>
          <w:iCs w:val="false"/>
          <w:color w:val="1A237E"/>
          <w:sz w:val="18"/>
          <w:szCs w:val="18"/>
        </w:rPr>
        <w:t xml:space="preserve">5.  Multi-currency FX revaluation complexity underestimated</w:t>
      </w:r>
    </w:p>
    <w:p>
      <w:pPr>
        <w:spacing w:after="80"/>
        <w:ind w:left="300"/>
      </w:pPr>
      <w:r>
        <w:rPr>
          <w:rFonts w:ascii="Arial" w:cs="Arial" w:eastAsia="Arial" w:hAnsi="Arial"/>
          <w:b w:val="false"/>
          <w:bCs w:val="false"/>
          <w:i w:val="false"/>
          <w:iCs w:val="false"/>
          <w:color w:val="424242"/>
          <w:sz w:val="17"/>
          <w:szCs w:val="17"/>
        </w:rPr>
        <w:t xml:space="preserve">Clients with 15+ currencies require FX rate feed integrations, revaluation journal automation, and translation rule configuration that generic GL estimates do not cover. Add 15–25 days per currency zone beyond the base 3-currency model.</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1A237E" w:color="auto" w:val="clear"/>
            <w:tcMar>
              <w:top w:type="dxa" w:w="70"/>
              <w:left w:type="dxa" w:w="130"/>
              <w:bottom w:type="dxa" w:w="70"/>
              <w:right w:type="dxa" w:w="120"/>
            </w:tcMar>
          </w:tcPr>
          <w:p>
            <w:pPr>
              <w:spacing w:after="60" w:before="60"/>
              <w:ind w:left="80"/>
            </w:pPr>
            <w:r>
              <w:rPr>
                <w:rFonts w:ascii="Arial" w:cs="Arial" w:eastAsia="Arial" w:hAnsi="Arial"/>
                <w:b/>
                <w:bCs/>
                <w:i w:val="false"/>
                <w:iCs w:val="false"/>
                <w:color w:val="FFFFFF"/>
                <w:sz w:val="19"/>
                <w:szCs w:val="19"/>
              </w:rPr>
              <w:t xml:space="preserve">Estimator Guidance — Banking, Financial Services &amp; Insurance (BFSI)</w:t>
            </w:r>
          </w:p>
        </w:tc>
      </w:tr>
      <w:tr>
        <w:tc>
          <w:tcPr>
            <w:tcW w:type="dxa" w:w="10080"/>
            <w:shd w:fill="E8EAF6" w:color="auto" w:val="clear"/>
            <w:tcMar>
              <w:top w:type="dxa" w:w="90"/>
              <w:left w:type="dxa" w:w="140"/>
              <w:bottom w:type="dxa" w:w="90"/>
              <w:right w:type="dxa" w:w="120"/>
            </w:tcMar>
          </w:tcPr>
          <w:p>
            <w:pPr>
              <w:spacing w:after="70"/>
              <w:ind w:left="80"/>
            </w:pPr>
            <w:r>
              <w:rPr>
                <w:rFonts w:ascii="Arial" w:cs="Arial" w:eastAsia="Arial" w:hAnsi="Arial"/>
                <w:b w:val="false"/>
                <w:bCs w:val="false"/>
                <w:i w:val="false"/>
                <w:iCs w:val="false"/>
                <w:color w:val="424242"/>
                <w:sz w:val="17"/>
                <w:szCs w:val="17"/>
              </w:rPr>
              <w:t xml:space="preserve">Never estimate BFSI at Medium complexity — the regulatory burden alone justifies H as the minimum floor. Use VH for any programme with cross-border banking licences, IFRS 17, or Basel IV in scope.</w:t>
            </w:r>
          </w:p>
          <w:p>
            <w:pPr>
              <w:spacing w:after="70"/>
              <w:ind w:left="80"/>
            </w:pPr>
            <w:r>
              <w:rPr>
                <w:rFonts w:ascii="Arial" w:cs="Arial" w:eastAsia="Arial" w:hAnsi="Arial"/>
                <w:b w:val="false"/>
                <w:bCs w:val="false"/>
                <w:i w:val="false"/>
                <w:iCs w:val="false"/>
                <w:color w:val="424242"/>
                <w:sz w:val="17"/>
                <w:szCs w:val="17"/>
              </w:rPr>
              <w:t xml:space="preserve">Always validate integration count against the client's banking technology stack before finalising. Ask for a Confluence/Visio of their application landscape — what is visible in the discovery call is typically 40–60% of the actual integration scope.</w:t>
            </w:r>
          </w:p>
          <w:p>
            <w:pPr>
              <w:spacing w:after="70"/>
              <w:ind w:left="80"/>
            </w:pPr>
            <w:r>
              <w:rPr>
                <w:rFonts w:ascii="Arial" w:cs="Arial" w:eastAsia="Arial" w:hAnsi="Arial"/>
                <w:b w:val="false"/>
                <w:bCs w:val="false"/>
                <w:i w:val="false"/>
                <w:iCs w:val="false"/>
                <w:color w:val="424242"/>
                <w:sz w:val="17"/>
                <w:szCs w:val="17"/>
              </w:rPr>
              <w:t xml:space="preserve">Budget regulatory configuration as a separate named stream (not absorbed into GL or EPM) with its own resource (ideally a regulatory SME, not a standard functional consultant).</w:t>
            </w:r>
          </w:p>
          <w:p>
            <w:pPr>
              <w:spacing w:after="70"/>
              <w:ind w:left="80"/>
            </w:pPr>
            <w:r>
              <w:rPr>
                <w:rFonts w:ascii="Arial" w:cs="Arial" w:eastAsia="Arial" w:hAnsi="Arial"/>
                <w:b w:val="false"/>
                <w:bCs w:val="false"/>
                <w:i w:val="false"/>
                <w:iCs w:val="false"/>
                <w:color w:val="424242"/>
                <w:sz w:val="17"/>
                <w:szCs w:val="17"/>
              </w:rPr>
              <w:t xml:space="preserve">For EPM programmes involving FCCS, budget 18 days per legal entity for intercompany elimination configuration beyond the first 3 entities — this scales non-linearly.</w:t>
            </w:r>
          </w:p>
          <w:p>
            <w:pPr>
              <w:spacing w:after="70"/>
              <w:ind w:left="80"/>
            </w:pPr>
            <w:r>
              <w:rPr>
                <w:rFonts w:ascii="Arial" w:cs="Arial" w:eastAsia="Arial" w:hAnsi="Arial"/>
                <w:b w:val="false"/>
                <w:bCs w:val="false"/>
                <w:i w:val="false"/>
                <w:iCs w:val="false"/>
                <w:color w:val="424242"/>
                <w:sz w:val="17"/>
                <w:szCs w:val="17"/>
              </w:rPr>
              <w:t xml:space="preserve">Build at least 25% contingency into all BFSI estimates. Regulatory change mid-programme is near-certain for multi-year deployments — DPDPA, DORA, Basel IV phase-in are all live risks.</w:t>
            </w:r>
          </w:p>
        </w:tc>
      </w:tr>
    </w:tbl>
    <w:p>
      <w:pPr>
        <w:spacing w:after="60"/>
      </w:pPr>
      <w:r>
        <w:rPr>
          <w:rFonts w:ascii="Arial" w:cs="Arial" w:eastAsia="Arial" w:hAnsi="Arial"/>
          <w:b w:val="false"/>
          <w:bCs w:val="false"/>
          <w:i w:val="false"/>
          <w:iCs w:val="false"/>
          <w:color w:val="000000"/>
          <w:sz w:val="18"/>
          <w:szCs w:val="18"/>
        </w:rPr>
        <w:t xml:space="preserve"/>
      </w:r>
    </w:p>
    <w:p>
      <w:r>
        <w:br w:type="pag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00695C" w:color="auto" w:val="clear"/>
            <w:tcMar>
              <w:top w:type="dxa" w:w="120"/>
              <w:left w:type="dxa" w:w="180"/>
              <w:bottom w:type="dxa" w:w="120"/>
              <w:right w:type="dxa" w:w="120"/>
            </w:tcMar>
          </w:tcPr>
          <w:p>
            <w:pPr>
              <w:spacing w:after="60"/>
            </w:pPr>
            <w:r>
              <w:rPr>
                <w:rFonts w:ascii="Arial" w:cs="Arial" w:eastAsia="Arial" w:hAnsi="Arial"/>
                <w:b/>
                <w:bCs/>
                <w:i w:val="false"/>
                <w:iCs w:val="false"/>
                <w:color w:val="FFFFFF"/>
                <w:sz w:val="30"/>
                <w:szCs w:val="30"/>
              </w:rPr>
              <w:t xml:space="preserve">Manufacturing</w:t>
            </w:r>
          </w:p>
          <w:p>
            <w:pPr>
              <w:spacing w:after="0"/>
            </w:pPr>
            <w:r>
              <w:rPr>
                <w:rFonts w:ascii="Arial" w:cs="Arial" w:eastAsia="Arial" w:hAnsi="Arial"/>
                <w:b w:val="false"/>
                <w:bCs w:val="false"/>
                <w:i/>
                <w:iCs/>
                <w:color w:val="FFFFFF"/>
                <w:sz w:val="18"/>
                <w:szCs w:val="18"/>
              </w:rPr>
              <w:t xml:space="preserve">The highest SCM complexity domain — where Oracle Fusion must bridge the IT/OT gap and replace or integrate with decades-old MRP/ERP systems</w:t>
            </w:r>
          </w:p>
        </w:tc>
      </w:tr>
    </w:tbl>
    <w:p>
      <w:pPr>
        <w:spacing w:after="60"/>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424242"/>
          <w:sz w:val="18"/>
          <w:szCs w:val="18"/>
        </w:rPr>
        <w:t xml:space="preserve">Manufacturing is the most SCM-intensive Oracle Fusion domain. The scope almost always includes Inventory, Order Management, Manufacturing (WIP, BOM, Routing), Supply Chain Planning, and often Warehouse Management. Each of these modules carries configuration complexity that increases non-linearly with the number of plants, manufacturing types (discrete vs process vs mixed), shift patterns, and quality regimes. Additionally, manufacturing clients have the most complex legacy ERP landscapes — Oracle EBS, SAP R/3, legacy MRP systems — and the data migration from these systems, particularly BOM/routing structures and inventory valuations, is consistently the highest-risk workstream in the programme.</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00695C" w:color="auto" w:val="clear"/>
            <w:tcMar>
              <w:top w:type="dxa" w:w="60"/>
              <w:left w:type="dxa" w:w="130"/>
              <w:bottom w:type="dxa" w:w="60"/>
              <w:right w:type="dxa" w:w="80"/>
            </w:tcMar>
          </w:tcPr>
          <w:p>
            <w:pPr>
              <w:spacing w:after="40" w:before="40"/>
            </w:pPr>
            <w:r>
              <w:rPr>
                <w:rFonts w:ascii="Arial" w:cs="Arial" w:eastAsia="Arial" w:hAnsi="Arial"/>
                <w:b/>
                <w:bCs/>
                <w:i w:val="false"/>
                <w:iCs w:val="false"/>
                <w:color w:val="FFFFFF"/>
                <w:sz w:val="17"/>
                <w:szCs w:val="17"/>
              </w:rPr>
              <w:t xml:space="preserve">ESTIMATION SNAPSHOT</w:t>
            </w:r>
          </w:p>
        </w:tc>
      </w:tr>
      <w:tr>
        <w:tc>
          <w:tcPr>
            <w:tcW w:type="dxa" w:w="10080"/>
            <w:shd w:fill="E0F2F1"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Complexity Floor:  </w:t>
            </w:r>
            <w:r>
              <w:rPr>
                <w:rFonts w:ascii="Arial" w:cs="Arial" w:eastAsia="Arial" w:hAnsi="Arial"/>
                <w:b w:val="false"/>
                <w:bCs w:val="false"/>
                <w:i w:val="false"/>
                <w:iCs w:val="false"/>
                <w:color w:val="424242"/>
                <w:sz w:val="16"/>
                <w:szCs w:val="16"/>
              </w:rPr>
              <w:t xml:space="preserve">H mandatory (VH for multi-plant discrete + process mix)</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Module Count:  </w:t>
            </w:r>
            <w:r>
              <w:rPr>
                <w:rFonts w:ascii="Arial" w:cs="Arial" w:eastAsia="Arial" w:hAnsi="Arial"/>
                <w:b w:val="false"/>
                <w:bCs w:val="false"/>
                <w:i w:val="false"/>
                <w:iCs w:val="false"/>
                <w:color w:val="424242"/>
                <w:sz w:val="16"/>
                <w:szCs w:val="16"/>
              </w:rPr>
              <w:t xml:space="preserve">5–8 modules</w:t>
            </w:r>
          </w:p>
        </w:tc>
      </w:tr>
      <w:tr>
        <w:tc>
          <w:tcPr>
            <w:tcW w:type="dxa" w:w="10080"/>
            <w:shd w:fill="E0F2F1"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Integration Count (Simple/Complex):  </w:t>
            </w:r>
            <w:r>
              <w:rPr>
                <w:rFonts w:ascii="Arial" w:cs="Arial" w:eastAsia="Arial" w:hAnsi="Arial"/>
                <w:b w:val="false"/>
                <w:bCs w:val="false"/>
                <w:i w:val="false"/>
                <w:iCs w:val="false"/>
                <w:color w:val="424242"/>
                <w:sz w:val="16"/>
                <w:szCs w:val="16"/>
              </w:rPr>
              <w:t xml:space="preserve">15–30 simple / 10–20 complex</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DM Object Count:  </w:t>
            </w:r>
            <w:r>
              <w:rPr>
                <w:rFonts w:ascii="Arial" w:cs="Arial" w:eastAsia="Arial" w:hAnsi="Arial"/>
                <w:b w:val="false"/>
                <w:bCs w:val="false"/>
                <w:i w:val="false"/>
                <w:iCs w:val="false"/>
                <w:color w:val="424242"/>
                <w:sz w:val="16"/>
                <w:szCs w:val="16"/>
              </w:rPr>
              <w:t xml:space="preserve">18–35 objects</w:t>
            </w:r>
          </w:p>
        </w:tc>
      </w:tr>
      <w:tr>
        <w:tc>
          <w:tcPr>
            <w:tcW w:type="dxa" w:w="10080"/>
            <w:shd w:fill="E0F2F1"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CEMLI / Extensions:  </w:t>
            </w:r>
            <w:r>
              <w:rPr>
                <w:rFonts w:ascii="Arial" w:cs="Arial" w:eastAsia="Arial" w:hAnsi="Arial"/>
                <w:b w:val="false"/>
                <w:bCs w:val="false"/>
                <w:i w:val="false"/>
                <w:iCs w:val="false"/>
                <w:color w:val="424242"/>
                <w:sz w:val="16"/>
                <w:szCs w:val="16"/>
              </w:rPr>
              <w:t xml:space="preserve">20–40 extensions</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Duration:  </w:t>
            </w:r>
            <w:r>
              <w:rPr>
                <w:rFonts w:ascii="Arial" w:cs="Arial" w:eastAsia="Arial" w:hAnsi="Arial"/>
                <w:b w:val="false"/>
                <w:bCs w:val="false"/>
                <w:i w:val="false"/>
                <w:iCs w:val="false"/>
                <w:color w:val="424242"/>
                <w:sz w:val="16"/>
                <w:szCs w:val="16"/>
              </w:rPr>
              <w:t xml:space="preserve">18–30 months</w:t>
            </w:r>
          </w:p>
        </w:tc>
      </w:tr>
      <w:tr>
        <w:tc>
          <w:tcPr>
            <w:tcW w:type="dxa" w:w="10080"/>
            <w:shd w:fill="E0F2F1"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Effort Uplift vs Generic Benchmark:  </w:t>
            </w:r>
            <w:r>
              <w:rPr>
                <w:rFonts w:ascii="Arial" w:cs="Arial" w:eastAsia="Arial" w:hAnsi="Arial"/>
                <w:b w:val="false"/>
                <w:bCs w:val="false"/>
                <w:i w:val="false"/>
                <w:iCs w:val="false"/>
                <w:color w:val="424242"/>
                <w:sz w:val="16"/>
                <w:szCs w:val="16"/>
              </w:rPr>
              <w:t xml:space="preserve">+40–60% vs generic benchmark</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Highest-Risk Phase:  </w:t>
            </w:r>
            <w:r>
              <w:rPr>
                <w:rFonts w:ascii="Arial" w:cs="Arial" w:eastAsia="Arial" w:hAnsi="Arial"/>
                <w:b w:val="false"/>
                <w:bCs w:val="false"/>
                <w:i w:val="false"/>
                <w:iCs w:val="false"/>
                <w:color w:val="424242"/>
                <w:sz w:val="16"/>
                <w:szCs w:val="16"/>
              </w:rPr>
              <w:t xml:space="preserve">Ph3: Build (MFG config) and Ph6: Data Migration (BOM/routing)</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4840"/>
        <w:gridCol w:w="5240"/>
      </w:tblGrid>
      <w:tr>
        <w:tc>
          <w:tcPr>
            <w:tcW w:type="dxa" w:w="4840"/>
            <w:tcMar>
              <w:top w:type="dxa" w:w="0"/>
              <w:left w:type="dxa" w:w="0"/>
              <w:bottom w:type="dxa" w:w="0"/>
              <w:right w:type="dxa" w:w="80"/>
            </w:tcMar>
          </w:tcPr>
          <w:p>
            <w:pPr>
              <w:spacing w:after="80"/>
            </w:pPr>
            <w:r>
              <w:rPr>
                <w:rFonts w:ascii="Arial" w:cs="Arial" w:eastAsia="Arial" w:hAnsi="Arial"/>
                <w:b/>
                <w:bCs/>
                <w:i w:val="false"/>
                <w:iCs w:val="false"/>
                <w:color w:val="00695C"/>
                <w:sz w:val="17"/>
                <w:szCs w:val="17"/>
              </w:rPr>
              <w:t xml:space="preserve">Standard Oracle Modules (always in scope)</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Financials (GL, AP, AR, FA, Project Accounting)</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HCM – Core HR, Payroll, Absence</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SCM – Inventory &amp; Order Management</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SCM – Manufacturing (WIP, BOM, Routing)</w:t>
            </w:r>
          </w:p>
        </w:tc>
        <w:tc>
          <w:tcPr>
            <w:tcW w:type="dxa" w:w="5240"/>
            <w:tcMar>
              <w:top w:type="dxa" w:w="0"/>
              <w:left w:type="dxa" w:w="80"/>
              <w:bottom w:type="dxa" w:w="0"/>
              <w:right w:type="dxa" w:w="0"/>
            </w:tcMar>
          </w:tcPr>
          <w:p>
            <w:pPr>
              <w:spacing w:after="80"/>
            </w:pPr>
            <w:r>
              <w:rPr>
                <w:rFonts w:ascii="Arial" w:cs="Arial" w:eastAsia="Arial" w:hAnsi="Arial"/>
                <w:b/>
                <w:bCs/>
                <w:i w:val="false"/>
                <w:iCs w:val="false"/>
                <w:color w:val="00695C"/>
                <w:sz w:val="17"/>
                <w:szCs w:val="17"/>
              </w:rPr>
              <w:t xml:space="preserve">Domain-Specific Scope Additions</w:t>
            </w:r>
          </w:p>
          <w:p>
            <w:pPr>
              <w:spacing w:after="60"/>
              <w:ind w:left="200" w:hanging="160"/>
            </w:pPr>
            <w:r>
              <w:rPr>
                <w:rFonts w:ascii="Arial" w:cs="Arial" w:eastAsia="Arial" w:hAnsi="Arial"/>
                <w:b/>
                <w:bCs/>
                <w:i w:val="false"/>
                <w:iCs w:val="false"/>
                <w:color w:val="00695C"/>
                <w:sz w:val="16"/>
                <w:szCs w:val="16"/>
              </w:rPr>
              <w:t xml:space="preserve">★  </w:t>
            </w:r>
            <w:r>
              <w:rPr>
                <w:rFonts w:ascii="Arial" w:cs="Arial" w:eastAsia="Arial" w:hAnsi="Arial"/>
                <w:b w:val="false"/>
                <w:bCs w:val="false"/>
                <w:i w:val="false"/>
                <w:iCs w:val="false"/>
                <w:color w:val="424242"/>
                <w:sz w:val="16"/>
                <w:szCs w:val="16"/>
              </w:rPr>
              <w:t xml:space="preserve">MES/Shop Floor Integration (SCADA, Wonderware, Siemens)</w:t>
            </w:r>
          </w:p>
          <w:p>
            <w:pPr>
              <w:spacing w:after="60"/>
              <w:ind w:left="200" w:hanging="160"/>
            </w:pPr>
            <w:r>
              <w:rPr>
                <w:rFonts w:ascii="Arial" w:cs="Arial" w:eastAsia="Arial" w:hAnsi="Arial"/>
                <w:b/>
                <w:bCs/>
                <w:i w:val="false"/>
                <w:iCs w:val="false"/>
                <w:color w:val="00695C"/>
                <w:sz w:val="16"/>
                <w:szCs w:val="16"/>
              </w:rPr>
              <w:t xml:space="preserve">★  </w:t>
            </w:r>
            <w:r>
              <w:rPr>
                <w:rFonts w:ascii="Arial" w:cs="Arial" w:eastAsia="Arial" w:hAnsi="Arial"/>
                <w:b w:val="false"/>
                <w:bCs w:val="false"/>
                <w:i w:val="false"/>
                <w:iCs w:val="false"/>
                <w:color w:val="424242"/>
                <w:sz w:val="16"/>
                <w:szCs w:val="16"/>
              </w:rPr>
              <w:t xml:space="preserve">IoT Sensor Data Integration</w:t>
            </w:r>
          </w:p>
          <w:p>
            <w:pPr>
              <w:spacing w:after="60"/>
              <w:ind w:left="200" w:hanging="160"/>
            </w:pPr>
            <w:r>
              <w:rPr>
                <w:rFonts w:ascii="Arial" w:cs="Arial" w:eastAsia="Arial" w:hAnsi="Arial"/>
                <w:b/>
                <w:bCs/>
                <w:i w:val="false"/>
                <w:iCs w:val="false"/>
                <w:color w:val="00695C"/>
                <w:sz w:val="16"/>
                <w:szCs w:val="16"/>
              </w:rPr>
              <w:t xml:space="preserve">★  </w:t>
            </w:r>
            <w:r>
              <w:rPr>
                <w:rFonts w:ascii="Arial" w:cs="Arial" w:eastAsia="Arial" w:hAnsi="Arial"/>
                <w:b w:val="false"/>
                <w:bCs w:val="false"/>
                <w:i w:val="false"/>
                <w:iCs w:val="false"/>
                <w:color w:val="424242"/>
                <w:sz w:val="16"/>
                <w:szCs w:val="16"/>
              </w:rPr>
              <w:t xml:space="preserve">Quality Management (Inspection Plans, CAPA)</w:t>
            </w:r>
          </w:p>
          <w:p>
            <w:pPr>
              <w:spacing w:after="60"/>
              <w:ind w:left="200" w:hanging="160"/>
            </w:pPr>
            <w:r>
              <w:rPr>
                <w:rFonts w:ascii="Arial" w:cs="Arial" w:eastAsia="Arial" w:hAnsi="Arial"/>
                <w:b/>
                <w:bCs/>
                <w:i w:val="false"/>
                <w:iCs w:val="false"/>
                <w:color w:val="00695C"/>
                <w:sz w:val="16"/>
                <w:szCs w:val="16"/>
              </w:rPr>
              <w:t xml:space="preserve">★  </w:t>
            </w:r>
            <w:r>
              <w:rPr>
                <w:rFonts w:ascii="Arial" w:cs="Arial" w:eastAsia="Arial" w:hAnsi="Arial"/>
                <w:b w:val="false"/>
                <w:bCs w:val="false"/>
                <w:i w:val="false"/>
                <w:iCs w:val="false"/>
                <w:color w:val="424242"/>
                <w:sz w:val="16"/>
                <w:szCs w:val="16"/>
              </w:rPr>
              <w:t xml:space="preserve">Advanced Supply Chain Planning (S&amp;OP, MRP)</w:t>
            </w:r>
          </w:p>
          <w:p>
            <w:pPr>
              <w:spacing w:after="60"/>
              <w:ind w:left="200" w:hanging="160"/>
            </w:pPr>
            <w:r>
              <w:rPr>
                <w:rFonts w:ascii="Arial" w:cs="Arial" w:eastAsia="Arial" w:hAnsi="Arial"/>
                <w:b/>
                <w:bCs/>
                <w:i w:val="false"/>
                <w:iCs w:val="false"/>
                <w:color w:val="00695C"/>
                <w:sz w:val="16"/>
                <w:szCs w:val="16"/>
              </w:rPr>
              <w:t xml:space="preserve">★  </w:t>
            </w:r>
            <w:r>
              <w:rPr>
                <w:rFonts w:ascii="Arial" w:cs="Arial" w:eastAsia="Arial" w:hAnsi="Arial"/>
                <w:b w:val="false"/>
                <w:bCs w:val="false"/>
                <w:i w:val="false"/>
                <w:iCs w:val="false"/>
                <w:color w:val="424242"/>
                <w:sz w:val="16"/>
                <w:szCs w:val="16"/>
              </w:rPr>
              <w:t xml:space="preserve">Warehouse Management (WMS) with RF/Barcode</w:t>
            </w:r>
          </w:p>
          <w:p>
            <w:pPr>
              <w:spacing w:after="60"/>
              <w:ind w:left="200" w:hanging="160"/>
            </w:pPr>
            <w:r>
              <w:rPr>
                <w:rFonts w:ascii="Arial" w:cs="Arial" w:eastAsia="Arial" w:hAnsi="Arial"/>
                <w:b/>
                <w:bCs/>
                <w:i w:val="false"/>
                <w:iCs w:val="false"/>
                <w:color w:val="00695C"/>
                <w:sz w:val="16"/>
                <w:szCs w:val="16"/>
              </w:rPr>
              <w:t xml:space="preserve">★  </w:t>
            </w:r>
            <w:r>
              <w:rPr>
                <w:rFonts w:ascii="Arial" w:cs="Arial" w:eastAsia="Arial" w:hAnsi="Arial"/>
                <w:b w:val="false"/>
                <w:bCs w:val="false"/>
                <w:i w:val="false"/>
                <w:iCs w:val="false"/>
                <w:color w:val="424242"/>
                <w:sz w:val="16"/>
                <w:szCs w:val="16"/>
              </w:rPr>
              <w:t xml:space="preserve">Maintenance Management (Asset-heavy plants)</w:t>
            </w:r>
          </w:p>
          <w:p>
            <w:pPr>
              <w:spacing w:after="60"/>
              <w:ind w:left="200" w:hanging="160"/>
            </w:pPr>
            <w:r>
              <w:rPr>
                <w:rFonts w:ascii="Arial" w:cs="Arial" w:eastAsia="Arial" w:hAnsi="Arial"/>
                <w:b/>
                <w:bCs/>
                <w:i w:val="false"/>
                <w:iCs w:val="false"/>
                <w:color w:val="00695C"/>
                <w:sz w:val="16"/>
                <w:szCs w:val="16"/>
              </w:rPr>
              <w:t xml:space="preserve">★  </w:t>
            </w:r>
            <w:r>
              <w:rPr>
                <w:rFonts w:ascii="Arial" w:cs="Arial" w:eastAsia="Arial" w:hAnsi="Arial"/>
                <w:b w:val="false"/>
                <w:bCs w:val="false"/>
                <w:i w:val="false"/>
                <w:iCs w:val="false"/>
                <w:color w:val="424242"/>
                <w:sz w:val="16"/>
                <w:szCs w:val="16"/>
              </w:rPr>
              <w:t xml:space="preserve">Product Lifecycle Management (PLM) Integration</w:t>
            </w:r>
          </w:p>
          <w:p>
            <w:pPr>
              <w:spacing w:after="60"/>
              <w:ind w:left="200" w:hanging="160"/>
            </w:pPr>
            <w:r>
              <w:rPr>
                <w:rFonts w:ascii="Arial" w:cs="Arial" w:eastAsia="Arial" w:hAnsi="Arial"/>
                <w:b/>
                <w:bCs/>
                <w:i w:val="false"/>
                <w:iCs w:val="false"/>
                <w:color w:val="00695C"/>
                <w:sz w:val="16"/>
                <w:szCs w:val="16"/>
              </w:rPr>
              <w:t xml:space="preserve">★  </w:t>
            </w:r>
            <w:r>
              <w:rPr>
                <w:rFonts w:ascii="Arial" w:cs="Arial" w:eastAsia="Arial" w:hAnsi="Arial"/>
                <w:b w:val="false"/>
                <w:bCs w:val="false"/>
                <w:i w:val="false"/>
                <w:iCs w:val="false"/>
                <w:color w:val="424242"/>
                <w:sz w:val="16"/>
                <w:szCs w:val="16"/>
              </w:rPr>
              <w:t xml:space="preserve">Project Manufacturing / ETO configuration</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Key Estimation Drivers &amp; Unit Effort Uplift Factors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5000"/>
      </w:tblGrid>
      <w:tr>
        <w:trPr>
          <w:tblHeader/>
        </w:trPr>
        <w:tc>
          <w:tcPr>
            <w:tcW w:type="dxa" w:w="3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Driver</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Impact</w:t>
            </w:r>
          </w:p>
        </w:tc>
        <w:tc>
          <w:tcPr>
            <w:tcW w:type="dxa" w:w="1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Uplift vs Benchmark</w:t>
            </w:r>
          </w:p>
        </w:tc>
        <w:tc>
          <w:tcPr>
            <w:tcW w:type="dxa" w:w="5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Estimator Action</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Multi-plant BOM and routing complexity</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+40–70% on MFG stream</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Add 15–25 days per manufacturing plant for BOM/routing setup. Discrete and process manufacturing cannot share configuration — scope each separately.</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MES / Shop Floor integration</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+60–90% on integration stream</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MES integrations are real-time, high-volume, and use proprietary protocols (OPC-UA, MQTT). Budget 30–50 days per MES interface. Require OT/IT architect involvement from week 1.</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BOM and routing data migration from legacy MRP/ERP</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+50–80% on DM stream</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BOM migration is the highest-risk DM object. Allow 4 trial loads minimum. Budget 20–35 days per plant's BOM migration cycle, not per object.</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Multi-plant, multi-costing method configuration</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+30–45%</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 cost vs actual cost vs average cost cannot coexist in Oracle without explicit configuration. Define costing strategy in Discover phase — changes post-Build are very expensive.</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Quality management and inspection integration</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+20–30%</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Quality plans, sampling rules, and CAPA workflows are often scope-added during Design. Reserve 20–30 days as a named QM stream.</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Shift pay and union-specific payroll rules</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+30–50% on HCM-Payroll</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Manufacturing payroll (shift differentials, overtime triggers, union bargaining agreements) adds significant fast formula complexity. Budget 8–15 additional fast formula groups vs standard payroll.</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Domain Integration Landscape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1200"/>
        <w:gridCol w:w="44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System / Interface</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Type</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Complexity</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Typical Count</w:t>
            </w:r>
          </w:p>
        </w:tc>
        <w:tc>
          <w:tcPr>
            <w:tcW w:type="dxa" w:w="4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Estimation Note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Manufacturing Execution System (MES)</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Real-Time Bidirectional</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Per plant. OPC-UA / REST / proprietary protocol. Always requires middleware layer and specialist OT knowledge.</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IoT / SCADA Platform (Ignition, Wonderware)</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Real-Time Inbound</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2–6</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Sensor data aggregation for WIP tracking and machine OEE. High data volume — architecture design adds 10–15 days.</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PLM System (PTC Windchill, Siemens Teamcenter)</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 Batch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Engineering BOM to manufacturing BOM transformation. Schema complexity is consistently underestimated.</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WMS / RF Scanning System</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1–4</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If not using Oracle WMS, a third-party WMS interface carries 20–30 days per integration.</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EDI (Customer Orders / Supplier ASN)</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5–20</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EDI volume varies. Each trading partner can have unique format — use OIC EDI adaptor; budget 3–5 days per trading partner.</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Advanced Planning (SAP APO / Kinaxis / o9)</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 Batch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If Oracle SCP does not replace, integration with external planning system adds 20–40 days.</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Payroll / Time &amp; Attendance (Kronos / UKG)</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Time capture integration for shift and overtime pay is mandatory if not using Oracle HCM time module.</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SDLC Phase Distribution — Domain Adjustments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400"/>
        <w:gridCol w:w="40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Phase</w:t>
            </w:r>
          </w:p>
        </w:tc>
        <w:tc>
          <w:tcPr>
            <w:tcW w:type="dxa" w:w="15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Standard %</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Domain Adj. %</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Variance</w:t>
            </w:r>
          </w:p>
        </w:tc>
        <w:tc>
          <w:tcPr>
            <w:tcW w:type="dxa" w:w="4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Reason</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Ph1: Discover &amp; Assess</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14%</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Plant-by-plant process mapping and costing strategy definition adds workshop cycles</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Ph2: Design/Blueprint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20%</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BOM/routing design and costing method decisions require engineering and production leadership sign-off</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Ph3: Build/Configure</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35%</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+7pp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MFG, WMS, and QM configuration is volume-intensive; MES integration build is the single largest time consumer</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Ph4: Integration &amp; SIT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15%</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+3pp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MES integration SIT requires shop floor access and OT team availability — scheduling is complex</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Ph6: Data Migration</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12%</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+4pp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BOM and routing migration is the highest-risk DM workstream — allow 4 trial loads minimum; inventory valuation reconciliation adds weeks</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Ph7: Training &amp; OCM</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6%</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Shop floor users require role-specific training in multiple languages; shift pattern means more training sessions needed</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Ph8: Go-Live / Cutover</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Production go-lives cannot happen mid-shift — cutover must align with planned maintenance windows</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Ph9: Hypercare</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4%</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Month 1 production run on new system requires on-site support — shop floor issues require immediate resolution</w:t>
            </w:r>
          </w:p>
        </w:tc>
      </w:tr>
    </w:tbl>
    <w:p>
      <w:pPr>
        <w:spacing w:after="100" w:before="60"/>
        <w:jc w:val="left"/>
      </w:pPr>
      <w:r>
        <w:rPr>
          <w:rFonts w:ascii="Arial" w:cs="Arial" w:eastAsia="Arial" w:hAnsi="Arial"/>
          <w:b w:val="false"/>
          <w:bCs w:val="false"/>
          <w:i/>
          <w:iCs/>
          <w:color w:val="757575"/>
          <w:sz w:val="17"/>
          <w:szCs w:val="17"/>
        </w:rPr>
        <w:t xml:space="preserve">Manufacturing programmes have a distinctive double-peak in Build (configuration of manufacturing modules is volume-intensive) and SIT (MES integration testing requires physical shop floor access). The data migration phase is consistently longer than estimated because BOM/routing data in legacy systems is poorly documented and requires manual reconstruction.</w:t>
      </w:r>
    </w:p>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Top 5 Under-Priced Risks in Manufacturing Estimates</w:t>
      </w:r>
    </w:p>
    <w:p>
      <w:pPr>
        <w:spacing w:after="40" w:before="80"/>
        <w:ind w:left="120"/>
      </w:pPr>
      <w:r>
        <w:rPr>
          <w:rFonts w:ascii="Arial" w:cs="Arial" w:eastAsia="Arial" w:hAnsi="Arial"/>
          <w:b/>
          <w:bCs/>
          <w:i w:val="false"/>
          <w:iCs w:val="false"/>
          <w:color w:val="00695C"/>
          <w:sz w:val="18"/>
          <w:szCs w:val="18"/>
        </w:rPr>
        <w:t xml:space="preserve">1.  MES integration not properly scoped at estimation</w:t>
      </w:r>
    </w:p>
    <w:p>
      <w:pPr>
        <w:spacing w:after="80"/>
        <w:ind w:left="300"/>
      </w:pPr>
      <w:r>
        <w:rPr>
          <w:rFonts w:ascii="Arial" w:cs="Arial" w:eastAsia="Arial" w:hAnsi="Arial"/>
          <w:b w:val="false"/>
          <w:bCs w:val="false"/>
          <w:i w:val="false"/>
          <w:iCs w:val="false"/>
          <w:color w:val="424242"/>
          <w:sz w:val="17"/>
          <w:szCs w:val="17"/>
        </w:rPr>
        <w:t xml:space="preserve">MES integration is routinely missed because it sits outside the Oracle Fusion footprint. Each plant typically has one MES, and each is different. The estimator must walk the client's plant architecture with their OT team before estimating — not after.</w:t>
      </w:r>
    </w:p>
    <w:p>
      <w:pPr>
        <w:spacing w:after="40" w:before="80"/>
        <w:ind w:left="120"/>
      </w:pPr>
      <w:r>
        <w:rPr>
          <w:rFonts w:ascii="Arial" w:cs="Arial" w:eastAsia="Arial" w:hAnsi="Arial"/>
          <w:b/>
          <w:bCs/>
          <w:i w:val="false"/>
          <w:iCs w:val="false"/>
          <w:color w:val="00695C"/>
          <w:sz w:val="18"/>
          <w:szCs w:val="18"/>
        </w:rPr>
        <w:t xml:space="preserve">2.  BOM data migration complexity drastically underestimated</w:t>
      </w:r>
    </w:p>
    <w:p>
      <w:pPr>
        <w:spacing w:after="80"/>
        <w:ind w:left="300"/>
      </w:pPr>
      <w:r>
        <w:rPr>
          <w:rFonts w:ascii="Arial" w:cs="Arial" w:eastAsia="Arial" w:hAnsi="Arial"/>
          <w:b w:val="false"/>
          <w:bCs w:val="false"/>
          <w:i w:val="false"/>
          <w:iCs w:val="false"/>
          <w:color w:val="424242"/>
          <w:sz w:val="17"/>
          <w:szCs w:val="17"/>
        </w:rPr>
        <w:t xml:space="preserve">Legacy BOM data in Oracle EBS or SAP R/3 is almost always more complex than it appears. Multi-level BOMs, phantom items, and superseded revisions can triple the cleansing effort. Always request a BOM data sample before estimating.</w:t>
      </w:r>
    </w:p>
    <w:p>
      <w:pPr>
        <w:spacing w:after="40" w:before="80"/>
        <w:ind w:left="120"/>
      </w:pPr>
      <w:r>
        <w:rPr>
          <w:rFonts w:ascii="Arial" w:cs="Arial" w:eastAsia="Arial" w:hAnsi="Arial"/>
          <w:b/>
          <w:bCs/>
          <w:i w:val="false"/>
          <w:iCs w:val="false"/>
          <w:color w:val="00695C"/>
          <w:sz w:val="18"/>
          <w:szCs w:val="18"/>
        </w:rPr>
        <w:t xml:space="preserve">3.  Costing method decisions deferred past the design phase</w:t>
      </w:r>
    </w:p>
    <w:p>
      <w:pPr>
        <w:spacing w:after="80"/>
        <w:ind w:left="300"/>
      </w:pPr>
      <w:r>
        <w:rPr>
          <w:rFonts w:ascii="Arial" w:cs="Arial" w:eastAsia="Arial" w:hAnsi="Arial"/>
          <w:b w:val="false"/>
          <w:bCs w:val="false"/>
          <w:i w:val="false"/>
          <w:iCs w:val="false"/>
          <w:color w:val="424242"/>
          <w:sz w:val="17"/>
          <w:szCs w:val="17"/>
        </w:rPr>
        <w:t xml:space="preserve">Changing costing method post-configuration is a major rework event. If the client has not decided (standard vs actual vs average cost) before design sign-off, add 30–50 days to the Build estimate as a rework buffer.</w:t>
      </w:r>
    </w:p>
    <w:p>
      <w:pPr>
        <w:spacing w:after="40" w:before="80"/>
        <w:ind w:left="120"/>
      </w:pPr>
      <w:r>
        <w:rPr>
          <w:rFonts w:ascii="Arial" w:cs="Arial" w:eastAsia="Arial" w:hAnsi="Arial"/>
          <w:b/>
          <w:bCs/>
          <w:i w:val="false"/>
          <w:iCs w:val="false"/>
          <w:color w:val="00695C"/>
          <w:sz w:val="18"/>
          <w:szCs w:val="18"/>
        </w:rPr>
        <w:t xml:space="preserve">4.  Shop floor training and user adoption underestimated</w:t>
      </w:r>
    </w:p>
    <w:p>
      <w:pPr>
        <w:spacing w:after="80"/>
        <w:ind w:left="300"/>
      </w:pPr>
      <w:r>
        <w:rPr>
          <w:rFonts w:ascii="Arial" w:cs="Arial" w:eastAsia="Arial" w:hAnsi="Arial"/>
          <w:b w:val="false"/>
          <w:bCs w:val="false"/>
          <w:i w:val="false"/>
          <w:iCs w:val="false"/>
          <w:color w:val="424242"/>
          <w:sz w:val="17"/>
          <w:szCs w:val="17"/>
        </w:rPr>
        <w:t xml:space="preserve">Shop floor workers have the lowest ERP familiarity and the highest risk of system rejection. Allow for role-based training in multiple languages, short-session formats (not full-day), and on-site support during the first month of production operation.</w:t>
      </w:r>
    </w:p>
    <w:p>
      <w:pPr>
        <w:spacing w:after="40" w:before="80"/>
        <w:ind w:left="120"/>
      </w:pPr>
      <w:r>
        <w:rPr>
          <w:rFonts w:ascii="Arial" w:cs="Arial" w:eastAsia="Arial" w:hAnsi="Arial"/>
          <w:b/>
          <w:bCs/>
          <w:i w:val="false"/>
          <w:iCs w:val="false"/>
          <w:color w:val="00695C"/>
          <w:sz w:val="18"/>
          <w:szCs w:val="18"/>
        </w:rPr>
        <w:t xml:space="preserve">5.  Inventory go-live cutover complexity</w:t>
      </w:r>
    </w:p>
    <w:p>
      <w:pPr>
        <w:spacing w:after="80"/>
        <w:ind w:left="300"/>
      </w:pPr>
      <w:r>
        <w:rPr>
          <w:rFonts w:ascii="Arial" w:cs="Arial" w:eastAsia="Arial" w:hAnsi="Arial"/>
          <w:b w:val="false"/>
          <w:bCs w:val="false"/>
          <w:i w:val="false"/>
          <w:iCs w:val="false"/>
          <w:color w:val="424242"/>
          <w:sz w:val="17"/>
          <w:szCs w:val="17"/>
        </w:rPr>
        <w:t xml:space="preserve">Physical inventory count, cycle count reconciliation, and opening balance upload must happen in a planned maintenance window — often a weekend or seasonal shutdown. If the go-live window is constrained, this is the highest-risk cutover risk in manufacturing. Always build a dedicated cutover plan with the plant manager.</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00695C" w:color="auto" w:val="clear"/>
            <w:tcMar>
              <w:top w:type="dxa" w:w="70"/>
              <w:left w:type="dxa" w:w="130"/>
              <w:bottom w:type="dxa" w:w="70"/>
              <w:right w:type="dxa" w:w="120"/>
            </w:tcMar>
          </w:tcPr>
          <w:p>
            <w:pPr>
              <w:spacing w:after="60" w:before="60"/>
              <w:ind w:left="80"/>
            </w:pPr>
            <w:r>
              <w:rPr>
                <w:rFonts w:ascii="Arial" w:cs="Arial" w:eastAsia="Arial" w:hAnsi="Arial"/>
                <w:b/>
                <w:bCs/>
                <w:i w:val="false"/>
                <w:iCs w:val="false"/>
                <w:color w:val="FFFFFF"/>
                <w:sz w:val="19"/>
                <w:szCs w:val="19"/>
              </w:rPr>
              <w:t xml:space="preserve">Estimator Guidance — Manufacturing</w:t>
            </w:r>
          </w:p>
        </w:tc>
      </w:tr>
      <w:tr>
        <w:tc>
          <w:tcPr>
            <w:tcW w:type="dxa" w:w="10080"/>
            <w:shd w:fill="E0F2F1" w:color="auto" w:val="clear"/>
            <w:tcMar>
              <w:top w:type="dxa" w:w="90"/>
              <w:left w:type="dxa" w:w="140"/>
              <w:bottom w:type="dxa" w:w="90"/>
              <w:right w:type="dxa" w:w="120"/>
            </w:tcMar>
          </w:tcPr>
          <w:p>
            <w:pPr>
              <w:spacing w:after="70"/>
              <w:ind w:left="80"/>
            </w:pPr>
            <w:r>
              <w:rPr>
                <w:rFonts w:ascii="Arial" w:cs="Arial" w:eastAsia="Arial" w:hAnsi="Arial"/>
                <w:b w:val="false"/>
                <w:bCs w:val="false"/>
                <w:i w:val="false"/>
                <w:iCs w:val="false"/>
                <w:color w:val="424242"/>
                <w:sz w:val="17"/>
                <w:szCs w:val="17"/>
              </w:rPr>
              <w:t xml:space="preserve">Apply a minimum H complexity rating for any manufacturing client with more than 2 plants, 3 manufacturing types, or 10+ EDI trading partners. VH applies when MES integration is in scope.</w:t>
            </w:r>
          </w:p>
          <w:p>
            <w:pPr>
              <w:spacing w:after="70"/>
              <w:ind w:left="80"/>
            </w:pPr>
            <w:r>
              <w:rPr>
                <w:rFonts w:ascii="Arial" w:cs="Arial" w:eastAsia="Arial" w:hAnsi="Arial"/>
                <w:b w:val="false"/>
                <w:bCs w:val="false"/>
                <w:i w:val="false"/>
                <w:iCs w:val="false"/>
                <w:color w:val="424242"/>
                <w:sz w:val="17"/>
                <w:szCs w:val="17"/>
              </w:rPr>
              <w:t xml:space="preserve">Always request a BOM complexity profile (number of levels, average components per BOM, number of active BOMs, revision history) before estimating the data migration stream.</w:t>
            </w:r>
          </w:p>
          <w:p>
            <w:pPr>
              <w:spacing w:after="70"/>
              <w:ind w:left="80"/>
            </w:pPr>
            <w:r>
              <w:rPr>
                <w:rFonts w:ascii="Arial" w:cs="Arial" w:eastAsia="Arial" w:hAnsi="Arial"/>
                <w:b w:val="false"/>
                <w:bCs w:val="false"/>
                <w:i w:val="false"/>
                <w:iCs w:val="false"/>
                <w:color w:val="424242"/>
                <w:sz w:val="17"/>
                <w:szCs w:val="17"/>
              </w:rPr>
              <w:t xml:space="preserve">MES integration should be scoped as a separate named sub-stream with its own technical lead — it cannot be absorbed into standard OIC integration estimates.</w:t>
            </w:r>
          </w:p>
          <w:p>
            <w:pPr>
              <w:spacing w:after="70"/>
              <w:ind w:left="80"/>
            </w:pPr>
            <w:r>
              <w:rPr>
                <w:rFonts w:ascii="Arial" w:cs="Arial" w:eastAsia="Arial" w:hAnsi="Arial"/>
                <w:b w:val="false"/>
                <w:bCs w:val="false"/>
                <w:i w:val="false"/>
                <w:iCs w:val="false"/>
                <w:color w:val="424242"/>
                <w:sz w:val="17"/>
                <w:szCs w:val="17"/>
              </w:rPr>
              <w:t xml:space="preserve">Build an explicit costing strategy decision gate at the end of Discover — without a signed decision on costing method, the Design phase cannot proceed cleanly.</w:t>
            </w:r>
          </w:p>
          <w:p>
            <w:pPr>
              <w:spacing w:after="70"/>
              <w:ind w:left="80"/>
            </w:pPr>
            <w:r>
              <w:rPr>
                <w:rFonts w:ascii="Arial" w:cs="Arial" w:eastAsia="Arial" w:hAnsi="Arial"/>
                <w:b w:val="false"/>
                <w:bCs w:val="false"/>
                <w:i w:val="false"/>
                <w:iCs w:val="false"/>
                <w:color w:val="424242"/>
                <w:sz w:val="17"/>
                <w:szCs w:val="17"/>
              </w:rPr>
              <w:t xml:space="preserve">For multi-plant programmes, estimate each plant's go-live separately — production plants cannot all go live simultaneously. Plan for a phased rollout even if the client requests a single go-live.</w:t>
            </w:r>
          </w:p>
        </w:tc>
      </w:tr>
    </w:tbl>
    <w:p>
      <w:pPr>
        <w:spacing w:after="60"/>
      </w:pPr>
      <w:r>
        <w:rPr>
          <w:rFonts w:ascii="Arial" w:cs="Arial" w:eastAsia="Arial" w:hAnsi="Arial"/>
          <w:b w:val="false"/>
          <w:bCs w:val="false"/>
          <w:i w:val="false"/>
          <w:iCs w:val="false"/>
          <w:color w:val="000000"/>
          <w:sz w:val="18"/>
          <w:szCs w:val="18"/>
        </w:rPr>
        <w:t xml:space="preserve"/>
      </w:r>
    </w:p>
    <w:p>
      <w:r>
        <w:br w:type="pag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C74634" w:color="auto" w:val="clear"/>
            <w:tcMar>
              <w:top w:type="dxa" w:w="120"/>
              <w:left w:type="dxa" w:w="180"/>
              <w:bottom w:type="dxa" w:w="120"/>
              <w:right w:type="dxa" w:w="120"/>
            </w:tcMar>
          </w:tcPr>
          <w:p>
            <w:pPr>
              <w:spacing w:after="60"/>
            </w:pPr>
            <w:r>
              <w:rPr>
                <w:rFonts w:ascii="Arial" w:cs="Arial" w:eastAsia="Arial" w:hAnsi="Arial"/>
                <w:b/>
                <w:bCs/>
                <w:i w:val="false"/>
                <w:iCs w:val="false"/>
                <w:color w:val="FFFFFF"/>
                <w:sz w:val="30"/>
                <w:szCs w:val="30"/>
              </w:rPr>
              <w:t xml:space="preserve">Retail &amp; Consumer Packaged Goods</w:t>
            </w:r>
          </w:p>
          <w:p>
            <w:pPr>
              <w:spacing w:after="0"/>
            </w:pPr>
            <w:r>
              <w:rPr>
                <w:rFonts w:ascii="Arial" w:cs="Arial" w:eastAsia="Arial" w:hAnsi="Arial"/>
                <w:b w:val="false"/>
                <w:bCs w:val="false"/>
                <w:i/>
                <w:iCs/>
                <w:color w:val="FFFFFF"/>
                <w:sz w:val="18"/>
                <w:szCs w:val="18"/>
              </w:rPr>
              <w:t xml:space="preserve">High transaction volume, POS integration complexity, and seasonal go-live constraints define the Retail estimation profile</w:t>
            </w:r>
          </w:p>
        </w:tc>
      </w:tr>
    </w:tbl>
    <w:p>
      <w:pPr>
        <w:spacing w:after="60"/>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424242"/>
          <w:sz w:val="18"/>
          <w:szCs w:val="18"/>
        </w:rPr>
        <w:t xml:space="preserve">Retail and CPG clients bring two estimation challenges that are unique to the sector: extreme transaction volume and rigid seasonal blackout periods. An Oracle Fusion financials implementation for a major retailer must handle hundreds of thousands of daily transactions from POS systems, multiple fulfilment channels (in-store, online, click-and-collect), and complex promotional pricing that changes weekly. The go-live date is dictated by the retail calendar — a retailer will not go live in November or December under any circumstances, compressing the programme timeline into specific windows and often creating artificial urgency that increases delivery risk.</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C74634" w:color="auto" w:val="clear"/>
            <w:tcMar>
              <w:top w:type="dxa" w:w="60"/>
              <w:left w:type="dxa" w:w="130"/>
              <w:bottom w:type="dxa" w:w="60"/>
              <w:right w:type="dxa" w:w="80"/>
            </w:tcMar>
          </w:tcPr>
          <w:p>
            <w:pPr>
              <w:spacing w:after="40" w:before="40"/>
            </w:pPr>
            <w:r>
              <w:rPr>
                <w:rFonts w:ascii="Arial" w:cs="Arial" w:eastAsia="Arial" w:hAnsi="Arial"/>
                <w:b/>
                <w:bCs/>
                <w:i w:val="false"/>
                <w:iCs w:val="false"/>
                <w:color w:val="FFFFFF"/>
                <w:sz w:val="17"/>
                <w:szCs w:val="17"/>
              </w:rPr>
              <w:t xml:space="preserve">ESTIMATION SNAPSHOT</w:t>
            </w:r>
          </w:p>
        </w:tc>
      </w:tr>
      <w:tr>
        <w:tc>
          <w:tcPr>
            <w:tcW w:type="dxa" w:w="10080"/>
            <w:shd w:fill="FDECEA"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Complexity Floor:  </w:t>
            </w:r>
            <w:r>
              <w:rPr>
                <w:rFonts w:ascii="Arial" w:cs="Arial" w:eastAsia="Arial" w:hAnsi="Arial"/>
                <w:b w:val="false"/>
                <w:bCs w:val="false"/>
                <w:i w:val="false"/>
                <w:iCs w:val="false"/>
                <w:color w:val="424242"/>
                <w:sz w:val="16"/>
                <w:szCs w:val="16"/>
              </w:rPr>
              <w:t xml:space="preserve">M–H (H for omnichannel / multi-format)</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Module Count:  </w:t>
            </w:r>
            <w:r>
              <w:rPr>
                <w:rFonts w:ascii="Arial" w:cs="Arial" w:eastAsia="Arial" w:hAnsi="Arial"/>
                <w:b w:val="false"/>
                <w:bCs w:val="false"/>
                <w:i w:val="false"/>
                <w:iCs w:val="false"/>
                <w:color w:val="424242"/>
                <w:sz w:val="16"/>
                <w:szCs w:val="16"/>
              </w:rPr>
              <w:t xml:space="preserve">4–6 modules</w:t>
            </w:r>
          </w:p>
        </w:tc>
      </w:tr>
      <w:tr>
        <w:tc>
          <w:tcPr>
            <w:tcW w:type="dxa" w:w="10080"/>
            <w:shd w:fill="FDECEA"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Integration Count (Simple/Complex):  </w:t>
            </w:r>
            <w:r>
              <w:rPr>
                <w:rFonts w:ascii="Arial" w:cs="Arial" w:eastAsia="Arial" w:hAnsi="Arial"/>
                <w:b w:val="false"/>
                <w:bCs w:val="false"/>
                <w:i w:val="false"/>
                <w:iCs w:val="false"/>
                <w:color w:val="424242"/>
                <w:sz w:val="16"/>
                <w:szCs w:val="16"/>
              </w:rPr>
              <w:t xml:space="preserve">15–25 simple / 5–12 complex</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DM Object Count:  </w:t>
            </w:r>
            <w:r>
              <w:rPr>
                <w:rFonts w:ascii="Arial" w:cs="Arial" w:eastAsia="Arial" w:hAnsi="Arial"/>
                <w:b w:val="false"/>
                <w:bCs w:val="false"/>
                <w:i w:val="false"/>
                <w:iCs w:val="false"/>
                <w:color w:val="424242"/>
                <w:sz w:val="16"/>
                <w:szCs w:val="16"/>
              </w:rPr>
              <w:t xml:space="preserve">12–20 objects</w:t>
            </w:r>
          </w:p>
        </w:tc>
      </w:tr>
      <w:tr>
        <w:tc>
          <w:tcPr>
            <w:tcW w:type="dxa" w:w="10080"/>
            <w:shd w:fill="FDECEA"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CEMLI / Extensions:  </w:t>
            </w:r>
            <w:r>
              <w:rPr>
                <w:rFonts w:ascii="Arial" w:cs="Arial" w:eastAsia="Arial" w:hAnsi="Arial"/>
                <w:b w:val="false"/>
                <w:bCs w:val="false"/>
                <w:i w:val="false"/>
                <w:iCs w:val="false"/>
                <w:color w:val="424242"/>
                <w:sz w:val="16"/>
                <w:szCs w:val="16"/>
              </w:rPr>
              <w:t xml:space="preserve">10–20 extensions</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Duration:  </w:t>
            </w:r>
            <w:r>
              <w:rPr>
                <w:rFonts w:ascii="Arial" w:cs="Arial" w:eastAsia="Arial" w:hAnsi="Arial"/>
                <w:b w:val="false"/>
                <w:bCs w:val="false"/>
                <w:i w:val="false"/>
                <w:iCs w:val="false"/>
                <w:color w:val="424242"/>
                <w:sz w:val="16"/>
                <w:szCs w:val="16"/>
              </w:rPr>
              <w:t xml:space="preserve">12–20 months</w:t>
            </w:r>
          </w:p>
        </w:tc>
      </w:tr>
      <w:tr>
        <w:tc>
          <w:tcPr>
            <w:tcW w:type="dxa" w:w="10080"/>
            <w:shd w:fill="FDECEA"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Effort Uplift vs Generic Benchmark:  </w:t>
            </w:r>
            <w:r>
              <w:rPr>
                <w:rFonts w:ascii="Arial" w:cs="Arial" w:eastAsia="Arial" w:hAnsi="Arial"/>
                <w:b w:val="false"/>
                <w:bCs w:val="false"/>
                <w:i w:val="false"/>
                <w:iCs w:val="false"/>
                <w:color w:val="424242"/>
                <w:sz w:val="16"/>
                <w:szCs w:val="16"/>
              </w:rPr>
              <w:t xml:space="preserve">+20–35% vs generic benchmark</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Highest-Risk Phase:  </w:t>
            </w:r>
            <w:r>
              <w:rPr>
                <w:rFonts w:ascii="Arial" w:cs="Arial" w:eastAsia="Arial" w:hAnsi="Arial"/>
                <w:b w:val="false"/>
                <w:bCs w:val="false"/>
                <w:i w:val="false"/>
                <w:iCs w:val="false"/>
                <w:color w:val="424242"/>
                <w:sz w:val="16"/>
                <w:szCs w:val="16"/>
              </w:rPr>
              <w:t xml:space="preserve">Ph4: SIT (POS reconciliation) and Ph8: Go-Live (retail calendar constraint)</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4840"/>
        <w:gridCol w:w="5240"/>
      </w:tblGrid>
      <w:tr>
        <w:tc>
          <w:tcPr>
            <w:tcW w:type="dxa" w:w="4840"/>
            <w:tcMar>
              <w:top w:type="dxa" w:w="0"/>
              <w:left w:type="dxa" w:w="0"/>
              <w:bottom w:type="dxa" w:w="0"/>
              <w:right w:type="dxa" w:w="80"/>
            </w:tcMar>
          </w:tcPr>
          <w:p>
            <w:pPr>
              <w:spacing w:after="80"/>
            </w:pPr>
            <w:r>
              <w:rPr>
                <w:rFonts w:ascii="Arial" w:cs="Arial" w:eastAsia="Arial" w:hAnsi="Arial"/>
                <w:b/>
                <w:bCs/>
                <w:i w:val="false"/>
                <w:iCs w:val="false"/>
                <w:color w:val="C74634"/>
                <w:sz w:val="17"/>
                <w:szCs w:val="17"/>
              </w:rPr>
              <w:t xml:space="preserve">Standard Oracle Modules (always in scope)</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Financials (GL, AP, AR, FA)</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HCM – Core HR, Payroll, Absence</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SCM – Inventory, Order Management</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Procurement</w:t>
            </w:r>
          </w:p>
        </w:tc>
        <w:tc>
          <w:tcPr>
            <w:tcW w:type="dxa" w:w="5240"/>
            <w:tcMar>
              <w:top w:type="dxa" w:w="0"/>
              <w:left w:type="dxa" w:w="80"/>
              <w:bottom w:type="dxa" w:w="0"/>
              <w:right w:type="dxa" w:w="0"/>
            </w:tcMar>
          </w:tcPr>
          <w:p>
            <w:pPr>
              <w:spacing w:after="80"/>
            </w:pPr>
            <w:r>
              <w:rPr>
                <w:rFonts w:ascii="Arial" w:cs="Arial" w:eastAsia="Arial" w:hAnsi="Arial"/>
                <w:b/>
                <w:bCs/>
                <w:i w:val="false"/>
                <w:iCs w:val="false"/>
                <w:color w:val="C74634"/>
                <w:sz w:val="17"/>
                <w:szCs w:val="17"/>
              </w:rPr>
              <w:t xml:space="preserve">Domain-Specific Scope Additions</w:t>
            </w:r>
          </w:p>
          <w:p>
            <w:pPr>
              <w:spacing w:after="60"/>
              <w:ind w:left="200" w:hanging="160"/>
            </w:pPr>
            <w:r>
              <w:rPr>
                <w:rFonts w:ascii="Arial" w:cs="Arial" w:eastAsia="Arial" w:hAnsi="Arial"/>
                <w:b/>
                <w:bCs/>
                <w:i w:val="false"/>
                <w:iCs w:val="false"/>
                <w:color w:val="C74634"/>
                <w:sz w:val="16"/>
                <w:szCs w:val="16"/>
              </w:rPr>
              <w:t xml:space="preserve">★  </w:t>
            </w:r>
            <w:r>
              <w:rPr>
                <w:rFonts w:ascii="Arial" w:cs="Arial" w:eastAsia="Arial" w:hAnsi="Arial"/>
                <w:b w:val="false"/>
                <w:bCs w:val="false"/>
                <w:i w:val="false"/>
                <w:iCs w:val="false"/>
                <w:color w:val="424242"/>
                <w:sz w:val="16"/>
                <w:szCs w:val="16"/>
              </w:rPr>
              <w:t xml:space="preserve">Trade Promotions Management (TPM)</w:t>
            </w:r>
          </w:p>
          <w:p>
            <w:pPr>
              <w:spacing w:after="60"/>
              <w:ind w:left="200" w:hanging="160"/>
            </w:pPr>
            <w:r>
              <w:rPr>
                <w:rFonts w:ascii="Arial" w:cs="Arial" w:eastAsia="Arial" w:hAnsi="Arial"/>
                <w:b/>
                <w:bCs/>
                <w:i w:val="false"/>
                <w:iCs w:val="false"/>
                <w:color w:val="C74634"/>
                <w:sz w:val="16"/>
                <w:szCs w:val="16"/>
              </w:rPr>
              <w:t xml:space="preserve">★  </w:t>
            </w:r>
            <w:r>
              <w:rPr>
                <w:rFonts w:ascii="Arial" w:cs="Arial" w:eastAsia="Arial" w:hAnsi="Arial"/>
                <w:b w:val="false"/>
                <w:bCs w:val="false"/>
                <w:i w:val="false"/>
                <w:iCs w:val="false"/>
                <w:color w:val="424242"/>
                <w:sz w:val="16"/>
                <w:szCs w:val="16"/>
              </w:rPr>
              <w:t xml:space="preserve">Omnichannel Order Orchestration</w:t>
            </w:r>
          </w:p>
          <w:p>
            <w:pPr>
              <w:spacing w:after="60"/>
              <w:ind w:left="200" w:hanging="160"/>
            </w:pPr>
            <w:r>
              <w:rPr>
                <w:rFonts w:ascii="Arial" w:cs="Arial" w:eastAsia="Arial" w:hAnsi="Arial"/>
                <w:b/>
                <w:bCs/>
                <w:i w:val="false"/>
                <w:iCs w:val="false"/>
                <w:color w:val="C74634"/>
                <w:sz w:val="16"/>
                <w:szCs w:val="16"/>
              </w:rPr>
              <w:t xml:space="preserve">★  </w:t>
            </w:r>
            <w:r>
              <w:rPr>
                <w:rFonts w:ascii="Arial" w:cs="Arial" w:eastAsia="Arial" w:hAnsi="Arial"/>
                <w:b w:val="false"/>
                <w:bCs w:val="false"/>
                <w:i w:val="false"/>
                <w:iCs w:val="false"/>
                <w:color w:val="424242"/>
                <w:sz w:val="16"/>
                <w:szCs w:val="16"/>
              </w:rPr>
              <w:t xml:space="preserve">Retail Pricing &amp; Price List Management</w:t>
            </w:r>
          </w:p>
          <w:p>
            <w:pPr>
              <w:spacing w:after="60"/>
              <w:ind w:left="200" w:hanging="160"/>
            </w:pPr>
            <w:r>
              <w:rPr>
                <w:rFonts w:ascii="Arial" w:cs="Arial" w:eastAsia="Arial" w:hAnsi="Arial"/>
                <w:b/>
                <w:bCs/>
                <w:i w:val="false"/>
                <w:iCs w:val="false"/>
                <w:color w:val="C74634"/>
                <w:sz w:val="16"/>
                <w:szCs w:val="16"/>
              </w:rPr>
              <w:t xml:space="preserve">★  </w:t>
            </w:r>
            <w:r>
              <w:rPr>
                <w:rFonts w:ascii="Arial" w:cs="Arial" w:eastAsia="Arial" w:hAnsi="Arial"/>
                <w:b w:val="false"/>
                <w:bCs w:val="false"/>
                <w:i w:val="false"/>
                <w:iCs w:val="false"/>
                <w:color w:val="424242"/>
                <w:sz w:val="16"/>
                <w:szCs w:val="16"/>
              </w:rPr>
              <w:t xml:space="preserve">Loyalty Programme Integration</w:t>
            </w:r>
          </w:p>
          <w:p>
            <w:pPr>
              <w:spacing w:after="60"/>
              <w:ind w:left="200" w:hanging="160"/>
            </w:pPr>
            <w:r>
              <w:rPr>
                <w:rFonts w:ascii="Arial" w:cs="Arial" w:eastAsia="Arial" w:hAnsi="Arial"/>
                <w:b/>
                <w:bCs/>
                <w:i w:val="false"/>
                <w:iCs w:val="false"/>
                <w:color w:val="C74634"/>
                <w:sz w:val="16"/>
                <w:szCs w:val="16"/>
              </w:rPr>
              <w:t xml:space="preserve">★  </w:t>
            </w:r>
            <w:r>
              <w:rPr>
                <w:rFonts w:ascii="Arial" w:cs="Arial" w:eastAsia="Arial" w:hAnsi="Arial"/>
                <w:b w:val="false"/>
                <w:bCs w:val="false"/>
                <w:i w:val="false"/>
                <w:iCs w:val="false"/>
                <w:color w:val="424242"/>
                <w:sz w:val="16"/>
                <w:szCs w:val="16"/>
              </w:rPr>
              <w:t xml:space="preserve">POS Integration (Oracle Retail / NCR / Lightspeed)</w:t>
            </w:r>
          </w:p>
          <w:p>
            <w:pPr>
              <w:spacing w:after="60"/>
              <w:ind w:left="200" w:hanging="160"/>
            </w:pPr>
            <w:r>
              <w:rPr>
                <w:rFonts w:ascii="Arial" w:cs="Arial" w:eastAsia="Arial" w:hAnsi="Arial"/>
                <w:b/>
                <w:bCs/>
                <w:i w:val="false"/>
                <w:iCs w:val="false"/>
                <w:color w:val="C74634"/>
                <w:sz w:val="16"/>
                <w:szCs w:val="16"/>
              </w:rPr>
              <w:t xml:space="preserve">★  </w:t>
            </w:r>
            <w:r>
              <w:rPr>
                <w:rFonts w:ascii="Arial" w:cs="Arial" w:eastAsia="Arial" w:hAnsi="Arial"/>
                <w:b w:val="false"/>
                <w:bCs w:val="false"/>
                <w:i w:val="false"/>
                <w:iCs w:val="false"/>
                <w:color w:val="424242"/>
                <w:sz w:val="16"/>
                <w:szCs w:val="16"/>
              </w:rPr>
              <w:t xml:space="preserve">E-Commerce Platform Integration (Shopify, Salesforce Commerce)</w:t>
            </w:r>
          </w:p>
          <w:p>
            <w:pPr>
              <w:spacing w:after="60"/>
              <w:ind w:left="200" w:hanging="160"/>
            </w:pPr>
            <w:r>
              <w:rPr>
                <w:rFonts w:ascii="Arial" w:cs="Arial" w:eastAsia="Arial" w:hAnsi="Arial"/>
                <w:b/>
                <w:bCs/>
                <w:i w:val="false"/>
                <w:iCs w:val="false"/>
                <w:color w:val="C74634"/>
                <w:sz w:val="16"/>
                <w:szCs w:val="16"/>
              </w:rPr>
              <w:t xml:space="preserve">★  </w:t>
            </w:r>
            <w:r>
              <w:rPr>
                <w:rFonts w:ascii="Arial" w:cs="Arial" w:eastAsia="Arial" w:hAnsi="Arial"/>
                <w:b w:val="false"/>
                <w:bCs w:val="false"/>
                <w:i w:val="false"/>
                <w:iCs w:val="false"/>
                <w:color w:val="424242"/>
                <w:sz w:val="16"/>
                <w:szCs w:val="16"/>
              </w:rPr>
              <w:t xml:space="preserve">Merchandise Financial Planning</w:t>
            </w:r>
          </w:p>
          <w:p>
            <w:pPr>
              <w:spacing w:after="60"/>
              <w:ind w:left="200" w:hanging="160"/>
            </w:pPr>
            <w:r>
              <w:rPr>
                <w:rFonts w:ascii="Arial" w:cs="Arial" w:eastAsia="Arial" w:hAnsi="Arial"/>
                <w:b/>
                <w:bCs/>
                <w:i w:val="false"/>
                <w:iCs w:val="false"/>
                <w:color w:val="C74634"/>
                <w:sz w:val="16"/>
                <w:szCs w:val="16"/>
              </w:rPr>
              <w:t xml:space="preserve">★  </w:t>
            </w:r>
            <w:r>
              <w:rPr>
                <w:rFonts w:ascii="Arial" w:cs="Arial" w:eastAsia="Arial" w:hAnsi="Arial"/>
                <w:b w:val="false"/>
                <w:bCs w:val="false"/>
                <w:i w:val="false"/>
                <w:iCs w:val="false"/>
                <w:color w:val="424242"/>
                <w:sz w:val="16"/>
                <w:szCs w:val="16"/>
              </w:rPr>
              <w:t xml:space="preserve">Demand Forecasting (Oracle Retail / Blue Yonder)</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Key Estimation Drivers &amp; Unit Effort Uplift Factors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5000"/>
      </w:tblGrid>
      <w:tr>
        <w:trPr>
          <w:tblHeader/>
        </w:trPr>
        <w:tc>
          <w:tcPr>
            <w:tcW w:type="dxa" w:w="3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Driver</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Impact</w:t>
            </w:r>
          </w:p>
        </w:tc>
        <w:tc>
          <w:tcPr>
            <w:tcW w:type="dxa" w:w="1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Uplift vs Benchmark</w:t>
            </w:r>
          </w:p>
        </w:tc>
        <w:tc>
          <w:tcPr>
            <w:tcW w:type="dxa" w:w="5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Estimator Action</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POS / Omnichannel transaction volume design</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+25–40% on integration</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POS integration is high-volume batch with near-real-time reporting requirements. Add 15–25 days for GL summarisation design and reconciliation logic per retail format (store, online, franchise).</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Trade promotions and pricing complexity</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+30–50% on SCM/Order Mgmt</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Promotional pricing rules, trade fund management, and retailer rebate structures cannot be configured without a dedicated pricing design workstream. Add 25–40 days.</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Seasonal go-live constraint</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+10–20% (timeline compression)</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If the go-live window is compressed by the retail calendar, add a 15% risk premium to the SIT and UAT phases — compressed testing is a primary overrun driver in retail.</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Multi-channel inventory reconciliation</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+30–40% on DM/Inventory</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Inventory across store, DC, and online channels must reconcile to a single Oracle position. Add 20–30 days for inventory reconciliation design and trial load validation.</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Franchise / concession business model</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+20–35%</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Franchise models add legal entity complexity, intercompany billing, and royalty calculation. Add 15–20 days per franchise legal entity structure.</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Payroll for hourly / shift workforce</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+20–30% on HCM-Payroll</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Large hourly retail workforces with variable hours, overtime, and seasonal contracts require more complex absence and payroll configuration than a standard salaried workforce.</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Domain Integration Landscape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1200"/>
        <w:gridCol w:w="44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System / Interface</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Type</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Complexity</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Typical Count</w:t>
            </w:r>
          </w:p>
        </w:tc>
        <w:tc>
          <w:tcPr>
            <w:tcW w:type="dxa" w:w="4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Estimation Note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Point of Sale (Oracle Retail XSTORE, NCR, Lightspeed)</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 + Near-Real-Time</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 per format</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GL summarisation from POS is the most critical financial integration. Typically 1 per retail channel format.</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E-Commerce Platform (Shopify, Salesforce Commerce, SFCC)</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Real-Time Bidirectional</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Order-to-cash integration including inventory availability, order fulfilment, and returns processing.</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Warehouse Management / 3PL</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2–6</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DC-level inventory and ASN flows. 3PL interfaces add contractual complexity around data SLAs.</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Trade Promotions / Deductions (SAP TPM, Blacksmith)</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Promotional fund tracking and supplier deductions — often managed in a specialist tool not replaced by Fusion.</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Demand Planning (Blue Yonder, o9, Oracle Retail)</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Demand signal and replenishment order integration. Typically retained alongside Fusion SCM.</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Loyalty Platform (Salesforce, custom)</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Real-Time</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Points accrual and redemption integration with AR — usually 10–15 days per interface.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EDI (Supplier ASN, PO, Invoice)</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10–40</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Retail EDI trading partner volume can be very high. Use managed EDI service — budget 2–3 days per new trading partner onboarding.</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SDLC Phase Distribution — Domain Adjustments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400"/>
        <w:gridCol w:w="40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Phase</w:t>
            </w:r>
          </w:p>
        </w:tc>
        <w:tc>
          <w:tcPr>
            <w:tcW w:type="dxa" w:w="15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Standard %</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Domain Adj. %</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Variance</w:t>
            </w:r>
          </w:p>
        </w:tc>
        <w:tc>
          <w:tcPr>
            <w:tcW w:type="dxa" w:w="4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Reason</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Ph1: Discover &amp; Assess</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12%</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0pp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 — retail processes are well-documented</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Ph2: Design/Blueprint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20%</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Pricing and promotions design requires Merchandising and Finance leadership — decisions take longer</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Ph3: Build/Configure</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28%</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0pp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 build phase — elevated by pricing rules and POS integration</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Ph4: Integration &amp; SIT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15%</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+3pp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POS integration SIT requires store IT involvement and peak-volume transaction testing</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Ph5: UAT</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9%</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Seasonal blackout often forces UAT into a compressed window — risk of under-testing</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Ph6: Data Migration</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9%</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Inventory and pricing data volume is high — trial loads take longer due to volume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Ph8: Go-Live / Cutover</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Retail cutover must complete before store opening — typically Saturday night. Any delay pushes to next weekend.</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Ph9: Hypercare</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Post-go-live trading period requires dedicated reconciliation support — first period-end close is always intensive</w:t>
            </w:r>
          </w:p>
        </w:tc>
      </w:tr>
    </w:tbl>
    <w:p>
      <w:pPr>
        <w:spacing w:after="100" w:before="60"/>
        <w:jc w:val="left"/>
      </w:pPr>
      <w:r>
        <w:rPr>
          <w:rFonts w:ascii="Arial" w:cs="Arial" w:eastAsia="Arial" w:hAnsi="Arial"/>
          <w:b w:val="false"/>
          <w:bCs w:val="false"/>
          <w:i/>
          <w:iCs/>
          <w:color w:val="757575"/>
          <w:sz w:val="17"/>
          <w:szCs w:val="17"/>
        </w:rPr>
        <w:t xml:space="preserve">Retail programmes are characterised by a compressed testing phase (seasonal constraints), elevated integration and SIT effort (POS volume testing), and a particularly risk-laden cutover (store operations cannot be disrupted). The Build phase is standard but shifts toward integration build and pricing configuration rather than complex module configuration.</w:t>
      </w:r>
    </w:p>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Top 5 Under-Priced Risks in Retail &amp; Consumer Packaged Goods Estimates</w:t>
      </w:r>
    </w:p>
    <w:p>
      <w:pPr>
        <w:spacing w:after="40" w:before="80"/>
        <w:ind w:left="120"/>
      </w:pPr>
      <w:r>
        <w:rPr>
          <w:rFonts w:ascii="Arial" w:cs="Arial" w:eastAsia="Arial" w:hAnsi="Arial"/>
          <w:b/>
          <w:bCs/>
          <w:i w:val="false"/>
          <w:iCs w:val="false"/>
          <w:color w:val="C74634"/>
          <w:sz w:val="18"/>
          <w:szCs w:val="18"/>
        </w:rPr>
        <w:t xml:space="preserve">1.  Seasonal go-live constraint creating compressed testing</w:t>
      </w:r>
    </w:p>
    <w:p>
      <w:pPr>
        <w:spacing w:after="80"/>
        <w:ind w:left="300"/>
      </w:pPr>
      <w:r>
        <w:rPr>
          <w:rFonts w:ascii="Arial" w:cs="Arial" w:eastAsia="Arial" w:hAnsi="Arial"/>
          <w:b w:val="false"/>
          <w:bCs w:val="false"/>
          <w:i w:val="false"/>
          <w:iCs w:val="false"/>
          <w:color w:val="424242"/>
          <w:sz w:val="17"/>
          <w:szCs w:val="17"/>
        </w:rPr>
        <w:t xml:space="preserve">Retailers set go-live dates by the retail calendar, not by programme readiness. A programme that is 3 weeks behind schedule has no flexibility if the go-live must happen before peak trading. The result is compressed UAT, skipped regression cycles, and high post-go-live defect rates. Build explicit contingency into the SIT/UAT phases rather than the overall estimate.</w:t>
      </w:r>
    </w:p>
    <w:p>
      <w:pPr>
        <w:spacing w:after="40" w:before="80"/>
        <w:ind w:left="120"/>
      </w:pPr>
      <w:r>
        <w:rPr>
          <w:rFonts w:ascii="Arial" w:cs="Arial" w:eastAsia="Arial" w:hAnsi="Arial"/>
          <w:b/>
          <w:bCs/>
          <w:i w:val="false"/>
          <w:iCs w:val="false"/>
          <w:color w:val="C74634"/>
          <w:sz w:val="18"/>
          <w:szCs w:val="18"/>
        </w:rPr>
        <w:t xml:space="preserve">2.  POS GL summarisation not scoped as a technical workstream</w:t>
      </w:r>
    </w:p>
    <w:p>
      <w:pPr>
        <w:spacing w:after="80"/>
        <w:ind w:left="300"/>
      </w:pPr>
      <w:r>
        <w:rPr>
          <w:rFonts w:ascii="Arial" w:cs="Arial" w:eastAsia="Arial" w:hAnsi="Arial"/>
          <w:b w:val="false"/>
          <w:bCs w:val="false"/>
          <w:i w:val="false"/>
          <w:iCs w:val="false"/>
          <w:color w:val="424242"/>
          <w:sz w:val="17"/>
          <w:szCs w:val="17"/>
        </w:rPr>
        <w:t xml:space="preserve">POS-to-GL is not a simple interface — it is a transaction summarisation, posting, and reconciliation process that must be designed, tested against peak transaction volumes, and validated by Finance. It is routinely treated as a standard OIC integration and underestimated by 15–20 days.</w:t>
      </w:r>
    </w:p>
    <w:p>
      <w:pPr>
        <w:spacing w:after="40" w:before="80"/>
        <w:ind w:left="120"/>
      </w:pPr>
      <w:r>
        <w:rPr>
          <w:rFonts w:ascii="Arial" w:cs="Arial" w:eastAsia="Arial" w:hAnsi="Arial"/>
          <w:b/>
          <w:bCs/>
          <w:i w:val="false"/>
          <w:iCs w:val="false"/>
          <w:color w:val="C74634"/>
          <w:sz w:val="18"/>
          <w:szCs w:val="18"/>
        </w:rPr>
        <w:t xml:space="preserve">3.  Trade promotions and supplier deductions not in scope</w:t>
      </w:r>
    </w:p>
    <w:p>
      <w:pPr>
        <w:spacing w:after="80"/>
        <w:ind w:left="300"/>
      </w:pPr>
      <w:r>
        <w:rPr>
          <w:rFonts w:ascii="Arial" w:cs="Arial" w:eastAsia="Arial" w:hAnsi="Arial"/>
          <w:b w:val="false"/>
          <w:bCs w:val="false"/>
          <w:i w:val="false"/>
          <w:iCs w:val="false"/>
          <w:color w:val="424242"/>
          <w:sz w:val="17"/>
          <w:szCs w:val="17"/>
        </w:rPr>
        <w:t xml:space="preserve">Trade fund management and supplier deduction reconciliation are almost always in scope once the Procurement team gets involved in the scoping conversation. Reserve 25–40 days for this workstream rather than discovering it in Design.</w:t>
      </w:r>
    </w:p>
    <w:p>
      <w:pPr>
        <w:spacing w:after="40" w:before="80"/>
        <w:ind w:left="120"/>
      </w:pPr>
      <w:r>
        <w:rPr>
          <w:rFonts w:ascii="Arial" w:cs="Arial" w:eastAsia="Arial" w:hAnsi="Arial"/>
          <w:b/>
          <w:bCs/>
          <w:i w:val="false"/>
          <w:iCs w:val="false"/>
          <w:color w:val="C74634"/>
          <w:sz w:val="18"/>
          <w:szCs w:val="18"/>
        </w:rPr>
        <w:t xml:space="preserve">4.  Inventory reconciliation across channels at go-live</w:t>
      </w:r>
    </w:p>
    <w:p>
      <w:pPr>
        <w:spacing w:after="80"/>
        <w:ind w:left="300"/>
      </w:pPr>
      <w:r>
        <w:rPr>
          <w:rFonts w:ascii="Arial" w:cs="Arial" w:eastAsia="Arial" w:hAnsi="Arial"/>
          <w:b w:val="false"/>
          <w:bCs w:val="false"/>
          <w:i w:val="false"/>
          <w:iCs w:val="false"/>
          <w:color w:val="424242"/>
          <w:sz w:val="17"/>
          <w:szCs w:val="17"/>
        </w:rPr>
        <w:t xml:space="preserve">Going live with misaligned inventory positions across store, DC, and online creates immediate operational problems. A dedicated pre-go-live inventory reconciliation process (physical count + Oracle upload) must be planned and estimated explicitly.</w:t>
      </w:r>
    </w:p>
    <w:p>
      <w:pPr>
        <w:spacing w:after="40" w:before="80"/>
        <w:ind w:left="120"/>
      </w:pPr>
      <w:r>
        <w:rPr>
          <w:rFonts w:ascii="Arial" w:cs="Arial" w:eastAsia="Arial" w:hAnsi="Arial"/>
          <w:b/>
          <w:bCs/>
          <w:i w:val="false"/>
          <w:iCs w:val="false"/>
          <w:color w:val="C74634"/>
          <w:sz w:val="18"/>
          <w:szCs w:val="18"/>
        </w:rPr>
        <w:t xml:space="preserve">5.  Volume-at-scale testing not included in SIT</w:t>
      </w:r>
    </w:p>
    <w:p>
      <w:pPr>
        <w:spacing w:after="80"/>
        <w:ind w:left="300"/>
      </w:pPr>
      <w:r>
        <w:rPr>
          <w:rFonts w:ascii="Arial" w:cs="Arial" w:eastAsia="Arial" w:hAnsi="Arial"/>
          <w:b w:val="false"/>
          <w:bCs w:val="false"/>
          <w:i w:val="false"/>
          <w:iCs w:val="false"/>
          <w:color w:val="424242"/>
          <w:sz w:val="17"/>
          <w:szCs w:val="17"/>
        </w:rPr>
        <w:t xml:space="preserve">A retail SIT that tests at 10% of peak transaction volume will pass. The same SIT at 100% peak volume will fail. Performance testing against peak-day transaction volumes (Black Friday, seasonal peaks) must be explicitly estimated and scheduled — typically 10–15 additional days.</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C74634" w:color="auto" w:val="clear"/>
            <w:tcMar>
              <w:top w:type="dxa" w:w="70"/>
              <w:left w:type="dxa" w:w="130"/>
              <w:bottom w:type="dxa" w:w="70"/>
              <w:right w:type="dxa" w:w="120"/>
            </w:tcMar>
          </w:tcPr>
          <w:p>
            <w:pPr>
              <w:spacing w:after="60" w:before="60"/>
              <w:ind w:left="80"/>
            </w:pPr>
            <w:r>
              <w:rPr>
                <w:rFonts w:ascii="Arial" w:cs="Arial" w:eastAsia="Arial" w:hAnsi="Arial"/>
                <w:b/>
                <w:bCs/>
                <w:i w:val="false"/>
                <w:iCs w:val="false"/>
                <w:color w:val="FFFFFF"/>
                <w:sz w:val="19"/>
                <w:szCs w:val="19"/>
              </w:rPr>
              <w:t xml:space="preserve">Estimator Guidance — Retail &amp; Consumer Packaged Goods</w:t>
            </w:r>
          </w:p>
        </w:tc>
      </w:tr>
      <w:tr>
        <w:tc>
          <w:tcPr>
            <w:tcW w:type="dxa" w:w="10080"/>
            <w:shd w:fill="FDECEA" w:color="auto" w:val="clear"/>
            <w:tcMar>
              <w:top w:type="dxa" w:w="90"/>
              <w:left w:type="dxa" w:w="140"/>
              <w:bottom w:type="dxa" w:w="90"/>
              <w:right w:type="dxa" w:w="120"/>
            </w:tcMar>
          </w:tcPr>
          <w:p>
            <w:pPr>
              <w:spacing w:after="70"/>
              <w:ind w:left="80"/>
            </w:pPr>
            <w:r>
              <w:rPr>
                <w:rFonts w:ascii="Arial" w:cs="Arial" w:eastAsia="Arial" w:hAnsi="Arial"/>
                <w:b w:val="false"/>
                <w:bCs w:val="false"/>
                <w:i w:val="false"/>
                <w:iCs w:val="false"/>
                <w:color w:val="424242"/>
                <w:sz w:val="17"/>
                <w:szCs w:val="17"/>
              </w:rPr>
              <w:t xml:space="preserve">Validate the go-live date against the retail calendar in the first week of the engagement. If the client's requested go-live is within a trading blackout period, flag immediately and identify the nearest viable window.</w:t>
            </w:r>
          </w:p>
          <w:p>
            <w:pPr>
              <w:spacing w:after="70"/>
              <w:ind w:left="80"/>
            </w:pPr>
            <w:r>
              <w:rPr>
                <w:rFonts w:ascii="Arial" w:cs="Arial" w:eastAsia="Arial" w:hAnsi="Arial"/>
                <w:b w:val="false"/>
                <w:bCs w:val="false"/>
                <w:i w:val="false"/>
                <w:iCs w:val="false"/>
                <w:color w:val="424242"/>
                <w:sz w:val="17"/>
                <w:szCs w:val="17"/>
              </w:rPr>
              <w:t xml:space="preserve">Always include POS GL summarisation as a named integration workstream — not absorbed into the standard integration count. Treat each retail channel format (store, online, franchise) as a separate interface.</w:t>
            </w:r>
          </w:p>
          <w:p>
            <w:pPr>
              <w:spacing w:after="70"/>
              <w:ind w:left="80"/>
            </w:pPr>
            <w:r>
              <w:rPr>
                <w:rFonts w:ascii="Arial" w:cs="Arial" w:eastAsia="Arial" w:hAnsi="Arial"/>
                <w:b w:val="false"/>
                <w:bCs w:val="false"/>
                <w:i w:val="false"/>
                <w:iCs w:val="false"/>
                <w:color w:val="424242"/>
                <w:sz w:val="17"/>
                <w:szCs w:val="17"/>
              </w:rPr>
              <w:t xml:space="preserve">For omnichannel retailers, scope the inventory reconciliation workstream explicitly in the data migration track. Multi-channel inventory at go-live is the highest operational risk for a retail cutover.</w:t>
            </w:r>
          </w:p>
          <w:p>
            <w:pPr>
              <w:spacing w:after="70"/>
              <w:ind w:left="80"/>
            </w:pPr>
            <w:r>
              <w:rPr>
                <w:rFonts w:ascii="Arial" w:cs="Arial" w:eastAsia="Arial" w:hAnsi="Arial"/>
                <w:b w:val="false"/>
                <w:bCs w:val="false"/>
                <w:i w:val="false"/>
                <w:iCs w:val="false"/>
                <w:color w:val="424242"/>
                <w:sz w:val="17"/>
                <w:szCs w:val="17"/>
              </w:rPr>
              <w:t xml:space="preserve">Budget 10–15 additional days for volume/performance testing — standard SIT volumes do not validate retail-scale transaction processing.</w:t>
            </w:r>
          </w:p>
          <w:p>
            <w:pPr>
              <w:spacing w:after="70"/>
              <w:ind w:left="80"/>
            </w:pPr>
            <w:r>
              <w:rPr>
                <w:rFonts w:ascii="Arial" w:cs="Arial" w:eastAsia="Arial" w:hAnsi="Arial"/>
                <w:b w:val="false"/>
                <w:bCs w:val="false"/>
                <w:i w:val="false"/>
                <w:iCs w:val="false"/>
                <w:color w:val="424242"/>
                <w:sz w:val="17"/>
                <w:szCs w:val="17"/>
              </w:rPr>
              <w:t xml:space="preserve">If trade promotions management is even mentioned in discovery, add 30–40 days as a contingent scope item — the probability of it landing in scope is &gt;70%.</w:t>
            </w:r>
          </w:p>
        </w:tc>
      </w:tr>
    </w:tbl>
    <w:p>
      <w:pPr>
        <w:spacing w:after="60"/>
      </w:pPr>
      <w:r>
        <w:rPr>
          <w:rFonts w:ascii="Arial" w:cs="Arial" w:eastAsia="Arial" w:hAnsi="Arial"/>
          <w:b w:val="false"/>
          <w:bCs w:val="false"/>
          <w:i w:val="false"/>
          <w:iCs w:val="false"/>
          <w:color w:val="000000"/>
          <w:sz w:val="18"/>
          <w:szCs w:val="18"/>
        </w:rPr>
        <w:t xml:space="preserve"/>
      </w:r>
    </w:p>
    <w:p>
      <w:r>
        <w:br w:type="pag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2E7D32" w:color="auto" w:val="clear"/>
            <w:tcMar>
              <w:top w:type="dxa" w:w="120"/>
              <w:left w:type="dxa" w:w="180"/>
              <w:bottom w:type="dxa" w:w="120"/>
              <w:right w:type="dxa" w:w="120"/>
            </w:tcMar>
          </w:tcPr>
          <w:p>
            <w:pPr>
              <w:spacing w:after="60"/>
            </w:pPr>
            <w:r>
              <w:rPr>
                <w:rFonts w:ascii="Arial" w:cs="Arial" w:eastAsia="Arial" w:hAnsi="Arial"/>
                <w:b/>
                <w:bCs/>
                <w:i w:val="false"/>
                <w:iCs w:val="false"/>
                <w:color w:val="FFFFFF"/>
                <w:sz w:val="30"/>
                <w:szCs w:val="30"/>
              </w:rPr>
              <w:t xml:space="preserve">Healthcare &amp; Life Sciences</w:t>
            </w:r>
          </w:p>
          <w:p>
            <w:pPr>
              <w:spacing w:after="0"/>
            </w:pPr>
            <w:r>
              <w:rPr>
                <w:rFonts w:ascii="Arial" w:cs="Arial" w:eastAsia="Arial" w:hAnsi="Arial"/>
                <w:b w:val="false"/>
                <w:bCs w:val="false"/>
                <w:i/>
                <w:iCs/>
                <w:color w:val="FFFFFF"/>
                <w:sz w:val="18"/>
                <w:szCs w:val="18"/>
              </w:rPr>
              <w:t xml:space="preserve">Regulatory compliance is non-negotiable; HIPAA, GxP, and clinical system integration define the estimation profile</w:t>
            </w:r>
          </w:p>
        </w:tc>
      </w:tr>
    </w:tbl>
    <w:p>
      <w:pPr>
        <w:spacing w:after="60"/>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424242"/>
          <w:sz w:val="18"/>
          <w:szCs w:val="18"/>
        </w:rPr>
        <w:t xml:space="preserve">Healthcare is the only domain where a regulatory failure in the Oracle implementation can directly affect patient safety — and that reality shapes every aspect of the estimation. HIPAA (for healthcare providers in the US) and equivalent frameworks globally require specific data handling, access control, and audit trail configuration that is not standard in Oracle Fusion out of the box. Life Sciences clients add GxP validation requirements — the system must be formally validated before it can be used in regulated manufacturing or clinical processes, which adds a Computer System Validation (CSV) workstream of 40–80 days. The integration landscape is defined by clinical systems (EMR, EHR, LIMS) that use healthcare-specific protocols (HL7, FHIR) unfamiliar to standard Oracle integration consultants.</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2E7D32" w:color="auto" w:val="clear"/>
            <w:tcMar>
              <w:top w:type="dxa" w:w="60"/>
              <w:left w:type="dxa" w:w="130"/>
              <w:bottom w:type="dxa" w:w="60"/>
              <w:right w:type="dxa" w:w="80"/>
            </w:tcMar>
          </w:tcPr>
          <w:p>
            <w:pPr>
              <w:spacing w:after="40" w:before="40"/>
            </w:pPr>
            <w:r>
              <w:rPr>
                <w:rFonts w:ascii="Arial" w:cs="Arial" w:eastAsia="Arial" w:hAnsi="Arial"/>
                <w:b/>
                <w:bCs/>
                <w:i w:val="false"/>
                <w:iCs w:val="false"/>
                <w:color w:val="FFFFFF"/>
                <w:sz w:val="17"/>
                <w:szCs w:val="17"/>
              </w:rPr>
              <w:t xml:space="preserve">ESTIMATION SNAPSHOT</w:t>
            </w:r>
          </w:p>
        </w:tc>
      </w:tr>
      <w:tr>
        <w:tc>
          <w:tcPr>
            <w:tcW w:type="dxa" w:w="10080"/>
            <w:shd w:fill="E8F5E9"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Complexity Floor:  </w:t>
            </w:r>
            <w:r>
              <w:rPr>
                <w:rFonts w:ascii="Arial" w:cs="Arial" w:eastAsia="Arial" w:hAnsi="Arial"/>
                <w:b w:val="false"/>
                <w:bCs w:val="false"/>
                <w:i w:val="false"/>
                <w:iCs w:val="false"/>
                <w:color w:val="424242"/>
                <w:sz w:val="16"/>
                <w:szCs w:val="16"/>
              </w:rPr>
              <w:t xml:space="preserve">H mandatory (VH for multi-site Life Sciences GxP)</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Module Count:  </w:t>
            </w:r>
            <w:r>
              <w:rPr>
                <w:rFonts w:ascii="Arial" w:cs="Arial" w:eastAsia="Arial" w:hAnsi="Arial"/>
                <w:b w:val="false"/>
                <w:bCs w:val="false"/>
                <w:i w:val="false"/>
                <w:iCs w:val="false"/>
                <w:color w:val="424242"/>
                <w:sz w:val="16"/>
                <w:szCs w:val="16"/>
              </w:rPr>
              <w:t xml:space="preserve">4–7 modules</w:t>
            </w:r>
          </w:p>
        </w:tc>
      </w:tr>
      <w:tr>
        <w:tc>
          <w:tcPr>
            <w:tcW w:type="dxa" w:w="10080"/>
            <w:shd w:fill="E8F5E9"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Integration Count (Simple/Complex):  </w:t>
            </w:r>
            <w:r>
              <w:rPr>
                <w:rFonts w:ascii="Arial" w:cs="Arial" w:eastAsia="Arial" w:hAnsi="Arial"/>
                <w:b w:val="false"/>
                <w:bCs w:val="false"/>
                <w:i w:val="false"/>
                <w:iCs w:val="false"/>
                <w:color w:val="424242"/>
                <w:sz w:val="16"/>
                <w:szCs w:val="16"/>
              </w:rPr>
              <w:t xml:space="preserve">8–18 simple / 5–12 complex</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DM Object Count:  </w:t>
            </w:r>
            <w:r>
              <w:rPr>
                <w:rFonts w:ascii="Arial" w:cs="Arial" w:eastAsia="Arial" w:hAnsi="Arial"/>
                <w:b w:val="false"/>
                <w:bCs w:val="false"/>
                <w:i w:val="false"/>
                <w:iCs w:val="false"/>
                <w:color w:val="424242"/>
                <w:sz w:val="16"/>
                <w:szCs w:val="16"/>
              </w:rPr>
              <w:t xml:space="preserve">12–22 objects</w:t>
            </w:r>
          </w:p>
        </w:tc>
      </w:tr>
      <w:tr>
        <w:tc>
          <w:tcPr>
            <w:tcW w:type="dxa" w:w="10080"/>
            <w:shd w:fill="E8F5E9"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CEMLI / Extensions:  </w:t>
            </w:r>
            <w:r>
              <w:rPr>
                <w:rFonts w:ascii="Arial" w:cs="Arial" w:eastAsia="Arial" w:hAnsi="Arial"/>
                <w:b w:val="false"/>
                <w:bCs w:val="false"/>
                <w:i w:val="false"/>
                <w:iCs w:val="false"/>
                <w:color w:val="424242"/>
                <w:sz w:val="16"/>
                <w:szCs w:val="16"/>
              </w:rPr>
              <w:t xml:space="preserve">12–25 extensions</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Duration:  </w:t>
            </w:r>
            <w:r>
              <w:rPr>
                <w:rFonts w:ascii="Arial" w:cs="Arial" w:eastAsia="Arial" w:hAnsi="Arial"/>
                <w:b w:val="false"/>
                <w:bCs w:val="false"/>
                <w:i w:val="false"/>
                <w:iCs w:val="false"/>
                <w:color w:val="424242"/>
                <w:sz w:val="16"/>
                <w:szCs w:val="16"/>
              </w:rPr>
              <w:t xml:space="preserve">16–28 months</w:t>
            </w:r>
          </w:p>
        </w:tc>
      </w:tr>
      <w:tr>
        <w:tc>
          <w:tcPr>
            <w:tcW w:type="dxa" w:w="10080"/>
            <w:shd w:fill="E8F5E9"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Effort Uplift vs Generic Benchmark:  </w:t>
            </w:r>
            <w:r>
              <w:rPr>
                <w:rFonts w:ascii="Arial" w:cs="Arial" w:eastAsia="Arial" w:hAnsi="Arial"/>
                <w:b w:val="false"/>
                <w:bCs w:val="false"/>
                <w:i w:val="false"/>
                <w:iCs w:val="false"/>
                <w:color w:val="424242"/>
                <w:sz w:val="16"/>
                <w:szCs w:val="16"/>
              </w:rPr>
              <w:t xml:space="preserve">+40–60% vs generic benchmark</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Highest-Risk Phase:  </w:t>
            </w:r>
            <w:r>
              <w:rPr>
                <w:rFonts w:ascii="Arial" w:cs="Arial" w:eastAsia="Arial" w:hAnsi="Arial"/>
                <w:b w:val="false"/>
                <w:bCs w:val="false"/>
                <w:i w:val="false"/>
                <w:iCs w:val="false"/>
                <w:color w:val="424242"/>
                <w:sz w:val="16"/>
                <w:szCs w:val="16"/>
              </w:rPr>
              <w:t xml:space="preserve">Ph2: Design (GxP validation design) and Ph5: UAT (validation protocol execution)</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4840"/>
        <w:gridCol w:w="5240"/>
      </w:tblGrid>
      <w:tr>
        <w:tc>
          <w:tcPr>
            <w:tcW w:type="dxa" w:w="4840"/>
            <w:tcMar>
              <w:top w:type="dxa" w:w="0"/>
              <w:left w:type="dxa" w:w="0"/>
              <w:bottom w:type="dxa" w:w="0"/>
              <w:right w:type="dxa" w:w="80"/>
            </w:tcMar>
          </w:tcPr>
          <w:p>
            <w:pPr>
              <w:spacing w:after="80"/>
            </w:pPr>
            <w:r>
              <w:rPr>
                <w:rFonts w:ascii="Arial" w:cs="Arial" w:eastAsia="Arial" w:hAnsi="Arial"/>
                <w:b/>
                <w:bCs/>
                <w:i w:val="false"/>
                <w:iCs w:val="false"/>
                <w:color w:val="2E7D32"/>
                <w:sz w:val="17"/>
                <w:szCs w:val="17"/>
              </w:rPr>
              <w:t xml:space="preserve">Standard Oracle Modules (always in scope)</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Financials (GL, AP, AR, FA)</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HCM – Core HR, Payroll (complex shift pay)</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Procurement (Medical Supply Chain)</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SCM – Inventory (Lot/Serial, Expiry)</w:t>
            </w:r>
          </w:p>
        </w:tc>
        <w:tc>
          <w:tcPr>
            <w:tcW w:type="dxa" w:w="5240"/>
            <w:tcMar>
              <w:top w:type="dxa" w:w="0"/>
              <w:left w:type="dxa" w:w="80"/>
              <w:bottom w:type="dxa" w:w="0"/>
              <w:right w:type="dxa" w:w="0"/>
            </w:tcMar>
          </w:tcPr>
          <w:p>
            <w:pPr>
              <w:spacing w:after="80"/>
            </w:pPr>
            <w:r>
              <w:rPr>
                <w:rFonts w:ascii="Arial" w:cs="Arial" w:eastAsia="Arial" w:hAnsi="Arial"/>
                <w:b/>
                <w:bCs/>
                <w:i w:val="false"/>
                <w:iCs w:val="false"/>
                <w:color w:val="2E7D32"/>
                <w:sz w:val="17"/>
                <w:szCs w:val="17"/>
              </w:rPr>
              <w:t xml:space="preserve">Domain-Specific Scope Additions</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Computer System Validation (CSV / GxP Validation for Life Sciences)</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HIPAA Compliance Configuration (PHI Handling, BAA)</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Clinical System Integration (EMR/EHR: Epic, Cerner, Oracle Health)</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LIMS Integration (LabVantage, STARLIMS)</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Cold Chain &amp; Serialisation (Traceability)</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Grant Management &amp; Research Accounting</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Regulatory Submission Cost Tracking</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Patient Billing / Revenue Cycle (for providers)</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Key Estimation Drivers &amp; Unit Effort Uplift Factors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5000"/>
      </w:tblGrid>
      <w:tr>
        <w:trPr>
          <w:tblHeader/>
        </w:trPr>
        <w:tc>
          <w:tcPr>
            <w:tcW w:type="dxa" w:w="3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Driver</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Impact</w:t>
            </w:r>
          </w:p>
        </w:tc>
        <w:tc>
          <w:tcPr>
            <w:tcW w:type="dxa" w:w="1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Uplift vs Benchmark</w:t>
            </w:r>
          </w:p>
        </w:tc>
        <w:tc>
          <w:tcPr>
            <w:tcW w:type="dxa" w:w="5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Estimator Action</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Computer System Validation (GxP / CSV) for Life Sciences</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+40–80 days (separate workstream)</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CSV is not part of standard Oracle delivery — it is a QA/Regulatory workstream that must run in parallel with implementation. Budget 40–80 days for IQ/OQ/PQ protocols and user acceptance testing under validation.</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HIPAA / PHI data handling configuration</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+25–40%</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PHI data minimisation, access logging, and Business Associate Agreement (BAA) compliance require explicit configuration in Oracle. Add 20–30 days for HIPAA compliance configuration and audit testing.</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Clinical system integration (Epic, Cerner, Oracle Health)</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+50–80% on integration stream</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HL7/FHIR integration with EMR/EHR systems requires healthcare interoperability specialists. Budget 25–40 days per clinical system interface. Standard OIC consultants cannot deliver this without HL7 expertise.</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Lot, serial, and expiry date tracking for medical supplies</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+30–40% on SCM-Inventory</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Medical device and pharmaceutical inventory requires lot/serial tracking with expiry date management and recall capability. This is a full SCM configuration add-on — not default Inventory setup.</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Grant management and research accounting (Academic Medical Centres)</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+30–50% on ERP</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Grant accounting, indirect cost rate calculation, and sponsored project management are not in standard Oracle Financials. Budget 40–60 days for grant management configuration for AMC clients.</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Revenue cycle complexity (healthcare providers)</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+35–50% on AR</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Patient billing, insurance claim processing, and remittance matching are unique to healthcare providers. If patient billing is in scope, add a dedicated revenue cycle workstream — not absorbed into standard AR.</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Domain Integration Landscape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1200"/>
        <w:gridCol w:w="44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System / Interface</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Type</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Complexity</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Typical Count</w:t>
            </w:r>
          </w:p>
        </w:tc>
        <w:tc>
          <w:tcPr>
            <w:tcW w:type="dxa" w:w="4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Estimation Note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EMR / EHR (Epic, Cerner, Oracle Health, Meditech)</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 Real-Time/Batch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Most complex integration in healthcare. Requires HL7 v2 or FHIR R4 specialist. Budget 30–45 days per clinical system.</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LIMS (LabVantage, STARLIMS, Thermo SampleManager)</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 Batch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Quality and R&amp;D lab data. GxP validation requirements apply to this interface in Life Sciences.</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Medical Device / Drug Serialisation System</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Track-and-trace for drug or device serialisation. DSCSA (US) or EU FMD compliance. 15–25 days per interface.</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Insurance / Payer System (for Providers)</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Claims submission and ERA/835 remittance matching. EDI 837/835 format. Budget 5–10 days per payer type.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Payroll (Nursing / Clinical Rostering)</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Nursing pay rates, on-call differentials, and skill-based pay require custom fast formulas. Healthcare payroll is among the most complex.</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Research / Grants Management System</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NIH Commons, Cayuse, or similar. Required for AMC clients with significant research funding.</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SDLC Phase Distribution — Domain Adjustments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400"/>
        <w:gridCol w:w="40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Phase</w:t>
            </w:r>
          </w:p>
        </w:tc>
        <w:tc>
          <w:tcPr>
            <w:tcW w:type="dxa" w:w="15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Standard %</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Domain Adj. %</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Variance</w:t>
            </w:r>
          </w:p>
        </w:tc>
        <w:tc>
          <w:tcPr>
            <w:tcW w:type="dxa" w:w="4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Reason</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Ph1: Discover &amp; Assess</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15%</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+3pp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Clinical workflow mapping and HIPAA/GxP regulatory requirement documentation require dedicated compliance workshops</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Ph2: Design/Blueprint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24%</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+6pp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GxP validation design (URS, FS, DS documentation) must be completed before build. Cannot be parallelised — adds 4–6 weeks.</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Ph3: Build/Configure</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28%</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0pp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 build — elevated by clinical integration build and compliance configuration</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Ph4: Integration &amp; SIT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14%</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Clinical system SIT requires EMR/EHR team availability — typically the most constrained IT resource in healthcare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Ph5: UAT</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12%</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+4pp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GxP UAT must be conducted under formal validation protocol (OQ/PQ) with documented evidence — cannot be abbreviated</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Ph6: Data Migration</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10%</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Medical supply inventory requires lot/expiry date migration — data quality in clinical procurement systems is often poor</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Ph8: Go-Live / Cutover</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Healthcare go-lives cannot disrupt clinical operations — cutover window is often restricted to weekend maintenance periods with on-site clinical IT support</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Ph9: Hypercare</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4%</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Clinical supply chain and payroll issues have immediate patient-safety implications — hypercare must be adequately resourced and is non-negotiable in duration</w:t>
            </w:r>
          </w:p>
        </w:tc>
      </w:tr>
    </w:tbl>
    <w:p>
      <w:pPr>
        <w:spacing w:after="100" w:before="60"/>
        <w:jc w:val="left"/>
      </w:pPr>
      <w:r>
        <w:rPr>
          <w:rFonts w:ascii="Arial" w:cs="Arial" w:eastAsia="Arial" w:hAnsi="Arial"/>
          <w:b w:val="false"/>
          <w:bCs w:val="false"/>
          <w:i/>
          <w:iCs/>
          <w:color w:val="757575"/>
          <w:sz w:val="17"/>
          <w:szCs w:val="17"/>
        </w:rPr>
        <w:t xml:space="preserve">Healthcare programmes front-load heavily into Design because the GxP validation design documentation must precede build — this is a regulatory requirement, not a delivery preference. UAT is also significantly longer because formal validation protocols require documented evidence of each test execution. The programme effectively has two parallel tracks: implementation and validation.</w:t>
      </w:r>
    </w:p>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Top 5 Under-Priced Risks in Healthcare &amp; Life Sciences Estimates</w:t>
      </w:r>
    </w:p>
    <w:p>
      <w:pPr>
        <w:spacing w:after="40" w:before="80"/>
        <w:ind w:left="120"/>
      </w:pPr>
      <w:r>
        <w:rPr>
          <w:rFonts w:ascii="Arial" w:cs="Arial" w:eastAsia="Arial" w:hAnsi="Arial"/>
          <w:b/>
          <w:bCs/>
          <w:i w:val="false"/>
          <w:iCs w:val="false"/>
          <w:color w:val="2E7D32"/>
          <w:sz w:val="18"/>
          <w:szCs w:val="18"/>
        </w:rPr>
        <w:t xml:space="preserve">1.  GxP Computer System Validation not in scope</w:t>
      </w:r>
    </w:p>
    <w:p>
      <w:pPr>
        <w:spacing w:after="80"/>
        <w:ind w:left="300"/>
      </w:pPr>
      <w:r>
        <w:rPr>
          <w:rFonts w:ascii="Arial" w:cs="Arial" w:eastAsia="Arial" w:hAnsi="Arial"/>
          <w:b w:val="false"/>
          <w:bCs w:val="false"/>
          <w:i w:val="false"/>
          <w:iCs w:val="false"/>
          <w:color w:val="424242"/>
          <w:sz w:val="17"/>
          <w:szCs w:val="17"/>
        </w:rPr>
        <w:t xml:space="preserve">Life Sciences clients implementing Oracle Fusion in a regulated environment must complete formal CSV (IQ, OQ, PQ). This adds 40–80 days and requires a dedicated validation resource. It is consistently excluded from estimates until the Quality team requests it in Design.</w:t>
      </w:r>
    </w:p>
    <w:p>
      <w:pPr>
        <w:spacing w:after="40" w:before="80"/>
        <w:ind w:left="120"/>
      </w:pPr>
      <w:r>
        <w:rPr>
          <w:rFonts w:ascii="Arial" w:cs="Arial" w:eastAsia="Arial" w:hAnsi="Arial"/>
          <w:b/>
          <w:bCs/>
          <w:i w:val="false"/>
          <w:iCs w:val="false"/>
          <w:color w:val="2E7D32"/>
          <w:sz w:val="18"/>
          <w:szCs w:val="18"/>
        </w:rPr>
        <w:t xml:space="preserve">2.  Clinical system integration requires HL7/FHIR specialists</w:t>
      </w:r>
    </w:p>
    <w:p>
      <w:pPr>
        <w:spacing w:after="80"/>
        <w:ind w:left="300"/>
      </w:pPr>
      <w:r>
        <w:rPr>
          <w:rFonts w:ascii="Arial" w:cs="Arial" w:eastAsia="Arial" w:hAnsi="Arial"/>
          <w:b w:val="false"/>
          <w:bCs w:val="false"/>
          <w:i w:val="false"/>
          <w:iCs w:val="false"/>
          <w:color w:val="424242"/>
          <w:sz w:val="17"/>
          <w:szCs w:val="17"/>
        </w:rPr>
        <w:t xml:space="preserve">Standard Oracle OIC consultants do not have HL7 or FHIR expertise. Assigning them to Epic or Cerner integration results in rework and delay. Confirm specialist resource availability before committing to the integration timeline.</w:t>
      </w:r>
    </w:p>
    <w:p>
      <w:pPr>
        <w:spacing w:after="40" w:before="80"/>
        <w:ind w:left="120"/>
      </w:pPr>
      <w:r>
        <w:rPr>
          <w:rFonts w:ascii="Arial" w:cs="Arial" w:eastAsia="Arial" w:hAnsi="Arial"/>
          <w:b/>
          <w:bCs/>
          <w:i w:val="false"/>
          <w:iCs w:val="false"/>
          <w:color w:val="2E7D32"/>
          <w:sz w:val="18"/>
          <w:szCs w:val="18"/>
        </w:rPr>
        <w:t xml:space="preserve">3.  Nursing payroll complexity</w:t>
      </w:r>
    </w:p>
    <w:p>
      <w:pPr>
        <w:spacing w:after="80"/>
        <w:ind w:left="300"/>
      </w:pPr>
      <w:r>
        <w:rPr>
          <w:rFonts w:ascii="Arial" w:cs="Arial" w:eastAsia="Arial" w:hAnsi="Arial"/>
          <w:b w:val="false"/>
          <w:bCs w:val="false"/>
          <w:i w:val="false"/>
          <w:iCs w:val="false"/>
          <w:color w:val="424242"/>
          <w:sz w:val="17"/>
          <w:szCs w:val="17"/>
        </w:rPr>
        <w:t xml:space="preserve">Healthcare payroll — particularly for clinical staff — involves on-call rates, shift differentials, skill-based premiums, and bank/agency staff management. It is consistently underestimated by 30–40% against standard payroll benchmarks.</w:t>
      </w:r>
    </w:p>
    <w:p>
      <w:pPr>
        <w:spacing w:after="40" w:before="80"/>
        <w:ind w:left="120"/>
      </w:pPr>
      <w:r>
        <w:rPr>
          <w:rFonts w:ascii="Arial" w:cs="Arial" w:eastAsia="Arial" w:hAnsi="Arial"/>
          <w:b/>
          <w:bCs/>
          <w:i w:val="false"/>
          <w:iCs w:val="false"/>
          <w:color w:val="2E7D32"/>
          <w:sz w:val="18"/>
          <w:szCs w:val="18"/>
        </w:rPr>
        <w:t xml:space="preserve">4.  Go-live blackout during Joint Commission / CQC review periods</w:t>
      </w:r>
    </w:p>
    <w:p>
      <w:pPr>
        <w:spacing w:after="80"/>
        <w:ind w:left="300"/>
      </w:pPr>
      <w:r>
        <w:rPr>
          <w:rFonts w:ascii="Arial" w:cs="Arial" w:eastAsia="Arial" w:hAnsi="Arial"/>
          <w:b w:val="false"/>
          <w:bCs w:val="false"/>
          <w:i w:val="false"/>
          <w:iCs w:val="false"/>
          <w:color w:val="424242"/>
          <w:sz w:val="17"/>
          <w:szCs w:val="17"/>
        </w:rPr>
        <w:t xml:space="preserve">Healthcare organisations cannot implement major system changes during regulatory inspection periods (Joint Commission in the US, CQC in the UK). These inspection windows are not always known at estimation time and can force a go-live date change.</w:t>
      </w:r>
    </w:p>
    <w:p>
      <w:pPr>
        <w:spacing w:after="40" w:before="80"/>
        <w:ind w:left="120"/>
      </w:pPr>
      <w:r>
        <w:rPr>
          <w:rFonts w:ascii="Arial" w:cs="Arial" w:eastAsia="Arial" w:hAnsi="Arial"/>
          <w:b/>
          <w:bCs/>
          <w:i w:val="false"/>
          <w:iCs w:val="false"/>
          <w:color w:val="2E7D32"/>
          <w:sz w:val="18"/>
          <w:szCs w:val="18"/>
        </w:rPr>
        <w:t xml:space="preserve">5.  Grant accounting underscoped for Academic Medical Centres</w:t>
      </w:r>
    </w:p>
    <w:p>
      <w:pPr>
        <w:spacing w:after="80"/>
        <w:ind w:left="300"/>
      </w:pPr>
      <w:r>
        <w:rPr>
          <w:rFonts w:ascii="Arial" w:cs="Arial" w:eastAsia="Arial" w:hAnsi="Arial"/>
          <w:b w:val="false"/>
          <w:bCs w:val="false"/>
          <w:i w:val="false"/>
          <w:iCs w:val="false"/>
          <w:color w:val="424242"/>
          <w:sz w:val="17"/>
          <w:szCs w:val="17"/>
        </w:rPr>
        <w:t xml:space="preserve">AMC clients have significant federal and foundation research funding with specific indirect cost rate, effort reporting, and audit requirements. Grant management is not standard Oracle Financials functionality — it requires a dedicated configuration stream of 40–60 days that is almost never in the initial estimate.</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2E7D32" w:color="auto" w:val="clear"/>
            <w:tcMar>
              <w:top w:type="dxa" w:w="70"/>
              <w:left w:type="dxa" w:w="130"/>
              <w:bottom w:type="dxa" w:w="70"/>
              <w:right w:type="dxa" w:w="120"/>
            </w:tcMar>
          </w:tcPr>
          <w:p>
            <w:pPr>
              <w:spacing w:after="60" w:before="60"/>
              <w:ind w:left="80"/>
            </w:pPr>
            <w:r>
              <w:rPr>
                <w:rFonts w:ascii="Arial" w:cs="Arial" w:eastAsia="Arial" w:hAnsi="Arial"/>
                <w:b/>
                <w:bCs/>
                <w:i w:val="false"/>
                <w:iCs w:val="false"/>
                <w:color w:val="FFFFFF"/>
                <w:sz w:val="19"/>
                <w:szCs w:val="19"/>
              </w:rPr>
              <w:t xml:space="preserve">Estimator Guidance — Healthcare &amp; Life Sciences</w:t>
            </w:r>
          </w:p>
        </w:tc>
      </w:tr>
      <w:tr>
        <w:tc>
          <w:tcPr>
            <w:tcW w:type="dxa" w:w="10080"/>
            <w:shd w:fill="E8F5E9" w:color="auto" w:val="clear"/>
            <w:tcMar>
              <w:top w:type="dxa" w:w="90"/>
              <w:left w:type="dxa" w:w="140"/>
              <w:bottom w:type="dxa" w:w="90"/>
              <w:right w:type="dxa" w:w="120"/>
            </w:tcMar>
          </w:tcPr>
          <w:p>
            <w:pPr>
              <w:spacing w:after="70"/>
              <w:ind w:left="80"/>
            </w:pPr>
            <w:r>
              <w:rPr>
                <w:rFonts w:ascii="Arial" w:cs="Arial" w:eastAsia="Arial" w:hAnsi="Arial"/>
                <w:b w:val="false"/>
                <w:bCs w:val="false"/>
                <w:i w:val="false"/>
                <w:iCs w:val="false"/>
                <w:color w:val="424242"/>
                <w:sz w:val="17"/>
                <w:szCs w:val="17"/>
              </w:rPr>
              <w:t xml:space="preserve">Confirm at the first discovery meeting whether the client is subject to GxP regulations. If yes, add Computer System Validation (IQ/OQ/PQ) as an explicit workstream before finalising any estimate — it is not optional.</w:t>
            </w:r>
          </w:p>
          <w:p>
            <w:pPr>
              <w:spacing w:after="70"/>
              <w:ind w:left="80"/>
            </w:pPr>
            <w:r>
              <w:rPr>
                <w:rFonts w:ascii="Arial" w:cs="Arial" w:eastAsia="Arial" w:hAnsi="Arial"/>
                <w:b w:val="false"/>
                <w:bCs w:val="false"/>
                <w:i w:val="false"/>
                <w:iCs w:val="false"/>
                <w:color w:val="424242"/>
                <w:sz w:val="17"/>
                <w:szCs w:val="17"/>
              </w:rPr>
              <w:t xml:space="preserve">Do not assign standard OIC integration resources to HL7/FHIR interfaces. Confirm HL7/FHIR specialist availability from your delivery team before committing to a clinical system integration timeline.</w:t>
            </w:r>
          </w:p>
          <w:p>
            <w:pPr>
              <w:spacing w:after="70"/>
              <w:ind w:left="80"/>
            </w:pPr>
            <w:r>
              <w:rPr>
                <w:rFonts w:ascii="Arial" w:cs="Arial" w:eastAsia="Arial" w:hAnsi="Arial"/>
                <w:b w:val="false"/>
                <w:bCs w:val="false"/>
                <w:i w:val="false"/>
                <w:iCs w:val="false"/>
                <w:color w:val="424242"/>
                <w:sz w:val="17"/>
                <w:szCs w:val="17"/>
              </w:rPr>
              <w:t xml:space="preserve">Build the GxP validation workstream in parallel with standard implementation — it has its own design artifacts (URS, FS, DS) that must precede build. Failing to model this parallelism extends the programme by 6–10 weeks.</w:t>
            </w:r>
          </w:p>
          <w:p>
            <w:pPr>
              <w:spacing w:after="70"/>
              <w:ind w:left="80"/>
            </w:pPr>
            <w:r>
              <w:rPr>
                <w:rFonts w:ascii="Arial" w:cs="Arial" w:eastAsia="Arial" w:hAnsi="Arial"/>
                <w:b w:val="false"/>
                <w:bCs w:val="false"/>
                <w:i w:val="false"/>
                <w:iCs w:val="false"/>
                <w:color w:val="424242"/>
                <w:sz w:val="17"/>
                <w:szCs w:val="17"/>
              </w:rPr>
              <w:t xml:space="preserve">For healthcare providers with patient billing in scope, treat Revenue Cycle as a separate sub-programme with its own lead. This is consistently the most complex and most underestimated stream in provider programmes.</w:t>
            </w:r>
          </w:p>
          <w:p>
            <w:pPr>
              <w:spacing w:after="70"/>
              <w:ind w:left="80"/>
            </w:pPr>
            <w:r>
              <w:rPr>
                <w:rFonts w:ascii="Arial" w:cs="Arial" w:eastAsia="Arial" w:hAnsi="Arial"/>
                <w:b w:val="false"/>
                <w:bCs w:val="false"/>
                <w:i w:val="false"/>
                <w:iCs w:val="false"/>
                <w:color w:val="424242"/>
                <w:sz w:val="17"/>
                <w:szCs w:val="17"/>
              </w:rPr>
              <w:t xml:space="preserve">Add a minimum of 30% contingency for any healthcare programme — regulatory change mid-programme (new HIPAA rule, DSCSA amendment, CMS policy change) is near-certain for multi-year deployments.</w:t>
            </w:r>
          </w:p>
        </w:tc>
      </w:tr>
    </w:tbl>
    <w:p>
      <w:pPr>
        <w:spacing w:after="60"/>
      </w:pPr>
      <w:r>
        <w:rPr>
          <w:rFonts w:ascii="Arial" w:cs="Arial" w:eastAsia="Arial" w:hAnsi="Arial"/>
          <w:b w:val="false"/>
          <w:bCs w:val="false"/>
          <w:i w:val="false"/>
          <w:iCs w:val="false"/>
          <w:color w:val="000000"/>
          <w:sz w:val="18"/>
          <w:szCs w:val="18"/>
        </w:rPr>
        <w:t xml:space="preserve"/>
      </w:r>
    </w:p>
    <w:p>
      <w:r>
        <w:br w:type="pag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5D4037" w:color="auto" w:val="clear"/>
            <w:tcMar>
              <w:top w:type="dxa" w:w="120"/>
              <w:left w:type="dxa" w:w="180"/>
              <w:bottom w:type="dxa" w:w="120"/>
              <w:right w:type="dxa" w:w="120"/>
            </w:tcMar>
          </w:tcPr>
          <w:p>
            <w:pPr>
              <w:spacing w:after="60"/>
            </w:pPr>
            <w:r>
              <w:rPr>
                <w:rFonts w:ascii="Arial" w:cs="Arial" w:eastAsia="Arial" w:hAnsi="Arial"/>
                <w:b/>
                <w:bCs/>
                <w:i w:val="false"/>
                <w:iCs w:val="false"/>
                <w:color w:val="FFFFFF"/>
                <w:sz w:val="30"/>
                <w:szCs w:val="30"/>
              </w:rPr>
              <w:t xml:space="preserve">Energy &amp; Utilities</w:t>
            </w:r>
          </w:p>
          <w:p>
            <w:pPr>
              <w:spacing w:after="0"/>
            </w:pPr>
            <w:r>
              <w:rPr>
                <w:rFonts w:ascii="Arial" w:cs="Arial" w:eastAsia="Arial" w:hAnsi="Arial"/>
                <w:b w:val="false"/>
                <w:bCs w:val="false"/>
                <w:i/>
                <w:iCs/>
                <w:color w:val="FFFFFF"/>
                <w:sz w:val="18"/>
                <w:szCs w:val="18"/>
              </w:rPr>
              <w:t xml:space="preserve">Asset-intensive operations, project accounting complexity, and regulatory compliance in a capital-heavy sector define the estimation profile</w:t>
            </w:r>
          </w:p>
        </w:tc>
      </w:tr>
    </w:tbl>
    <w:p>
      <w:pPr>
        <w:spacing w:after="60"/>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424242"/>
          <w:sz w:val="18"/>
          <w:szCs w:val="18"/>
        </w:rPr>
        <w:t xml:space="preserve">Energy and Utilities clients are asset-intensive — their core business is owning and operating physical infrastructure (power plants, pipelines, substations, wind farms) and their Oracle Fusion implementation must reflect this. Project Accounting (Oracle Project Costing and Billing) is almost always in scope because capital expenditure management is central to the business. The regulatory environment is sector-specific: NERC/CIP for US utilities, Ofgem for UK energy, and various national grid codes add compliance configuration not present in other sectors. The data migration profile is defined by asset register migration (often from legacy SAP PM or IBM Maximo) which is among the most complex DM workstreams in any domain.</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5D4037" w:color="auto" w:val="clear"/>
            <w:tcMar>
              <w:top w:type="dxa" w:w="60"/>
              <w:left w:type="dxa" w:w="130"/>
              <w:bottom w:type="dxa" w:w="60"/>
              <w:right w:type="dxa" w:w="80"/>
            </w:tcMar>
          </w:tcPr>
          <w:p>
            <w:pPr>
              <w:spacing w:after="40" w:before="40"/>
            </w:pPr>
            <w:r>
              <w:rPr>
                <w:rFonts w:ascii="Arial" w:cs="Arial" w:eastAsia="Arial" w:hAnsi="Arial"/>
                <w:b/>
                <w:bCs/>
                <w:i w:val="false"/>
                <w:iCs w:val="false"/>
                <w:color w:val="FFFFFF"/>
                <w:sz w:val="17"/>
                <w:szCs w:val="17"/>
              </w:rPr>
              <w:t xml:space="preserve">ESTIMATION SNAPSHOT</w:t>
            </w:r>
          </w:p>
        </w:tc>
      </w:tr>
      <w:tr>
        <w:tc>
          <w:tcPr>
            <w:tcW w:type="dxa" w:w="10080"/>
            <w:shd w:fill="EFEBE9"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Complexity Floor:  </w:t>
            </w:r>
            <w:r>
              <w:rPr>
                <w:rFonts w:ascii="Arial" w:cs="Arial" w:eastAsia="Arial" w:hAnsi="Arial"/>
                <w:b w:val="false"/>
                <w:bCs w:val="false"/>
                <w:i w:val="false"/>
                <w:iCs w:val="false"/>
                <w:color w:val="424242"/>
                <w:sz w:val="16"/>
                <w:szCs w:val="16"/>
              </w:rPr>
              <w:t xml:space="preserve">H (VH for multi-country energy with trading operations)</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Module Count:  </w:t>
            </w:r>
            <w:r>
              <w:rPr>
                <w:rFonts w:ascii="Arial" w:cs="Arial" w:eastAsia="Arial" w:hAnsi="Arial"/>
                <w:b w:val="false"/>
                <w:bCs w:val="false"/>
                <w:i w:val="false"/>
                <w:iCs w:val="false"/>
                <w:color w:val="424242"/>
                <w:sz w:val="16"/>
                <w:szCs w:val="16"/>
              </w:rPr>
              <w:t xml:space="preserve">5–8 modules</w:t>
            </w:r>
          </w:p>
        </w:tc>
      </w:tr>
      <w:tr>
        <w:tc>
          <w:tcPr>
            <w:tcW w:type="dxa" w:w="10080"/>
            <w:shd w:fill="EFEBE9"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Integration Count (Simple/Complex):  </w:t>
            </w:r>
            <w:r>
              <w:rPr>
                <w:rFonts w:ascii="Arial" w:cs="Arial" w:eastAsia="Arial" w:hAnsi="Arial"/>
                <w:b w:val="false"/>
                <w:bCs w:val="false"/>
                <w:i w:val="false"/>
                <w:iCs w:val="false"/>
                <w:color w:val="424242"/>
                <w:sz w:val="16"/>
                <w:szCs w:val="16"/>
              </w:rPr>
              <w:t xml:space="preserve">10–20 simple / 8–15 complex</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DM Object Count:  </w:t>
            </w:r>
            <w:r>
              <w:rPr>
                <w:rFonts w:ascii="Arial" w:cs="Arial" w:eastAsia="Arial" w:hAnsi="Arial"/>
                <w:b w:val="false"/>
                <w:bCs w:val="false"/>
                <w:i w:val="false"/>
                <w:iCs w:val="false"/>
                <w:color w:val="424242"/>
                <w:sz w:val="16"/>
                <w:szCs w:val="16"/>
              </w:rPr>
              <w:t xml:space="preserve">15–30 objects</w:t>
            </w:r>
          </w:p>
        </w:tc>
      </w:tr>
      <w:tr>
        <w:tc>
          <w:tcPr>
            <w:tcW w:type="dxa" w:w="10080"/>
            <w:shd w:fill="EFEBE9"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CEMLI / Extensions:  </w:t>
            </w:r>
            <w:r>
              <w:rPr>
                <w:rFonts w:ascii="Arial" w:cs="Arial" w:eastAsia="Arial" w:hAnsi="Arial"/>
                <w:b w:val="false"/>
                <w:bCs w:val="false"/>
                <w:i w:val="false"/>
                <w:iCs w:val="false"/>
                <w:color w:val="424242"/>
                <w:sz w:val="16"/>
                <w:szCs w:val="16"/>
              </w:rPr>
              <w:t xml:space="preserve">15–30 extensions</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Duration:  </w:t>
            </w:r>
            <w:r>
              <w:rPr>
                <w:rFonts w:ascii="Arial" w:cs="Arial" w:eastAsia="Arial" w:hAnsi="Arial"/>
                <w:b w:val="false"/>
                <w:bCs w:val="false"/>
                <w:i w:val="false"/>
                <w:iCs w:val="false"/>
                <w:color w:val="424242"/>
                <w:sz w:val="16"/>
                <w:szCs w:val="16"/>
              </w:rPr>
              <w:t xml:space="preserve">18–28 months</w:t>
            </w:r>
          </w:p>
        </w:tc>
      </w:tr>
      <w:tr>
        <w:tc>
          <w:tcPr>
            <w:tcW w:type="dxa" w:w="10080"/>
            <w:shd w:fill="EFEBE9"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Effort Uplift vs Generic Benchmark:  </w:t>
            </w:r>
            <w:r>
              <w:rPr>
                <w:rFonts w:ascii="Arial" w:cs="Arial" w:eastAsia="Arial" w:hAnsi="Arial"/>
                <w:b w:val="false"/>
                <w:bCs w:val="false"/>
                <w:i w:val="false"/>
                <w:iCs w:val="false"/>
                <w:color w:val="424242"/>
                <w:sz w:val="16"/>
                <w:szCs w:val="16"/>
              </w:rPr>
              <w:t xml:space="preserve">+35–55% vs generic benchmark</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Highest-Risk Phase:  </w:t>
            </w:r>
            <w:r>
              <w:rPr>
                <w:rFonts w:ascii="Arial" w:cs="Arial" w:eastAsia="Arial" w:hAnsi="Arial"/>
                <w:b w:val="false"/>
                <w:bCs w:val="false"/>
                <w:i w:val="false"/>
                <w:iCs w:val="false"/>
                <w:color w:val="424242"/>
                <w:sz w:val="16"/>
                <w:szCs w:val="16"/>
              </w:rPr>
              <w:t xml:space="preserve">Ph6: Data Migration (asset register) and Ph3: Build (FERC/project accounting)</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4840"/>
        <w:gridCol w:w="5240"/>
      </w:tblGrid>
      <w:tr>
        <w:tc>
          <w:tcPr>
            <w:tcW w:type="dxa" w:w="4840"/>
            <w:tcMar>
              <w:top w:type="dxa" w:w="0"/>
              <w:left w:type="dxa" w:w="0"/>
              <w:bottom w:type="dxa" w:w="0"/>
              <w:right w:type="dxa" w:w="80"/>
            </w:tcMar>
          </w:tcPr>
          <w:p>
            <w:pPr>
              <w:spacing w:after="80"/>
            </w:pPr>
            <w:r>
              <w:rPr>
                <w:rFonts w:ascii="Arial" w:cs="Arial" w:eastAsia="Arial" w:hAnsi="Arial"/>
                <w:b/>
                <w:bCs/>
                <w:i w:val="false"/>
                <w:iCs w:val="false"/>
                <w:color w:val="5D4037"/>
                <w:sz w:val="17"/>
                <w:szCs w:val="17"/>
              </w:rPr>
              <w:t xml:space="preserve">Standard Oracle Modules (always in scope)</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Financials (GL, AP, AR, FA — asset-intensive)</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Oracle Projects (Project Costing, Billing, Resource Mgmt)</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Procurement (Capital and O&amp;M spend)</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HCM – Core HR, Payroll</w:t>
            </w:r>
          </w:p>
        </w:tc>
        <w:tc>
          <w:tcPr>
            <w:tcW w:type="dxa" w:w="5240"/>
            <w:tcMar>
              <w:top w:type="dxa" w:w="0"/>
              <w:left w:type="dxa" w:w="80"/>
              <w:bottom w:type="dxa" w:w="0"/>
              <w:right w:type="dxa" w:w="0"/>
            </w:tcMar>
          </w:tcPr>
          <w:p>
            <w:pPr>
              <w:spacing w:after="80"/>
            </w:pPr>
            <w:r>
              <w:rPr>
                <w:rFonts w:ascii="Arial" w:cs="Arial" w:eastAsia="Arial" w:hAnsi="Arial"/>
                <w:b/>
                <w:bCs/>
                <w:i w:val="false"/>
                <w:iCs w:val="false"/>
                <w:color w:val="5D4037"/>
                <w:sz w:val="17"/>
                <w:szCs w:val="17"/>
              </w:rPr>
              <w:t xml:space="preserve">Domain-Specific Scope Additions</w:t>
            </w:r>
          </w:p>
          <w:p>
            <w:pPr>
              <w:spacing w:after="60"/>
              <w:ind w:left="200" w:hanging="160"/>
            </w:pPr>
            <w:r>
              <w:rPr>
                <w:rFonts w:ascii="Arial" w:cs="Arial" w:eastAsia="Arial" w:hAnsi="Arial"/>
                <w:b/>
                <w:bCs/>
                <w:i w:val="false"/>
                <w:iCs w:val="false"/>
                <w:color w:val="5D4037"/>
                <w:sz w:val="16"/>
                <w:szCs w:val="16"/>
              </w:rPr>
              <w:t xml:space="preserve">★  </w:t>
            </w:r>
            <w:r>
              <w:rPr>
                <w:rFonts w:ascii="Arial" w:cs="Arial" w:eastAsia="Arial" w:hAnsi="Arial"/>
                <w:b w:val="false"/>
                <w:bCs w:val="false"/>
                <w:i w:val="false"/>
                <w:iCs w:val="false"/>
                <w:color w:val="424242"/>
                <w:sz w:val="16"/>
                <w:szCs w:val="16"/>
              </w:rPr>
              <w:t xml:space="preserve">NERC CIP / Energy Regulatory Compliance Config</w:t>
            </w:r>
          </w:p>
          <w:p>
            <w:pPr>
              <w:spacing w:after="60"/>
              <w:ind w:left="200" w:hanging="160"/>
            </w:pPr>
            <w:r>
              <w:rPr>
                <w:rFonts w:ascii="Arial" w:cs="Arial" w:eastAsia="Arial" w:hAnsi="Arial"/>
                <w:b/>
                <w:bCs/>
                <w:i w:val="false"/>
                <w:iCs w:val="false"/>
                <w:color w:val="5D4037"/>
                <w:sz w:val="16"/>
                <w:szCs w:val="16"/>
              </w:rPr>
              <w:t xml:space="preserve">★  </w:t>
            </w:r>
            <w:r>
              <w:rPr>
                <w:rFonts w:ascii="Arial" w:cs="Arial" w:eastAsia="Arial" w:hAnsi="Arial"/>
                <w:b w:val="false"/>
                <w:bCs w:val="false"/>
                <w:i w:val="false"/>
                <w:iCs w:val="false"/>
                <w:color w:val="424242"/>
                <w:sz w:val="16"/>
                <w:szCs w:val="16"/>
              </w:rPr>
              <w:t xml:space="preserve">FERC Accounting (USOA Chart of Accounts)</w:t>
            </w:r>
          </w:p>
          <w:p>
            <w:pPr>
              <w:spacing w:after="60"/>
              <w:ind w:left="200" w:hanging="160"/>
            </w:pPr>
            <w:r>
              <w:rPr>
                <w:rFonts w:ascii="Arial" w:cs="Arial" w:eastAsia="Arial" w:hAnsi="Arial"/>
                <w:b/>
                <w:bCs/>
                <w:i w:val="false"/>
                <w:iCs w:val="false"/>
                <w:color w:val="5D4037"/>
                <w:sz w:val="16"/>
                <w:szCs w:val="16"/>
              </w:rPr>
              <w:t xml:space="preserve">★  </w:t>
            </w:r>
            <w:r>
              <w:rPr>
                <w:rFonts w:ascii="Arial" w:cs="Arial" w:eastAsia="Arial" w:hAnsi="Arial"/>
                <w:b w:val="false"/>
                <w:bCs w:val="false"/>
                <w:i w:val="false"/>
                <w:iCs w:val="false"/>
                <w:color w:val="424242"/>
                <w:sz w:val="16"/>
                <w:szCs w:val="16"/>
              </w:rPr>
              <w:t xml:space="preserve">Asset Management Integration (IBM Maximo, SAP PM)</w:t>
            </w:r>
          </w:p>
          <w:p>
            <w:pPr>
              <w:spacing w:after="60"/>
              <w:ind w:left="200" w:hanging="160"/>
            </w:pPr>
            <w:r>
              <w:rPr>
                <w:rFonts w:ascii="Arial" w:cs="Arial" w:eastAsia="Arial" w:hAnsi="Arial"/>
                <w:b/>
                <w:bCs/>
                <w:i w:val="false"/>
                <w:iCs w:val="false"/>
                <w:color w:val="5D4037"/>
                <w:sz w:val="16"/>
                <w:szCs w:val="16"/>
              </w:rPr>
              <w:t xml:space="preserve">★  </w:t>
            </w:r>
            <w:r>
              <w:rPr>
                <w:rFonts w:ascii="Arial" w:cs="Arial" w:eastAsia="Arial" w:hAnsi="Arial"/>
                <w:b w:val="false"/>
                <w:bCs w:val="false"/>
                <w:i w:val="false"/>
                <w:iCs w:val="false"/>
                <w:color w:val="424242"/>
                <w:sz w:val="16"/>
                <w:szCs w:val="16"/>
              </w:rPr>
              <w:t xml:space="preserve">GIS Integration (Esri ArcGIS, ADMS)</w:t>
            </w:r>
          </w:p>
          <w:p>
            <w:pPr>
              <w:spacing w:after="60"/>
              <w:ind w:left="200" w:hanging="160"/>
            </w:pPr>
            <w:r>
              <w:rPr>
                <w:rFonts w:ascii="Arial" w:cs="Arial" w:eastAsia="Arial" w:hAnsi="Arial"/>
                <w:b/>
                <w:bCs/>
                <w:i w:val="false"/>
                <w:iCs w:val="false"/>
                <w:color w:val="5D4037"/>
                <w:sz w:val="16"/>
                <w:szCs w:val="16"/>
              </w:rPr>
              <w:t xml:space="preserve">★  </w:t>
            </w:r>
            <w:r>
              <w:rPr>
                <w:rFonts w:ascii="Arial" w:cs="Arial" w:eastAsia="Arial" w:hAnsi="Arial"/>
                <w:b w:val="false"/>
                <w:bCs w:val="false"/>
                <w:i w:val="false"/>
                <w:iCs w:val="false"/>
                <w:color w:val="424242"/>
                <w:sz w:val="16"/>
                <w:szCs w:val="16"/>
              </w:rPr>
              <w:t xml:space="preserve">Smart Meter / AMI System Integration</w:t>
            </w:r>
          </w:p>
          <w:p>
            <w:pPr>
              <w:spacing w:after="60"/>
              <w:ind w:left="200" w:hanging="160"/>
            </w:pPr>
            <w:r>
              <w:rPr>
                <w:rFonts w:ascii="Arial" w:cs="Arial" w:eastAsia="Arial" w:hAnsi="Arial"/>
                <w:b/>
                <w:bCs/>
                <w:i w:val="false"/>
                <w:iCs w:val="false"/>
                <w:color w:val="5D4037"/>
                <w:sz w:val="16"/>
                <w:szCs w:val="16"/>
              </w:rPr>
              <w:t xml:space="preserve">★  </w:t>
            </w:r>
            <w:r>
              <w:rPr>
                <w:rFonts w:ascii="Arial" w:cs="Arial" w:eastAsia="Arial" w:hAnsi="Arial"/>
                <w:b w:val="false"/>
                <w:bCs w:val="false"/>
                <w:i w:val="false"/>
                <w:iCs w:val="false"/>
                <w:color w:val="424242"/>
                <w:sz w:val="16"/>
                <w:szCs w:val="16"/>
              </w:rPr>
              <w:t xml:space="preserve">Trading &amp; Risk Management Integration (ETRM)</w:t>
            </w:r>
          </w:p>
          <w:p>
            <w:pPr>
              <w:spacing w:after="60"/>
              <w:ind w:left="200" w:hanging="160"/>
            </w:pPr>
            <w:r>
              <w:rPr>
                <w:rFonts w:ascii="Arial" w:cs="Arial" w:eastAsia="Arial" w:hAnsi="Arial"/>
                <w:b/>
                <w:bCs/>
                <w:i w:val="false"/>
                <w:iCs w:val="false"/>
                <w:color w:val="5D4037"/>
                <w:sz w:val="16"/>
                <w:szCs w:val="16"/>
              </w:rPr>
              <w:t xml:space="preserve">★  </w:t>
            </w:r>
            <w:r>
              <w:rPr>
                <w:rFonts w:ascii="Arial" w:cs="Arial" w:eastAsia="Arial" w:hAnsi="Arial"/>
                <w:b w:val="false"/>
                <w:bCs w:val="false"/>
                <w:i w:val="false"/>
                <w:iCs w:val="false"/>
                <w:color w:val="424242"/>
                <w:sz w:val="16"/>
                <w:szCs w:val="16"/>
              </w:rPr>
              <w:t xml:space="preserve">Field Service Management Integration</w:t>
            </w:r>
          </w:p>
          <w:p>
            <w:pPr>
              <w:spacing w:after="60"/>
              <w:ind w:left="200" w:hanging="160"/>
            </w:pPr>
            <w:r>
              <w:rPr>
                <w:rFonts w:ascii="Arial" w:cs="Arial" w:eastAsia="Arial" w:hAnsi="Arial"/>
                <w:b/>
                <w:bCs/>
                <w:i w:val="false"/>
                <w:iCs w:val="false"/>
                <w:color w:val="5D4037"/>
                <w:sz w:val="16"/>
                <w:szCs w:val="16"/>
              </w:rPr>
              <w:t xml:space="preserve">★  </w:t>
            </w:r>
            <w:r>
              <w:rPr>
                <w:rFonts w:ascii="Arial" w:cs="Arial" w:eastAsia="Arial" w:hAnsi="Arial"/>
                <w:b w:val="false"/>
                <w:bCs w:val="false"/>
                <w:i w:val="false"/>
                <w:iCs w:val="false"/>
                <w:color w:val="424242"/>
                <w:sz w:val="16"/>
                <w:szCs w:val="16"/>
              </w:rPr>
              <w:t xml:space="preserve">Environmental Reporting (CEMS, EPA)</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Key Estimation Drivers &amp; Unit Effort Uplift Factors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5000"/>
      </w:tblGrid>
      <w:tr>
        <w:trPr>
          <w:tblHeader/>
        </w:trPr>
        <w:tc>
          <w:tcPr>
            <w:tcW w:type="dxa" w:w="3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Driver</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Impact</w:t>
            </w:r>
          </w:p>
        </w:tc>
        <w:tc>
          <w:tcPr>
            <w:tcW w:type="dxa" w:w="1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Uplift vs Benchmark</w:t>
            </w:r>
          </w:p>
        </w:tc>
        <w:tc>
          <w:tcPr>
            <w:tcW w:type="dxa" w:w="5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Estimator Action</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Project accounting complexity (capex vs opex)</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+35–50% on Projects stream</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Energy clients have complex capitalisation rules (CIP accounts, asset retirement obligations, AFUDC). Add 40–60 days for Project Costing configuration and regulatory compliance alignment.</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Asset register migration from legacy EAM (Maximo, SAP PM)</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+40–60% on DM stream</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EAM asset data is among the most complex migration in any domain — asset hierarchies, maintenance history, spares/materials linkage. Budget 30–50 days per asset class migration cycle.</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FERC / USOA Chart of Accounts (US Utilities)</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+30–40% on GL</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US regulated utilities must maintain FERC-compliant accounting using USOA (Uniform System of Accounts). This is a specific CoA design requirement — add 20–30 days for FERC CoA configuration.</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ETRM / commodity trading integration</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+50–70% on integration stream</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Energy Trading and Risk Management systems (Openlink, Triple Point, Endur) carry complex position and settlement data. Budget 30–50 days per ETRM interface.</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Smart meter / AMI integration</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+40–60% on integration</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Advanced Metering Infrastructure integration involves high data volume and complex billing calculation logic. Add 25–40 days for AMI integration design and build.</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Field service workforce (unionised, multi-site)</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+25–35% on HCM-Payroll</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Utility field workers have complex pay structures (line worker rates, hazard pay, IBEW union agreements). Fast formula complexity is high — budget 10–15 formula groups.</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Domain Integration Landscape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1200"/>
        <w:gridCol w:w="44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System / Interface</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Type</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Complexity</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Typical Count</w:t>
            </w:r>
          </w:p>
        </w:tc>
        <w:tc>
          <w:tcPr>
            <w:tcW w:type="dxa" w:w="4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Estimation Note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Energy Trading &amp; Risk Management (Openlink, Triple Point)</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Settlement, mark-to-market, and position data. Highly specialised — requires commodity trading domain knowledge.</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Asset Management / EAM (IBM Maximo, SAP PM)</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Work order, maintenance history, and spare parts integration. Asset hierarchy mapping is the key complexity driver.</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GIS / Network System (Esri ArcGIS, ADMS, OMS)</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Geospatial asset data integration. Spatial data formats require specialist handling — budget 20–30 days per GIS interface.</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Smart Meter / AMI Head-End System</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High-Volume Batch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Interval meter data for billing. Very high data volumes — architecture design is critical. Budget 25–35 days.</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SCADA / DCS (Operational Technology)</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Read-Only Batch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2–5</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Plant performance and operations data for cost allocation. Requires OT/IT boundary management.</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Environmental Monitoring (CEMS, EPA Reporting)</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Regulatory reporting of emissions and environmental performance. 10–20 days per reporting system.</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SDLC Phase Distribution — Domain Adjustments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400"/>
        <w:gridCol w:w="40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Phase</w:t>
            </w:r>
          </w:p>
        </w:tc>
        <w:tc>
          <w:tcPr>
            <w:tcW w:type="dxa" w:w="15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Standard %</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Domain Adj. %</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Variance</w:t>
            </w:r>
          </w:p>
        </w:tc>
        <w:tc>
          <w:tcPr>
            <w:tcW w:type="dxa" w:w="4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Reason</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Ph1: Discover &amp; Assess</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14%</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Asset strategy and project accounting policy decisions require Finance and Engineering leadership — additional workshops</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Ph2: Design/Blueprint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22%</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+4pp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FERC/USOA CoA design and capitalisation policy require regulatory sign-off — design phase is extended by compliance review</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Ph3: Build/Configure</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30%</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Project accounting and capex management configuration is volume-intensive — extended by ETRM integration build</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Ph4: Integration &amp; SIT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14%</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ETRM and AMI integration testing requires domain specialist involvement and financial reconciliation sign-off</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Ph6: Data Migration</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14%</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+6pp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Asset register migration from legacy EAM is the single highest-risk DM workstream — allow 4 trial loads minimum</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Ph7: Training &amp; OCM</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5%</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0pp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 — energy clients have structured training programmes</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Ph8: Go-Live / Cutover</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Utility cutover must avoid planned maintenance windows and cannot disrupt grid operations</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Ph9: Hypercare</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4%</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First month-end capital project reporting under new system requires dedicated financial analyst support</w:t>
            </w:r>
          </w:p>
        </w:tc>
      </w:tr>
    </w:tbl>
    <w:p>
      <w:pPr>
        <w:spacing w:after="100" w:before="60"/>
        <w:jc w:val="left"/>
      </w:pPr>
      <w:r>
        <w:rPr>
          <w:rFonts w:ascii="Arial" w:cs="Arial" w:eastAsia="Arial" w:hAnsi="Arial"/>
          <w:b w:val="false"/>
          <w:bCs w:val="false"/>
          <w:i/>
          <w:iCs/>
          <w:color w:val="757575"/>
          <w:sz w:val="17"/>
          <w:szCs w:val="17"/>
        </w:rPr>
        <w:t xml:space="preserve">Energy programmes are characterised by a very extended data migration phase (asset register migration) and a complex integration landscape centred on ETRM and operational technology systems. The Design phase is also longer due to regulatory compliance design requirements. The overall programme profile is front-loaded and back-loaded compared to a generic programme.</w:t>
      </w:r>
    </w:p>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Top 5 Under-Priced Risks in Energy &amp; Utilities Estimates</w:t>
      </w:r>
    </w:p>
    <w:p>
      <w:pPr>
        <w:spacing w:after="40" w:before="80"/>
        <w:ind w:left="120"/>
      </w:pPr>
      <w:r>
        <w:rPr>
          <w:rFonts w:ascii="Arial" w:cs="Arial" w:eastAsia="Arial" w:hAnsi="Arial"/>
          <w:b/>
          <w:bCs/>
          <w:i w:val="false"/>
          <w:iCs w:val="false"/>
          <w:color w:val="5D4037"/>
          <w:sz w:val="18"/>
          <w:szCs w:val="18"/>
        </w:rPr>
        <w:t xml:space="preserve">1.  Asset register migration catastrophically underestimated</w:t>
      </w:r>
    </w:p>
    <w:p>
      <w:pPr>
        <w:spacing w:after="80"/>
        <w:ind w:left="300"/>
      </w:pPr>
      <w:r>
        <w:rPr>
          <w:rFonts w:ascii="Arial" w:cs="Arial" w:eastAsia="Arial" w:hAnsi="Arial"/>
          <w:b w:val="false"/>
          <w:bCs w:val="false"/>
          <w:i w:val="false"/>
          <w:iCs w:val="false"/>
          <w:color w:val="424242"/>
          <w:sz w:val="17"/>
          <w:szCs w:val="17"/>
        </w:rPr>
        <w:t xml:space="preserve">EAM asset data (hierarchies, maintenance history, warranty data, spare parts linkage) is the most complex migration object in any sector. A utility with 50,000+ assets in IBM Maximo should budget 40–60 days for asset data migration — not the standard 4.5 days/object formula.</w:t>
      </w:r>
    </w:p>
    <w:p>
      <w:pPr>
        <w:spacing w:after="40" w:before="80"/>
        <w:ind w:left="120"/>
      </w:pPr>
      <w:r>
        <w:rPr>
          <w:rFonts w:ascii="Arial" w:cs="Arial" w:eastAsia="Arial" w:hAnsi="Arial"/>
          <w:b/>
          <w:bCs/>
          <w:i w:val="false"/>
          <w:iCs w:val="false"/>
          <w:color w:val="5D4037"/>
          <w:sz w:val="18"/>
          <w:szCs w:val="18"/>
        </w:rPr>
        <w:t xml:space="preserve">2.  ETRM integration not scoped until trading team arrives</w:t>
      </w:r>
    </w:p>
    <w:p>
      <w:pPr>
        <w:spacing w:after="80"/>
        <w:ind w:left="300"/>
      </w:pPr>
      <w:r>
        <w:rPr>
          <w:rFonts w:ascii="Arial" w:cs="Arial" w:eastAsia="Arial" w:hAnsi="Arial"/>
          <w:b w:val="false"/>
          <w:bCs w:val="false"/>
          <w:i w:val="false"/>
          <w:iCs w:val="false"/>
          <w:color w:val="424242"/>
          <w:sz w:val="17"/>
          <w:szCs w:val="17"/>
        </w:rPr>
        <w:t xml:space="preserve">Energy trading systems are almost always in scope for generation and trading companies, but the trading IT team is rarely in the initial scoping conversation. Their arrival in Design invariably triggers scope additions — include ETRM integration discovery in week 1.</w:t>
      </w:r>
    </w:p>
    <w:p>
      <w:pPr>
        <w:spacing w:after="40" w:before="80"/>
        <w:ind w:left="120"/>
      </w:pPr>
      <w:r>
        <w:rPr>
          <w:rFonts w:ascii="Arial" w:cs="Arial" w:eastAsia="Arial" w:hAnsi="Arial"/>
          <w:b/>
          <w:bCs/>
          <w:i w:val="false"/>
          <w:iCs w:val="false"/>
          <w:color w:val="5D4037"/>
          <w:sz w:val="18"/>
          <w:szCs w:val="18"/>
        </w:rPr>
        <w:t xml:space="preserve">3.  FERC USOA Chart of Accounts treated as a standard GL design</w:t>
      </w:r>
    </w:p>
    <w:p>
      <w:pPr>
        <w:spacing w:after="80"/>
        <w:ind w:left="300"/>
      </w:pPr>
      <w:r>
        <w:rPr>
          <w:rFonts w:ascii="Arial" w:cs="Arial" w:eastAsia="Arial" w:hAnsi="Arial"/>
          <w:b w:val="false"/>
          <w:bCs w:val="false"/>
          <w:i w:val="false"/>
          <w:iCs w:val="false"/>
          <w:color w:val="424242"/>
          <w:sz w:val="17"/>
          <w:szCs w:val="17"/>
        </w:rPr>
        <w:t xml:space="preserve">FERC-regulated utilities must maintain accounts in the USOA format — a specific regulatory requirement that is not a standard Oracle CoA. It requires a FERC accounting specialist, not a standard GL consultant, and adds 20–30 days to the GL workstream.</w:t>
      </w:r>
    </w:p>
    <w:p>
      <w:pPr>
        <w:spacing w:after="40" w:before="80"/>
        <w:ind w:left="120"/>
      </w:pPr>
      <w:r>
        <w:rPr>
          <w:rFonts w:ascii="Arial" w:cs="Arial" w:eastAsia="Arial" w:hAnsi="Arial"/>
          <w:b/>
          <w:bCs/>
          <w:i w:val="false"/>
          <w:iCs w:val="false"/>
          <w:color w:val="5D4037"/>
          <w:sz w:val="18"/>
          <w:szCs w:val="18"/>
        </w:rPr>
        <w:t xml:space="preserve">4.  Field service workforce payroll complexity</w:t>
      </w:r>
    </w:p>
    <w:p>
      <w:pPr>
        <w:spacing w:after="80"/>
        <w:ind w:left="300"/>
      </w:pPr>
      <w:r>
        <w:rPr>
          <w:rFonts w:ascii="Arial" w:cs="Arial" w:eastAsia="Arial" w:hAnsi="Arial"/>
          <w:b w:val="false"/>
          <w:bCs w:val="false"/>
          <w:i w:val="false"/>
          <w:iCs w:val="false"/>
          <w:color w:val="424242"/>
          <w:sz w:val="17"/>
          <w:szCs w:val="17"/>
        </w:rPr>
        <w:t xml:space="preserve">Utility field workers (linemen, meter readers, substation technicians) have highly complex pay structures under IBEW or similar union agreements. These are consistently underestimated because the HR team (who participate in discovery) underrepresents the complexity of union pay rules.</w:t>
      </w:r>
    </w:p>
    <w:p>
      <w:pPr>
        <w:spacing w:after="40" w:before="80"/>
        <w:ind w:left="120"/>
      </w:pPr>
      <w:r>
        <w:rPr>
          <w:rFonts w:ascii="Arial" w:cs="Arial" w:eastAsia="Arial" w:hAnsi="Arial"/>
          <w:b/>
          <w:bCs/>
          <w:i w:val="false"/>
          <w:iCs w:val="false"/>
          <w:color w:val="5D4037"/>
          <w:sz w:val="18"/>
          <w:szCs w:val="18"/>
        </w:rPr>
        <w:t xml:space="preserve">5.  Regulatory go-live restrictions during grid maintenance windows</w:t>
      </w:r>
    </w:p>
    <w:p>
      <w:pPr>
        <w:spacing w:after="80"/>
        <w:ind w:left="300"/>
      </w:pPr>
      <w:r>
        <w:rPr>
          <w:rFonts w:ascii="Arial" w:cs="Arial" w:eastAsia="Arial" w:hAnsi="Arial"/>
          <w:b w:val="false"/>
          <w:bCs w:val="false"/>
          <w:i w:val="false"/>
          <w:iCs w:val="false"/>
          <w:color w:val="424242"/>
          <w:sz w:val="17"/>
          <w:szCs w:val="17"/>
        </w:rPr>
        <w:t xml:space="preserve">Utility system changes that could affect control systems or metering cannot be deployed during peak demand periods or planned maintenance outages. The go-live window may be narrower than the programme timeline allows — this should be confirmed with the client's Operations team in week 1.</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5D4037" w:color="auto" w:val="clear"/>
            <w:tcMar>
              <w:top w:type="dxa" w:w="70"/>
              <w:left w:type="dxa" w:w="130"/>
              <w:bottom w:type="dxa" w:w="70"/>
              <w:right w:type="dxa" w:w="120"/>
            </w:tcMar>
          </w:tcPr>
          <w:p>
            <w:pPr>
              <w:spacing w:after="60" w:before="60"/>
              <w:ind w:left="80"/>
            </w:pPr>
            <w:r>
              <w:rPr>
                <w:rFonts w:ascii="Arial" w:cs="Arial" w:eastAsia="Arial" w:hAnsi="Arial"/>
                <w:b/>
                <w:bCs/>
                <w:i w:val="false"/>
                <w:iCs w:val="false"/>
                <w:color w:val="FFFFFF"/>
                <w:sz w:val="19"/>
                <w:szCs w:val="19"/>
              </w:rPr>
              <w:t xml:space="preserve">Estimator Guidance — Energy &amp; Utilities</w:t>
            </w:r>
          </w:p>
        </w:tc>
      </w:tr>
      <w:tr>
        <w:tc>
          <w:tcPr>
            <w:tcW w:type="dxa" w:w="10080"/>
            <w:shd w:fill="EFEBE9" w:color="auto" w:val="clear"/>
            <w:tcMar>
              <w:top w:type="dxa" w:w="90"/>
              <w:left w:type="dxa" w:w="140"/>
              <w:bottom w:type="dxa" w:w="90"/>
              <w:right w:type="dxa" w:w="120"/>
            </w:tcMar>
          </w:tcPr>
          <w:p>
            <w:pPr>
              <w:spacing w:after="70"/>
              <w:ind w:left="80"/>
            </w:pPr>
            <w:r>
              <w:rPr>
                <w:rFonts w:ascii="Arial" w:cs="Arial" w:eastAsia="Arial" w:hAnsi="Arial"/>
                <w:b w:val="false"/>
                <w:bCs w:val="false"/>
                <w:i w:val="false"/>
                <w:iCs w:val="false"/>
                <w:color w:val="424242"/>
                <w:sz w:val="17"/>
                <w:szCs w:val="17"/>
              </w:rPr>
              <w:t xml:space="preserve">Apply a minimum H complexity for all Energy &amp; Utilities programmes. VH applies for multi-country operations with commodity trading in scope.</w:t>
            </w:r>
          </w:p>
          <w:p>
            <w:pPr>
              <w:spacing w:after="70"/>
              <w:ind w:left="80"/>
            </w:pPr>
            <w:r>
              <w:rPr>
                <w:rFonts w:ascii="Arial" w:cs="Arial" w:eastAsia="Arial" w:hAnsi="Arial"/>
                <w:b w:val="false"/>
                <w:bCs w:val="false"/>
                <w:i w:val="false"/>
                <w:iCs w:val="false"/>
                <w:color w:val="424242"/>
                <w:sz w:val="17"/>
                <w:szCs w:val="17"/>
              </w:rPr>
              <w:t xml:space="preserve">Always request the client's asset register statistics (total asset count, EAM system, maintenance history depth) before estimating the data migration stream. The standard DM formula does not apply to EAM asset data.</w:t>
            </w:r>
          </w:p>
          <w:p>
            <w:pPr>
              <w:spacing w:after="70"/>
              <w:ind w:left="80"/>
            </w:pPr>
            <w:r>
              <w:rPr>
                <w:rFonts w:ascii="Arial" w:cs="Arial" w:eastAsia="Arial" w:hAnsi="Arial"/>
                <w:b w:val="false"/>
                <w:bCs w:val="false"/>
                <w:i w:val="false"/>
                <w:iCs w:val="false"/>
                <w:color w:val="424242"/>
                <w:sz w:val="17"/>
                <w:szCs w:val="17"/>
              </w:rPr>
              <w:t xml:space="preserve">Confirm FERC/USOA regulatory accounting requirements in the first discovery meeting. If in scope, add a FERC configuration workstream of 20–30 days and confirm specialist resource availability.</w:t>
            </w:r>
          </w:p>
          <w:p>
            <w:pPr>
              <w:spacing w:after="70"/>
              <w:ind w:left="80"/>
            </w:pPr>
            <w:r>
              <w:rPr>
                <w:rFonts w:ascii="Arial" w:cs="Arial" w:eastAsia="Arial" w:hAnsi="Arial"/>
                <w:b w:val="false"/>
                <w:bCs w:val="false"/>
                <w:i w:val="false"/>
                <w:iCs w:val="false"/>
                <w:color w:val="424242"/>
                <w:sz w:val="17"/>
                <w:szCs w:val="17"/>
              </w:rPr>
              <w:t xml:space="preserve">Include ETRM integration discovery with the Energy Trading team in week 1 of Discover — do not wait for them to appear in Design.</w:t>
            </w:r>
          </w:p>
          <w:p>
            <w:pPr>
              <w:spacing w:after="70"/>
              <w:ind w:left="80"/>
            </w:pPr>
            <w:r>
              <w:rPr>
                <w:rFonts w:ascii="Arial" w:cs="Arial" w:eastAsia="Arial" w:hAnsi="Arial"/>
                <w:b w:val="false"/>
                <w:bCs w:val="false"/>
                <w:i w:val="false"/>
                <w:iCs w:val="false"/>
                <w:color w:val="424242"/>
                <w:sz w:val="17"/>
                <w:szCs w:val="17"/>
              </w:rPr>
              <w:t xml:space="preserve">Budget 14% of total effort for the Data Migration phase (vs the standard 8%) for asset-intensive utilities. This is consistently where energy programmes overrun most significantly.</w:t>
            </w:r>
          </w:p>
        </w:tc>
      </w:tr>
    </w:tbl>
    <w:p>
      <w:pPr>
        <w:spacing w:after="60"/>
      </w:pPr>
      <w:r>
        <w:rPr>
          <w:rFonts w:ascii="Arial" w:cs="Arial" w:eastAsia="Arial" w:hAnsi="Arial"/>
          <w:b w:val="false"/>
          <w:bCs w:val="false"/>
          <w:i w:val="false"/>
          <w:iCs w:val="false"/>
          <w:color w:val="000000"/>
          <w:sz w:val="18"/>
          <w:szCs w:val="18"/>
        </w:rPr>
        <w:t xml:space="preserve"/>
      </w:r>
    </w:p>
    <w:p>
      <w:r>
        <w:br w:type="pag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6A1B9A" w:color="auto" w:val="clear"/>
            <w:tcMar>
              <w:top w:type="dxa" w:w="120"/>
              <w:left w:type="dxa" w:w="180"/>
              <w:bottom w:type="dxa" w:w="120"/>
              <w:right w:type="dxa" w:w="120"/>
            </w:tcMar>
          </w:tcPr>
          <w:p>
            <w:pPr>
              <w:spacing w:after="60"/>
            </w:pPr>
            <w:r>
              <w:rPr>
                <w:rFonts w:ascii="Arial" w:cs="Arial" w:eastAsia="Arial" w:hAnsi="Arial"/>
                <w:b/>
                <w:bCs/>
                <w:i w:val="false"/>
                <w:iCs w:val="false"/>
                <w:color w:val="FFFFFF"/>
                <w:sz w:val="30"/>
                <w:szCs w:val="30"/>
              </w:rPr>
              <w:t xml:space="preserve">Public Sector (Central Government, Local Government &amp; Higher Education)</w:t>
            </w:r>
          </w:p>
          <w:p>
            <w:pPr>
              <w:spacing w:after="0"/>
            </w:pPr>
            <w:r>
              <w:rPr>
                <w:rFonts w:ascii="Arial" w:cs="Arial" w:eastAsia="Arial" w:hAnsi="Arial"/>
                <w:b w:val="false"/>
                <w:bCs w:val="false"/>
                <w:i/>
                <w:iCs/>
                <w:color w:val="FFFFFF"/>
                <w:sz w:val="18"/>
                <w:szCs w:val="18"/>
              </w:rPr>
              <w:t xml:space="preserve">Procurement regulations, statutory reporting, and change management in a consensus-driven culture define the Public Sector profile</w:t>
            </w:r>
          </w:p>
        </w:tc>
      </w:tr>
    </w:tbl>
    <w:p>
      <w:pPr>
        <w:spacing w:after="60"/>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424242"/>
          <w:sz w:val="18"/>
          <w:szCs w:val="18"/>
        </w:rPr>
        <w:t xml:space="preserve">Public Sector Oracle Fusion implementations face two challenges that are unique to the domain. First, statutory and parliamentary reporting requirements are non-negotiable — budgets, appropriations, and expenditure must be reported in formats prescribed by government accounting standards (IPSAS, GAAP for government, FReM in the UK). Second, the change management complexity in Public Sector is structurally higher than in commercial organisations: decision-making is slower (committee approval, ministerial sign-off), stakeholder groups are more diverse, trade union involvement in HCM programmes is routine, and the cultural resistance to change is higher. These two factors together mean that Public Sector estimates must inflate both the compliance configuration and the OCM/Training workstreams significantly relative to commercial benchmarks.</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6A1B9A" w:color="auto" w:val="clear"/>
            <w:tcMar>
              <w:top w:type="dxa" w:w="60"/>
              <w:left w:type="dxa" w:w="130"/>
              <w:bottom w:type="dxa" w:w="60"/>
              <w:right w:type="dxa" w:w="80"/>
            </w:tcMar>
          </w:tcPr>
          <w:p>
            <w:pPr>
              <w:spacing w:after="40" w:before="40"/>
            </w:pPr>
            <w:r>
              <w:rPr>
                <w:rFonts w:ascii="Arial" w:cs="Arial" w:eastAsia="Arial" w:hAnsi="Arial"/>
                <w:b/>
                <w:bCs/>
                <w:i w:val="false"/>
                <w:iCs w:val="false"/>
                <w:color w:val="FFFFFF"/>
                <w:sz w:val="17"/>
                <w:szCs w:val="17"/>
              </w:rPr>
              <w:t xml:space="preserve">ESTIMATION SNAPSHOT</w:t>
            </w:r>
          </w:p>
        </w:tc>
      </w:tr>
      <w:tr>
        <w:tc>
          <w:tcPr>
            <w:tcW w:type="dxa" w:w="10080"/>
            <w:shd w:fill="F3E5F5"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Complexity Floor:  </w:t>
            </w:r>
            <w:r>
              <w:rPr>
                <w:rFonts w:ascii="Arial" w:cs="Arial" w:eastAsia="Arial" w:hAnsi="Arial"/>
                <w:b w:val="false"/>
                <w:bCs w:val="false"/>
                <w:i w:val="false"/>
                <w:iCs w:val="false"/>
                <w:color w:val="424242"/>
                <w:sz w:val="16"/>
                <w:szCs w:val="16"/>
              </w:rPr>
              <w:t xml:space="preserve">H mandatory</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Module Count:  </w:t>
            </w:r>
            <w:r>
              <w:rPr>
                <w:rFonts w:ascii="Arial" w:cs="Arial" w:eastAsia="Arial" w:hAnsi="Arial"/>
                <w:b w:val="false"/>
                <w:bCs w:val="false"/>
                <w:i w:val="false"/>
                <w:iCs w:val="false"/>
                <w:color w:val="424242"/>
                <w:sz w:val="16"/>
                <w:szCs w:val="16"/>
              </w:rPr>
              <w:t xml:space="preserve">4–7 modules</w:t>
            </w:r>
          </w:p>
        </w:tc>
      </w:tr>
      <w:tr>
        <w:tc>
          <w:tcPr>
            <w:tcW w:type="dxa" w:w="10080"/>
            <w:shd w:fill="F3E5F5"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Integration Count (Simple/Complex):  </w:t>
            </w:r>
            <w:r>
              <w:rPr>
                <w:rFonts w:ascii="Arial" w:cs="Arial" w:eastAsia="Arial" w:hAnsi="Arial"/>
                <w:b w:val="false"/>
                <w:bCs w:val="false"/>
                <w:i w:val="false"/>
                <w:iCs w:val="false"/>
                <w:color w:val="424242"/>
                <w:sz w:val="16"/>
                <w:szCs w:val="16"/>
              </w:rPr>
              <w:t xml:space="preserve">8–15 simple / 4–8 complex</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DM Object Count:  </w:t>
            </w:r>
            <w:r>
              <w:rPr>
                <w:rFonts w:ascii="Arial" w:cs="Arial" w:eastAsia="Arial" w:hAnsi="Arial"/>
                <w:b w:val="false"/>
                <w:bCs w:val="false"/>
                <w:i w:val="false"/>
                <w:iCs w:val="false"/>
                <w:color w:val="424242"/>
                <w:sz w:val="16"/>
                <w:szCs w:val="16"/>
              </w:rPr>
              <w:t xml:space="preserve">10–20 objects</w:t>
            </w:r>
          </w:p>
        </w:tc>
      </w:tr>
      <w:tr>
        <w:tc>
          <w:tcPr>
            <w:tcW w:type="dxa" w:w="10080"/>
            <w:shd w:fill="F3E5F5"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CEMLI / Extensions:  </w:t>
            </w:r>
            <w:r>
              <w:rPr>
                <w:rFonts w:ascii="Arial" w:cs="Arial" w:eastAsia="Arial" w:hAnsi="Arial"/>
                <w:b w:val="false"/>
                <w:bCs w:val="false"/>
                <w:i w:val="false"/>
                <w:iCs w:val="false"/>
                <w:color w:val="424242"/>
                <w:sz w:val="16"/>
                <w:szCs w:val="16"/>
              </w:rPr>
              <w:t xml:space="preserve">12–20 extensions</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Duration:  </w:t>
            </w:r>
            <w:r>
              <w:rPr>
                <w:rFonts w:ascii="Arial" w:cs="Arial" w:eastAsia="Arial" w:hAnsi="Arial"/>
                <w:b w:val="false"/>
                <w:bCs w:val="false"/>
                <w:i w:val="false"/>
                <w:iCs w:val="false"/>
                <w:color w:val="424242"/>
                <w:sz w:val="16"/>
                <w:szCs w:val="16"/>
              </w:rPr>
              <w:t xml:space="preserve">18–30 months</w:t>
            </w:r>
          </w:p>
        </w:tc>
      </w:tr>
      <w:tr>
        <w:tc>
          <w:tcPr>
            <w:tcW w:type="dxa" w:w="10080"/>
            <w:shd w:fill="F3E5F5"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Effort Uplift vs Generic Benchmark:  </w:t>
            </w:r>
            <w:r>
              <w:rPr>
                <w:rFonts w:ascii="Arial" w:cs="Arial" w:eastAsia="Arial" w:hAnsi="Arial"/>
                <w:b w:val="false"/>
                <w:bCs w:val="false"/>
                <w:i w:val="false"/>
                <w:iCs w:val="false"/>
                <w:color w:val="424242"/>
                <w:sz w:val="16"/>
                <w:szCs w:val="16"/>
              </w:rPr>
              <w:t xml:space="preserve">+30–50% vs generic benchmark</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Highest-Risk Phase:  </w:t>
            </w:r>
            <w:r>
              <w:rPr>
                <w:rFonts w:ascii="Arial" w:cs="Arial" w:eastAsia="Arial" w:hAnsi="Arial"/>
                <w:b w:val="false"/>
                <w:bCs w:val="false"/>
                <w:i w:val="false"/>
                <w:iCs w:val="false"/>
                <w:color w:val="424242"/>
                <w:sz w:val="16"/>
                <w:szCs w:val="16"/>
              </w:rPr>
              <w:t xml:space="preserve">Ph1–Ph2 (decision delays) and Ph7 (OCM complexity)</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4840"/>
        <w:gridCol w:w="5240"/>
      </w:tblGrid>
      <w:tr>
        <w:tc>
          <w:tcPr>
            <w:tcW w:type="dxa" w:w="4840"/>
            <w:tcMar>
              <w:top w:type="dxa" w:w="0"/>
              <w:left w:type="dxa" w:w="0"/>
              <w:bottom w:type="dxa" w:w="0"/>
              <w:right w:type="dxa" w:w="80"/>
            </w:tcMar>
          </w:tcPr>
          <w:p>
            <w:pPr>
              <w:spacing w:after="80"/>
            </w:pPr>
            <w:r>
              <w:rPr>
                <w:rFonts w:ascii="Arial" w:cs="Arial" w:eastAsia="Arial" w:hAnsi="Arial"/>
                <w:b/>
                <w:bCs/>
                <w:i w:val="false"/>
                <w:iCs w:val="false"/>
                <w:color w:val="6A1B9A"/>
                <w:sz w:val="17"/>
                <w:szCs w:val="17"/>
              </w:rPr>
              <w:t xml:space="preserve">Standard Oracle Modules (always in scope)</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Financials (GL, AP, AR — modified accrual / IPSAS)</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HCM – Core HR, Payroll (Civil Service pay scales)</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Procurement (eSourcing, Supplier Portal)</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Oracle Project Costing (Grant / Fund Accounting)</w:t>
            </w:r>
          </w:p>
        </w:tc>
        <w:tc>
          <w:tcPr>
            <w:tcW w:type="dxa" w:w="5240"/>
            <w:tcMar>
              <w:top w:type="dxa" w:w="0"/>
              <w:left w:type="dxa" w:w="80"/>
              <w:bottom w:type="dxa" w:w="0"/>
              <w:right w:type="dxa" w:w="0"/>
            </w:tcMar>
          </w:tcPr>
          <w:p>
            <w:pPr>
              <w:spacing w:after="80"/>
            </w:pPr>
            <w:r>
              <w:rPr>
                <w:rFonts w:ascii="Arial" w:cs="Arial" w:eastAsia="Arial" w:hAnsi="Arial"/>
                <w:b/>
                <w:bCs/>
                <w:i w:val="false"/>
                <w:iCs w:val="false"/>
                <w:color w:val="6A1B9A"/>
                <w:sz w:val="17"/>
                <w:szCs w:val="17"/>
              </w:rPr>
              <w:t xml:space="preserve">Domain-Specific Scope Additions</w:t>
            </w:r>
          </w:p>
          <w:p>
            <w:pPr>
              <w:spacing w:after="60"/>
              <w:ind w:left="200" w:hanging="160"/>
            </w:pPr>
            <w:r>
              <w:rPr>
                <w:rFonts w:ascii="Arial" w:cs="Arial" w:eastAsia="Arial" w:hAnsi="Arial"/>
                <w:b/>
                <w:bCs/>
                <w:i w:val="false"/>
                <w:iCs w:val="false"/>
                <w:color w:val="6A1B9A"/>
                <w:sz w:val="16"/>
                <w:szCs w:val="16"/>
              </w:rPr>
              <w:t xml:space="preserve">★  </w:t>
            </w:r>
            <w:r>
              <w:rPr>
                <w:rFonts w:ascii="Arial" w:cs="Arial" w:eastAsia="Arial" w:hAnsi="Arial"/>
                <w:b w:val="false"/>
                <w:bCs w:val="false"/>
                <w:i w:val="false"/>
                <w:iCs w:val="false"/>
                <w:color w:val="424242"/>
                <w:sz w:val="16"/>
                <w:szCs w:val="16"/>
              </w:rPr>
              <w:t xml:space="preserve">Government Chart of Accounts (IPSAS / FReM / GASB Config)</w:t>
            </w:r>
          </w:p>
          <w:p>
            <w:pPr>
              <w:spacing w:after="60"/>
              <w:ind w:left="200" w:hanging="160"/>
            </w:pPr>
            <w:r>
              <w:rPr>
                <w:rFonts w:ascii="Arial" w:cs="Arial" w:eastAsia="Arial" w:hAnsi="Arial"/>
                <w:b/>
                <w:bCs/>
                <w:i w:val="false"/>
                <w:iCs w:val="false"/>
                <w:color w:val="6A1B9A"/>
                <w:sz w:val="16"/>
                <w:szCs w:val="16"/>
              </w:rPr>
              <w:t xml:space="preserve">★  </w:t>
            </w:r>
            <w:r>
              <w:rPr>
                <w:rFonts w:ascii="Arial" w:cs="Arial" w:eastAsia="Arial" w:hAnsi="Arial"/>
                <w:b w:val="false"/>
                <w:bCs w:val="false"/>
                <w:i w:val="false"/>
                <w:iCs w:val="false"/>
                <w:color w:val="424242"/>
                <w:sz w:val="16"/>
                <w:szCs w:val="16"/>
              </w:rPr>
              <w:t xml:space="preserve">Parliamentary / Appropriations Reporting</w:t>
            </w:r>
          </w:p>
          <w:p>
            <w:pPr>
              <w:spacing w:after="60"/>
              <w:ind w:left="200" w:hanging="160"/>
            </w:pPr>
            <w:r>
              <w:rPr>
                <w:rFonts w:ascii="Arial" w:cs="Arial" w:eastAsia="Arial" w:hAnsi="Arial"/>
                <w:b/>
                <w:bCs/>
                <w:i w:val="false"/>
                <w:iCs w:val="false"/>
                <w:color w:val="6A1B9A"/>
                <w:sz w:val="16"/>
                <w:szCs w:val="16"/>
              </w:rPr>
              <w:t xml:space="preserve">★  </w:t>
            </w:r>
            <w:r>
              <w:rPr>
                <w:rFonts w:ascii="Arial" w:cs="Arial" w:eastAsia="Arial" w:hAnsi="Arial"/>
                <w:b w:val="false"/>
                <w:bCs w:val="false"/>
                <w:i w:val="false"/>
                <w:iCs w:val="false"/>
                <w:color w:val="424242"/>
                <w:sz w:val="16"/>
                <w:szCs w:val="16"/>
              </w:rPr>
              <w:t xml:space="preserve">Grant &amp; Fund Accounting (Research Councils, Federal Grants)</w:t>
            </w:r>
          </w:p>
          <w:p>
            <w:pPr>
              <w:spacing w:after="60"/>
              <w:ind w:left="200" w:hanging="160"/>
            </w:pPr>
            <w:r>
              <w:rPr>
                <w:rFonts w:ascii="Arial" w:cs="Arial" w:eastAsia="Arial" w:hAnsi="Arial"/>
                <w:b/>
                <w:bCs/>
                <w:i w:val="false"/>
                <w:iCs w:val="false"/>
                <w:color w:val="6A1B9A"/>
                <w:sz w:val="16"/>
                <w:szCs w:val="16"/>
              </w:rPr>
              <w:t xml:space="preserve">★  </w:t>
            </w:r>
            <w:r>
              <w:rPr>
                <w:rFonts w:ascii="Arial" w:cs="Arial" w:eastAsia="Arial" w:hAnsi="Arial"/>
                <w:b w:val="false"/>
                <w:bCs w:val="false"/>
                <w:i w:val="false"/>
                <w:iCs w:val="false"/>
                <w:color w:val="424242"/>
                <w:sz w:val="16"/>
                <w:szCs w:val="16"/>
              </w:rPr>
              <w:t xml:space="preserve">Purchase Order Commitment Accounting</w:t>
            </w:r>
          </w:p>
          <w:p>
            <w:pPr>
              <w:spacing w:after="60"/>
              <w:ind w:left="200" w:hanging="160"/>
            </w:pPr>
            <w:r>
              <w:rPr>
                <w:rFonts w:ascii="Arial" w:cs="Arial" w:eastAsia="Arial" w:hAnsi="Arial"/>
                <w:b/>
                <w:bCs/>
                <w:i w:val="false"/>
                <w:iCs w:val="false"/>
                <w:color w:val="6A1B9A"/>
                <w:sz w:val="16"/>
                <w:szCs w:val="16"/>
              </w:rPr>
              <w:t xml:space="preserve">★  </w:t>
            </w:r>
            <w:r>
              <w:rPr>
                <w:rFonts w:ascii="Arial" w:cs="Arial" w:eastAsia="Arial" w:hAnsi="Arial"/>
                <w:b w:val="false"/>
                <w:bCs w:val="false"/>
                <w:i w:val="false"/>
                <w:iCs w:val="false"/>
                <w:color w:val="424242"/>
                <w:sz w:val="16"/>
                <w:szCs w:val="16"/>
              </w:rPr>
              <w:t xml:space="preserve">Supplier Diversity &amp; Public Procurement Compliance</w:t>
            </w:r>
          </w:p>
          <w:p>
            <w:pPr>
              <w:spacing w:after="60"/>
              <w:ind w:left="200" w:hanging="160"/>
            </w:pPr>
            <w:r>
              <w:rPr>
                <w:rFonts w:ascii="Arial" w:cs="Arial" w:eastAsia="Arial" w:hAnsi="Arial"/>
                <w:b/>
                <w:bCs/>
                <w:i w:val="false"/>
                <w:iCs w:val="false"/>
                <w:color w:val="6A1B9A"/>
                <w:sz w:val="16"/>
                <w:szCs w:val="16"/>
              </w:rPr>
              <w:t xml:space="preserve">★  </w:t>
            </w:r>
            <w:r>
              <w:rPr>
                <w:rFonts w:ascii="Arial" w:cs="Arial" w:eastAsia="Arial" w:hAnsi="Arial"/>
                <w:b w:val="false"/>
                <w:bCs w:val="false"/>
                <w:i w:val="false"/>
                <w:iCs w:val="false"/>
                <w:color w:val="424242"/>
                <w:sz w:val="16"/>
                <w:szCs w:val="16"/>
              </w:rPr>
              <w:t xml:space="preserve">Trade Union / Staff Council HCM Configuration</w:t>
            </w:r>
          </w:p>
          <w:p>
            <w:pPr>
              <w:spacing w:after="60"/>
              <w:ind w:left="200" w:hanging="160"/>
            </w:pPr>
            <w:r>
              <w:rPr>
                <w:rFonts w:ascii="Arial" w:cs="Arial" w:eastAsia="Arial" w:hAnsi="Arial"/>
                <w:b/>
                <w:bCs/>
                <w:i w:val="false"/>
                <w:iCs w:val="false"/>
                <w:color w:val="6A1B9A"/>
                <w:sz w:val="16"/>
                <w:szCs w:val="16"/>
              </w:rPr>
              <w:t xml:space="preserve">★  </w:t>
            </w:r>
            <w:r>
              <w:rPr>
                <w:rFonts w:ascii="Arial" w:cs="Arial" w:eastAsia="Arial" w:hAnsi="Arial"/>
                <w:b w:val="false"/>
                <w:bCs w:val="false"/>
                <w:i w:val="false"/>
                <w:iCs w:val="false"/>
                <w:color w:val="424242"/>
                <w:sz w:val="16"/>
                <w:szCs w:val="16"/>
              </w:rPr>
              <w:t xml:space="preserve">Freedom of Information Act Data Handling</w:t>
            </w:r>
          </w:p>
          <w:p>
            <w:pPr>
              <w:spacing w:after="60"/>
              <w:ind w:left="200" w:hanging="160"/>
            </w:pPr>
            <w:r>
              <w:rPr>
                <w:rFonts w:ascii="Arial" w:cs="Arial" w:eastAsia="Arial" w:hAnsi="Arial"/>
                <w:b/>
                <w:bCs/>
                <w:i w:val="false"/>
                <w:iCs w:val="false"/>
                <w:color w:val="6A1B9A"/>
                <w:sz w:val="16"/>
                <w:szCs w:val="16"/>
              </w:rPr>
              <w:t xml:space="preserve">★  </w:t>
            </w:r>
            <w:r>
              <w:rPr>
                <w:rFonts w:ascii="Arial" w:cs="Arial" w:eastAsia="Arial" w:hAnsi="Arial"/>
                <w:b w:val="false"/>
                <w:bCs w:val="false"/>
                <w:i w:val="false"/>
                <w:iCs w:val="false"/>
                <w:color w:val="424242"/>
                <w:sz w:val="16"/>
                <w:szCs w:val="16"/>
              </w:rPr>
              <w:t xml:space="preserve">Budget Management &amp; Spend Control</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Key Estimation Drivers &amp; Unit Effort Uplift Factors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5000"/>
      </w:tblGrid>
      <w:tr>
        <w:trPr>
          <w:tblHeader/>
        </w:trPr>
        <w:tc>
          <w:tcPr>
            <w:tcW w:type="dxa" w:w="3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Driver</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Impact</w:t>
            </w:r>
          </w:p>
        </w:tc>
        <w:tc>
          <w:tcPr>
            <w:tcW w:type="dxa" w:w="1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Uplift vs Benchmark</w:t>
            </w:r>
          </w:p>
        </w:tc>
        <w:tc>
          <w:tcPr>
            <w:tcW w:type="dxa" w:w="5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Estimator Action</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Government chart of accounts and IPSAS/FReM compliance</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+30–50% on GL</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Government CoA design (appropriations, fund accounting, commitment control) is fundamentally different from commercial accounting. Budget 30–50 days for government accounting configuration — not standard GL setup.</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Commitment accounting / purchase order control</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+25–35%</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Government procurement requires pre-encumbrance and encumbrance accounting that is not standard Oracle AP behaviour. Add 20–30 days for commitment accounting configuration and budget control rules.</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Parliamentary and appropriations reporting</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+30–45% on EPM/Reporting</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Statutory reporting to Parliament, GAO, or equivalent bodies requires specific report formats and sign-off processes. Add 30–50 days for government reporting configuration — cannot be treated as standard OTBI reports.</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Trade union and staff council engagement in HCM</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+20–30% on HCM/OCM</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HCM changes affecting pay, grading, and terms of employment require formal trade union consultation. Add 20–40 days for union engagement process and impact assessment — not part of standard OCM.</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Procurement compliance (PCAP, FAR, Public Contract Regulations)</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+25–35% on Procurement</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Public procurement regulations (FAR in the US, Public Contract Regulations in the UK) mandate specific approval workflows, supplier transparency, and contract management configuration. Add 20–30 days.</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Slower decision-making and governance cadence</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+15–25% on timeline</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Government programmes consistently have longer decision cycles — committee approvals, ministerial sign-off, parliamentary sessions. Add 15–25% to the overall elapsed timeline and front-load critical decisions into the Discover phase.</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Domain Integration Landscape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1200"/>
        <w:gridCol w:w="44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System / Interface</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Type</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Complexity</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Typical Count</w:t>
            </w:r>
          </w:p>
        </w:tc>
        <w:tc>
          <w:tcPr>
            <w:tcW w:type="dxa" w:w="4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Estimation Note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Parliament / Treasury IFMS or Legacy Government ERP</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2–5</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Financial consolidation submissions to Treasury or Central Accounting systems. Format is government-prescribed — not generic REST.</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Civil Service HR / Payroll System (e-NIL, HMRC RTI, SSP)</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2–4</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Civil Service payroll integrations (RTI, student loan, auto-enrolment) require local payroll knowledge.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Procurement Portals (Jaggaer, SAP Ariba, GovProc)</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eSourcing and supplier registration portals mandated by procurement policy.</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Research Grants Management (Worktribe, Symplectic)</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For Higher Education and Research Councils — grant lifecycle management integration.</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Identity Management / LDAP / SSO (Active Directory)</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Government identity management integration for Oracle IDCS. Standard but requires Security Operations team involvement.</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Finance Reporting (Office for Budget Responsibility, NAO)</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2–5</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Statutory submissions to Parliamentary oversight bodies. Specific XML/XBRL formats. Non-negotiable.</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SDLC Phase Distribution — Domain Adjustments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400"/>
        <w:gridCol w:w="40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Phase</w:t>
            </w:r>
          </w:p>
        </w:tc>
        <w:tc>
          <w:tcPr>
            <w:tcW w:type="dxa" w:w="15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Standard %</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Domain Adj. %</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Variance</w:t>
            </w:r>
          </w:p>
        </w:tc>
        <w:tc>
          <w:tcPr>
            <w:tcW w:type="dxa" w:w="4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Reason</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Ph1: Discover &amp; Assess</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18%</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+6pp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Government discovery takes longer — stakeholder diversity, committee structures, and Freedom of Information considerations require additional workshops and formal documentation</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Ph2: Design/Blueprint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24%</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+6pp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Government CoA design and commitment accounting decisions require Finance Director and HM Treasury / OMB approval — decision cycle is structurally slower</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Ph3: Build/Configure</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28%</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0pp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 build — elevated by government accounting config and procurement compliance workflows</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Ph5: UAT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10%</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Public Sector UAT involves a wider stakeholder group (finance teams, HR, union representatives, auditors) — sign-off cycle is longer</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Ph7: Training &amp; OCM</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9%</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+4pp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Large, diverse, geographically distributed civil service workforce requires more training sessions, more languages, and more comprehensive change management</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Ph8: Go-Live / Cutover</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Government cutover must align with financial year boundaries (April 1 in UK, October 1 in US Federal) — constrained window</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Ph9: Hypercare</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4%</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First statutory reporting period under new system requires dedicated Finance and IT support — Parliament does not accept a defective submission</w:t>
            </w:r>
          </w:p>
        </w:tc>
      </w:tr>
    </w:tbl>
    <w:p>
      <w:pPr>
        <w:spacing w:after="100" w:before="60"/>
        <w:jc w:val="left"/>
      </w:pPr>
      <w:r>
        <w:rPr>
          <w:rFonts w:ascii="Arial" w:cs="Arial" w:eastAsia="Arial" w:hAnsi="Arial"/>
          <w:b w:val="false"/>
          <w:bCs w:val="false"/>
          <w:i/>
          <w:iCs/>
          <w:color w:val="757575"/>
          <w:sz w:val="17"/>
          <w:szCs w:val="17"/>
        </w:rPr>
        <w:t xml:space="preserve">Public Sector programmes front-load heavily into Discover and Design due to the committee-based decision-making structure and complex stakeholder landscape. The OCM/Training phase is significantly extended — civil service workforces are large, dispersed, and have lower ERP familiarity than commercial sector counterparts. The go-live date is almost always dictated by the financial year boundary.</w:t>
      </w:r>
    </w:p>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Top 5 Under-Priced Risks in Public Sector (Central Government, Local Government &amp; Higher Education) Estimates</w:t>
      </w:r>
    </w:p>
    <w:p>
      <w:pPr>
        <w:spacing w:after="40" w:before="80"/>
        <w:ind w:left="120"/>
      </w:pPr>
      <w:r>
        <w:rPr>
          <w:rFonts w:ascii="Arial" w:cs="Arial" w:eastAsia="Arial" w:hAnsi="Arial"/>
          <w:b/>
          <w:bCs/>
          <w:i w:val="false"/>
          <w:iCs w:val="false"/>
          <w:color w:val="6A1B9A"/>
          <w:sz w:val="18"/>
          <w:szCs w:val="18"/>
        </w:rPr>
        <w:t xml:space="preserve">1.  Government decision-making timeline not reflected in programme plan</w:t>
      </w:r>
    </w:p>
    <w:p>
      <w:pPr>
        <w:spacing w:after="80"/>
        <w:ind w:left="300"/>
      </w:pPr>
      <w:r>
        <w:rPr>
          <w:rFonts w:ascii="Arial" w:cs="Arial" w:eastAsia="Arial" w:hAnsi="Arial"/>
          <w:b w:val="false"/>
          <w:bCs w:val="false"/>
          <w:i w:val="false"/>
          <w:iCs w:val="false"/>
          <w:color w:val="424242"/>
          <w:sz w:val="17"/>
          <w:szCs w:val="17"/>
        </w:rPr>
        <w:t xml:space="preserve">Commercial programme plans assume decisions within 5 business days. Public Sector decisions often require committee approval, departmental sign-off, and sometimes ministerial or parliamentary authorisation. Failing to build this into the programme schedule — especially for CoA design and procurement policy — creates a cascade of delays. Add 2–4 weeks of decision lead-time for every major design decision.</w:t>
      </w:r>
    </w:p>
    <w:p>
      <w:pPr>
        <w:spacing w:after="40" w:before="80"/>
        <w:ind w:left="120"/>
      </w:pPr>
      <w:r>
        <w:rPr>
          <w:rFonts w:ascii="Arial" w:cs="Arial" w:eastAsia="Arial" w:hAnsi="Arial"/>
          <w:b/>
          <w:bCs/>
          <w:i w:val="false"/>
          <w:iCs w:val="false"/>
          <w:color w:val="6A1B9A"/>
          <w:sz w:val="18"/>
          <w:szCs w:val="18"/>
        </w:rPr>
        <w:t xml:space="preserve">2.  Trade union engagement not included as a programme workstream</w:t>
      </w:r>
    </w:p>
    <w:p>
      <w:pPr>
        <w:spacing w:after="80"/>
        <w:ind w:left="300"/>
      </w:pPr>
      <w:r>
        <w:rPr>
          <w:rFonts w:ascii="Arial" w:cs="Arial" w:eastAsia="Arial" w:hAnsi="Arial"/>
          <w:b w:val="false"/>
          <w:bCs w:val="false"/>
          <w:i w:val="false"/>
          <w:iCs w:val="false"/>
          <w:color w:val="424242"/>
          <w:sz w:val="17"/>
          <w:szCs w:val="17"/>
        </w:rPr>
        <w:t xml:space="preserve">HCM programmes in Public Sector require formal trade union consultation on changes to pay, grading, and terms of employment. This is not an OCM activity — it is a legally mandated industrial relations process that can extend the design phase by 4–8 weeks. It must be a named workstream with its own resource.</w:t>
      </w:r>
    </w:p>
    <w:p>
      <w:pPr>
        <w:spacing w:after="40" w:before="80"/>
        <w:ind w:left="120"/>
      </w:pPr>
      <w:r>
        <w:rPr>
          <w:rFonts w:ascii="Arial" w:cs="Arial" w:eastAsia="Arial" w:hAnsi="Arial"/>
          <w:b/>
          <w:bCs/>
          <w:i w:val="false"/>
          <w:iCs w:val="false"/>
          <w:color w:val="6A1B9A"/>
          <w:sz w:val="18"/>
          <w:szCs w:val="18"/>
        </w:rPr>
        <w:t xml:space="preserve">3.  Commitment accounting underscoped</w:t>
      </w:r>
    </w:p>
    <w:p>
      <w:pPr>
        <w:spacing w:after="80"/>
        <w:ind w:left="300"/>
      </w:pPr>
      <w:r>
        <w:rPr>
          <w:rFonts w:ascii="Arial" w:cs="Arial" w:eastAsia="Arial" w:hAnsi="Arial"/>
          <w:b w:val="false"/>
          <w:bCs w:val="false"/>
          <w:i w:val="false"/>
          <w:iCs w:val="false"/>
          <w:color w:val="424242"/>
          <w:sz w:val="17"/>
          <w:szCs w:val="17"/>
        </w:rPr>
        <w:t xml:space="preserve">Government finance teams rely on pre-encumbrance and encumbrance accounting for budget control. This is not standard Oracle AP behaviour and requires explicit configuration. Estimators unfamiliar with government accounting routinely miss this, resulting in a Design-phase scope addition of 20–30 days.</w:t>
      </w:r>
    </w:p>
    <w:p>
      <w:pPr>
        <w:spacing w:after="40" w:before="80"/>
        <w:ind w:left="120"/>
      </w:pPr>
      <w:r>
        <w:rPr>
          <w:rFonts w:ascii="Arial" w:cs="Arial" w:eastAsia="Arial" w:hAnsi="Arial"/>
          <w:b/>
          <w:bCs/>
          <w:i w:val="false"/>
          <w:iCs w:val="false"/>
          <w:color w:val="6A1B9A"/>
          <w:sz w:val="18"/>
          <w:szCs w:val="18"/>
        </w:rPr>
        <w:t xml:space="preserve">4.  Parliamentary reporting treated as standard OTBI reports</w:t>
      </w:r>
    </w:p>
    <w:p>
      <w:pPr>
        <w:spacing w:after="80"/>
        <w:ind w:left="300"/>
      </w:pPr>
      <w:r>
        <w:rPr>
          <w:rFonts w:ascii="Arial" w:cs="Arial" w:eastAsia="Arial" w:hAnsi="Arial"/>
          <w:b w:val="false"/>
          <w:bCs w:val="false"/>
          <w:i w:val="false"/>
          <w:iCs w:val="false"/>
          <w:color w:val="424242"/>
          <w:sz w:val="17"/>
          <w:szCs w:val="17"/>
        </w:rPr>
        <w:t xml:space="preserve">Statutory reports to Parliamentary oversight bodies (PAC, NAO, GAO) are not standard BI reports — they are prescribed XML/XBRL submissions with specific schemas and audit trails. They require a dedicated reporting stream with government accounting expertise.</w:t>
      </w:r>
    </w:p>
    <w:p>
      <w:pPr>
        <w:spacing w:after="40" w:before="80"/>
        <w:ind w:left="120"/>
      </w:pPr>
      <w:r>
        <w:rPr>
          <w:rFonts w:ascii="Arial" w:cs="Arial" w:eastAsia="Arial" w:hAnsi="Arial"/>
          <w:b/>
          <w:bCs/>
          <w:i w:val="false"/>
          <w:iCs w:val="false"/>
          <w:color w:val="6A1B9A"/>
          <w:sz w:val="18"/>
          <w:szCs w:val="18"/>
        </w:rPr>
        <w:t xml:space="preserve">5.  Training delivery for dispersed civil service workforce</w:t>
      </w:r>
    </w:p>
    <w:p>
      <w:pPr>
        <w:spacing w:after="80"/>
        <w:ind w:left="300"/>
      </w:pPr>
      <w:r>
        <w:rPr>
          <w:rFonts w:ascii="Arial" w:cs="Arial" w:eastAsia="Arial" w:hAnsi="Arial"/>
          <w:b w:val="false"/>
          <w:bCs w:val="false"/>
          <w:i w:val="false"/>
          <w:iCs w:val="false"/>
          <w:color w:val="424242"/>
          <w:sz w:val="17"/>
          <w:szCs w:val="17"/>
        </w:rPr>
        <w:t xml:space="preserve">A central government department may have users across hundreds of locations in multiple time zones and languages. The training programme for this workforce is not comparable to a commercial training programme — it requires train-the-trainer, eLearning development, and on-site sessions that can triple the standard training estimate.</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6A1B9A" w:color="auto" w:val="clear"/>
            <w:tcMar>
              <w:top w:type="dxa" w:w="70"/>
              <w:left w:type="dxa" w:w="130"/>
              <w:bottom w:type="dxa" w:w="70"/>
              <w:right w:type="dxa" w:w="120"/>
            </w:tcMar>
          </w:tcPr>
          <w:p>
            <w:pPr>
              <w:spacing w:after="60" w:before="60"/>
              <w:ind w:left="80"/>
            </w:pPr>
            <w:r>
              <w:rPr>
                <w:rFonts w:ascii="Arial" w:cs="Arial" w:eastAsia="Arial" w:hAnsi="Arial"/>
                <w:b/>
                <w:bCs/>
                <w:i w:val="false"/>
                <w:iCs w:val="false"/>
                <w:color w:val="FFFFFF"/>
                <w:sz w:val="19"/>
                <w:szCs w:val="19"/>
              </w:rPr>
              <w:t xml:space="preserve">Estimator Guidance — Public Sector (Central Government, Local Government &amp; Higher Education)</w:t>
            </w:r>
          </w:p>
        </w:tc>
      </w:tr>
      <w:tr>
        <w:tc>
          <w:tcPr>
            <w:tcW w:type="dxa" w:w="10080"/>
            <w:shd w:fill="F3E5F5" w:color="auto" w:val="clear"/>
            <w:tcMar>
              <w:top w:type="dxa" w:w="90"/>
              <w:left w:type="dxa" w:w="140"/>
              <w:bottom w:type="dxa" w:w="90"/>
              <w:right w:type="dxa" w:w="120"/>
            </w:tcMar>
          </w:tcPr>
          <w:p>
            <w:pPr>
              <w:spacing w:after="70"/>
              <w:ind w:left="80"/>
            </w:pPr>
            <w:r>
              <w:rPr>
                <w:rFonts w:ascii="Arial" w:cs="Arial" w:eastAsia="Arial" w:hAnsi="Arial"/>
                <w:b w:val="false"/>
                <w:bCs w:val="false"/>
                <w:i w:val="false"/>
                <w:iCs w:val="false"/>
                <w:color w:val="424242"/>
                <w:sz w:val="17"/>
                <w:szCs w:val="17"/>
              </w:rPr>
              <w:t xml:space="preserve">Build a Government Accounting Configuration workstream as an explicit scope item from the first estimate. Commitment accounting, appropriations reporting, and fund accounting cannot be absorbed into standard GL and EPM estimates.</w:t>
            </w:r>
          </w:p>
          <w:p>
            <w:pPr>
              <w:spacing w:after="70"/>
              <w:ind w:left="80"/>
            </w:pPr>
            <w:r>
              <w:rPr>
                <w:rFonts w:ascii="Arial" w:cs="Arial" w:eastAsia="Arial" w:hAnsi="Arial"/>
                <w:b w:val="false"/>
                <w:bCs w:val="false"/>
                <w:i w:val="false"/>
                <w:iCs w:val="false"/>
                <w:color w:val="424242"/>
                <w:sz w:val="17"/>
                <w:szCs w:val="17"/>
              </w:rPr>
              <w:t xml:space="preserve">Always request the client's governance approval matrix in week 1 of Discover. Map every programme decision to the approval authority required and build the approval timeline into the programme schedule.</w:t>
            </w:r>
          </w:p>
          <w:p>
            <w:pPr>
              <w:spacing w:after="70"/>
              <w:ind w:left="80"/>
            </w:pPr>
            <w:r>
              <w:rPr>
                <w:rFonts w:ascii="Arial" w:cs="Arial" w:eastAsia="Arial" w:hAnsi="Arial"/>
                <w:b w:val="false"/>
                <w:bCs w:val="false"/>
                <w:i w:val="false"/>
                <w:iCs w:val="false"/>
                <w:color w:val="424242"/>
                <w:sz w:val="17"/>
                <w:szCs w:val="17"/>
              </w:rPr>
              <w:t xml:space="preserve">Trade union engagement is a mandatory workstream for any Public Sector HCM programme — include it in the project plan and OCM estimate from the start. It is not negotiable and is never 'just a meeting'.</w:t>
            </w:r>
          </w:p>
          <w:p>
            <w:pPr>
              <w:spacing w:after="70"/>
              <w:ind w:left="80"/>
            </w:pPr>
            <w:r>
              <w:rPr>
                <w:rFonts w:ascii="Arial" w:cs="Arial" w:eastAsia="Arial" w:hAnsi="Arial"/>
                <w:b w:val="false"/>
                <w:bCs w:val="false"/>
                <w:i w:val="false"/>
                <w:iCs w:val="false"/>
                <w:color w:val="424242"/>
                <w:sz w:val="17"/>
                <w:szCs w:val="17"/>
              </w:rPr>
              <w:t xml:space="preserve">The go-live date for Public Sector programmes is almost always April 1 (UK financial year) or October 1 (US Federal fiscal year). Confirm this constraint in week 1 and work the programme schedule backward from it.</w:t>
            </w:r>
          </w:p>
          <w:p>
            <w:pPr>
              <w:spacing w:after="70"/>
              <w:ind w:left="80"/>
            </w:pPr>
            <w:r>
              <w:rPr>
                <w:rFonts w:ascii="Arial" w:cs="Arial" w:eastAsia="Arial" w:hAnsi="Arial"/>
                <w:b w:val="false"/>
                <w:bCs w:val="false"/>
                <w:i w:val="false"/>
                <w:iCs w:val="false"/>
                <w:color w:val="424242"/>
                <w:sz w:val="17"/>
                <w:szCs w:val="17"/>
              </w:rPr>
              <w:t xml:space="preserve">Budget a minimum of 9% of total effort for Training &amp; OCM (vs the standard 5%) — civil service training at scale is the most consistently underestimated workstream in Public Sector.</w:t>
            </w:r>
          </w:p>
        </w:tc>
      </w:tr>
    </w:tbl>
    <w:p>
      <w:pPr>
        <w:spacing w:after="60"/>
      </w:pPr>
      <w:r>
        <w:rPr>
          <w:rFonts w:ascii="Arial" w:cs="Arial" w:eastAsia="Arial" w:hAnsi="Arial"/>
          <w:b w:val="false"/>
          <w:bCs w:val="false"/>
          <w:i w:val="false"/>
          <w:iCs w:val="false"/>
          <w:color w:val="000000"/>
          <w:sz w:val="18"/>
          <w:szCs w:val="18"/>
        </w:rPr>
        <w:t xml:space="preserve"/>
      </w:r>
    </w:p>
    <w:p>
      <w:r>
        <w:br w:type="pag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006064" w:color="auto" w:val="clear"/>
            <w:tcMar>
              <w:top w:type="dxa" w:w="120"/>
              <w:left w:type="dxa" w:w="180"/>
              <w:bottom w:type="dxa" w:w="120"/>
              <w:right w:type="dxa" w:w="120"/>
            </w:tcMar>
          </w:tcPr>
          <w:p>
            <w:pPr>
              <w:spacing w:after="60"/>
            </w:pPr>
            <w:r>
              <w:rPr>
                <w:rFonts w:ascii="Arial" w:cs="Arial" w:eastAsia="Arial" w:hAnsi="Arial"/>
                <w:b/>
                <w:bCs/>
                <w:i w:val="false"/>
                <w:iCs w:val="false"/>
                <w:color w:val="FFFFFF"/>
                <w:sz w:val="30"/>
                <w:szCs w:val="30"/>
              </w:rPr>
              <w:t xml:space="preserve">Professional Services</w:t>
            </w:r>
          </w:p>
          <w:p>
            <w:pPr>
              <w:spacing w:after="0"/>
            </w:pPr>
            <w:r>
              <w:rPr>
                <w:rFonts w:ascii="Arial" w:cs="Arial" w:eastAsia="Arial" w:hAnsi="Arial"/>
                <w:b w:val="false"/>
                <w:bCs w:val="false"/>
                <w:i/>
                <w:iCs/>
                <w:color w:val="FFFFFF"/>
                <w:sz w:val="18"/>
                <w:szCs w:val="18"/>
              </w:rPr>
              <w:t xml:space="preserve">Project-centric billing, resource management, and revenue recognition are the core estimation differentiators</w:t>
            </w:r>
          </w:p>
        </w:tc>
      </w:tr>
    </w:tbl>
    <w:p>
      <w:pPr>
        <w:spacing w:after="60"/>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424242"/>
          <w:sz w:val="18"/>
          <w:szCs w:val="18"/>
        </w:rPr>
        <w:t xml:space="preserve">Professional Services firms (consulting, legal, accounting, architecture, engineering, IT services) are Oracle Fusion's most natural commercial fit for the ERP suite, but their estimation profile diverges from generic benchmarks in one critical dimension: Oracle Projects. Project Costing, Project Billing, and Resource Management are not optional modules for PS firms — they are the core transactional system of the business. Every engagement must be set up as a project, every resource must be charged to a project, and every invoice must be generated from project actuals. The complexity of Oracle Projects configuration for a large PS firm (thousands of active projects, multi-currency billing, blended rate calculation, revenue recognition under IFRS 15) is consistently underestimated because it is treated as a standard GL/AR configuration rather than the core system it is.</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006064" w:color="auto" w:val="clear"/>
            <w:tcMar>
              <w:top w:type="dxa" w:w="60"/>
              <w:left w:type="dxa" w:w="130"/>
              <w:bottom w:type="dxa" w:w="60"/>
              <w:right w:type="dxa" w:w="80"/>
            </w:tcMar>
          </w:tcPr>
          <w:p>
            <w:pPr>
              <w:spacing w:after="40" w:before="40"/>
            </w:pPr>
            <w:r>
              <w:rPr>
                <w:rFonts w:ascii="Arial" w:cs="Arial" w:eastAsia="Arial" w:hAnsi="Arial"/>
                <w:b/>
                <w:bCs/>
                <w:i w:val="false"/>
                <w:iCs w:val="false"/>
                <w:color w:val="FFFFFF"/>
                <w:sz w:val="17"/>
                <w:szCs w:val="17"/>
              </w:rPr>
              <w:t xml:space="preserve">ESTIMATION SNAPSHOT</w:t>
            </w:r>
          </w:p>
        </w:tc>
      </w:tr>
      <w:tr>
        <w:tc>
          <w:tcPr>
            <w:tcW w:type="dxa" w:w="10080"/>
            <w:shd w:fill="E0F7FA"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Complexity Floor:  </w:t>
            </w:r>
            <w:r>
              <w:rPr>
                <w:rFonts w:ascii="Arial" w:cs="Arial" w:eastAsia="Arial" w:hAnsi="Arial"/>
                <w:b w:val="false"/>
                <w:bCs w:val="false"/>
                <w:i w:val="false"/>
                <w:iCs w:val="false"/>
                <w:color w:val="424242"/>
                <w:sz w:val="16"/>
                <w:szCs w:val="16"/>
              </w:rPr>
              <w:t xml:space="preserve">M–H (H for multi-entity, multi-currency, IFRS 15)</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Module Count:  </w:t>
            </w:r>
            <w:r>
              <w:rPr>
                <w:rFonts w:ascii="Arial" w:cs="Arial" w:eastAsia="Arial" w:hAnsi="Arial"/>
                <w:b w:val="false"/>
                <w:bCs w:val="false"/>
                <w:i w:val="false"/>
                <w:iCs w:val="false"/>
                <w:color w:val="424242"/>
                <w:sz w:val="16"/>
                <w:szCs w:val="16"/>
              </w:rPr>
              <w:t xml:space="preserve">4–6 modules</w:t>
            </w:r>
          </w:p>
        </w:tc>
      </w:tr>
      <w:tr>
        <w:tc>
          <w:tcPr>
            <w:tcW w:type="dxa" w:w="10080"/>
            <w:shd w:fill="E0F7FA"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Integration Count (Simple/Complex):  </w:t>
            </w:r>
            <w:r>
              <w:rPr>
                <w:rFonts w:ascii="Arial" w:cs="Arial" w:eastAsia="Arial" w:hAnsi="Arial"/>
                <w:b w:val="false"/>
                <w:bCs w:val="false"/>
                <w:i w:val="false"/>
                <w:iCs w:val="false"/>
                <w:color w:val="424242"/>
                <w:sz w:val="16"/>
                <w:szCs w:val="16"/>
              </w:rPr>
              <w:t xml:space="preserve">8–15 simple / 4–8 complex</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DM Object Count:  </w:t>
            </w:r>
            <w:r>
              <w:rPr>
                <w:rFonts w:ascii="Arial" w:cs="Arial" w:eastAsia="Arial" w:hAnsi="Arial"/>
                <w:b w:val="false"/>
                <w:bCs w:val="false"/>
                <w:i w:val="false"/>
                <w:iCs w:val="false"/>
                <w:color w:val="424242"/>
                <w:sz w:val="16"/>
                <w:szCs w:val="16"/>
              </w:rPr>
              <w:t xml:space="preserve">10–18 objects</w:t>
            </w:r>
          </w:p>
        </w:tc>
      </w:tr>
      <w:tr>
        <w:tc>
          <w:tcPr>
            <w:tcW w:type="dxa" w:w="10080"/>
            <w:shd w:fill="E0F7FA"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CEMLI / Extensions:  </w:t>
            </w:r>
            <w:r>
              <w:rPr>
                <w:rFonts w:ascii="Arial" w:cs="Arial" w:eastAsia="Arial" w:hAnsi="Arial"/>
                <w:b w:val="false"/>
                <w:bCs w:val="false"/>
                <w:i w:val="false"/>
                <w:iCs w:val="false"/>
                <w:color w:val="424242"/>
                <w:sz w:val="16"/>
                <w:szCs w:val="16"/>
              </w:rPr>
              <w:t xml:space="preserve">10–18 extensions</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Duration:  </w:t>
            </w:r>
            <w:r>
              <w:rPr>
                <w:rFonts w:ascii="Arial" w:cs="Arial" w:eastAsia="Arial" w:hAnsi="Arial"/>
                <w:b w:val="false"/>
                <w:bCs w:val="false"/>
                <w:i w:val="false"/>
                <w:iCs w:val="false"/>
                <w:color w:val="424242"/>
                <w:sz w:val="16"/>
                <w:szCs w:val="16"/>
              </w:rPr>
              <w:t xml:space="preserve">12–20 months</w:t>
            </w:r>
          </w:p>
        </w:tc>
      </w:tr>
      <w:tr>
        <w:tc>
          <w:tcPr>
            <w:tcW w:type="dxa" w:w="10080"/>
            <w:shd w:fill="E0F7FA"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Effort Uplift vs Generic Benchmark:  </w:t>
            </w:r>
            <w:r>
              <w:rPr>
                <w:rFonts w:ascii="Arial" w:cs="Arial" w:eastAsia="Arial" w:hAnsi="Arial"/>
                <w:b w:val="false"/>
                <w:bCs w:val="false"/>
                <w:i w:val="false"/>
                <w:iCs w:val="false"/>
                <w:color w:val="424242"/>
                <w:sz w:val="16"/>
                <w:szCs w:val="16"/>
              </w:rPr>
              <w:t xml:space="preserve">+20–35% vs generic benchmark</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Highest-Risk Phase:  </w:t>
            </w:r>
            <w:r>
              <w:rPr>
                <w:rFonts w:ascii="Arial" w:cs="Arial" w:eastAsia="Arial" w:hAnsi="Arial"/>
                <w:b w:val="false"/>
                <w:bCs w:val="false"/>
                <w:i w:val="false"/>
                <w:iCs w:val="false"/>
                <w:color w:val="424242"/>
                <w:sz w:val="16"/>
                <w:szCs w:val="16"/>
              </w:rPr>
              <w:t xml:space="preserve">Ph3: Build (Oracle Projects) and Ph2: Design (IFRS 15 revenue recognition)</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4840"/>
        <w:gridCol w:w="5240"/>
      </w:tblGrid>
      <w:tr>
        <w:tc>
          <w:tcPr>
            <w:tcW w:type="dxa" w:w="4840"/>
            <w:tcMar>
              <w:top w:type="dxa" w:w="0"/>
              <w:left w:type="dxa" w:w="0"/>
              <w:bottom w:type="dxa" w:w="0"/>
              <w:right w:type="dxa" w:w="80"/>
            </w:tcMar>
          </w:tcPr>
          <w:p>
            <w:pPr>
              <w:spacing w:after="80"/>
            </w:pPr>
            <w:r>
              <w:rPr>
                <w:rFonts w:ascii="Arial" w:cs="Arial" w:eastAsia="Arial" w:hAnsi="Arial"/>
                <w:b/>
                <w:bCs/>
                <w:i w:val="false"/>
                <w:iCs w:val="false"/>
                <w:color w:val="006064"/>
                <w:sz w:val="17"/>
                <w:szCs w:val="17"/>
              </w:rPr>
              <w:t xml:space="preserve">Standard Oracle Modules (always in scope)</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Financials (GL, AP, AR, FA)</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Oracle Projects (Project Costing, Billing, Resource Mgmt)</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HCM – Core HR (with Time &amp; Labour)</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Procurement</w:t>
            </w:r>
          </w:p>
        </w:tc>
        <w:tc>
          <w:tcPr>
            <w:tcW w:type="dxa" w:w="5240"/>
            <w:tcMar>
              <w:top w:type="dxa" w:w="0"/>
              <w:left w:type="dxa" w:w="80"/>
              <w:bottom w:type="dxa" w:w="0"/>
              <w:right w:type="dxa" w:w="0"/>
            </w:tcMar>
          </w:tcPr>
          <w:p>
            <w:pPr>
              <w:spacing w:after="80"/>
            </w:pPr>
            <w:r>
              <w:rPr>
                <w:rFonts w:ascii="Arial" w:cs="Arial" w:eastAsia="Arial" w:hAnsi="Arial"/>
                <w:b/>
                <w:bCs/>
                <w:i w:val="false"/>
                <w:iCs w:val="false"/>
                <w:color w:val="006064"/>
                <w:sz w:val="17"/>
                <w:szCs w:val="17"/>
              </w:rPr>
              <w:t xml:space="preserve">Domain-Specific Scope Additions</w:t>
            </w:r>
          </w:p>
          <w:p>
            <w:pPr>
              <w:spacing w:after="60"/>
              <w:ind w:left="200" w:hanging="160"/>
            </w:pPr>
            <w:r>
              <w:rPr>
                <w:rFonts w:ascii="Arial" w:cs="Arial" w:eastAsia="Arial" w:hAnsi="Arial"/>
                <w:b/>
                <w:bCs/>
                <w:i w:val="false"/>
                <w:iCs w:val="false"/>
                <w:color w:val="006064"/>
                <w:sz w:val="16"/>
                <w:szCs w:val="16"/>
              </w:rPr>
              <w:t xml:space="preserve">★  </w:t>
            </w:r>
            <w:r>
              <w:rPr>
                <w:rFonts w:ascii="Arial" w:cs="Arial" w:eastAsia="Arial" w:hAnsi="Arial"/>
                <w:b w:val="false"/>
                <w:bCs w:val="false"/>
                <w:i w:val="false"/>
                <w:iCs w:val="false"/>
                <w:color w:val="424242"/>
                <w:sz w:val="16"/>
                <w:szCs w:val="16"/>
              </w:rPr>
              <w:t xml:space="preserve">Project Billing Rate Cards and Blended Rate Calculation</w:t>
            </w:r>
          </w:p>
          <w:p>
            <w:pPr>
              <w:spacing w:after="60"/>
              <w:ind w:left="200" w:hanging="160"/>
            </w:pPr>
            <w:r>
              <w:rPr>
                <w:rFonts w:ascii="Arial" w:cs="Arial" w:eastAsia="Arial" w:hAnsi="Arial"/>
                <w:b/>
                <w:bCs/>
                <w:i w:val="false"/>
                <w:iCs w:val="false"/>
                <w:color w:val="006064"/>
                <w:sz w:val="16"/>
                <w:szCs w:val="16"/>
              </w:rPr>
              <w:t xml:space="preserve">★  </w:t>
            </w:r>
            <w:r>
              <w:rPr>
                <w:rFonts w:ascii="Arial" w:cs="Arial" w:eastAsia="Arial" w:hAnsi="Arial"/>
                <w:b w:val="false"/>
                <w:bCs w:val="false"/>
                <w:i w:val="false"/>
                <w:iCs w:val="false"/>
                <w:color w:val="424242"/>
                <w:sz w:val="16"/>
                <w:szCs w:val="16"/>
              </w:rPr>
              <w:t xml:space="preserve">IFRS 15 / ASC 606 Revenue Recognition per Project</w:t>
            </w:r>
          </w:p>
          <w:p>
            <w:pPr>
              <w:spacing w:after="60"/>
              <w:ind w:left="200" w:hanging="160"/>
            </w:pPr>
            <w:r>
              <w:rPr>
                <w:rFonts w:ascii="Arial" w:cs="Arial" w:eastAsia="Arial" w:hAnsi="Arial"/>
                <w:b/>
                <w:bCs/>
                <w:i w:val="false"/>
                <w:iCs w:val="false"/>
                <w:color w:val="006064"/>
                <w:sz w:val="16"/>
                <w:szCs w:val="16"/>
              </w:rPr>
              <w:t xml:space="preserve">★  </w:t>
            </w:r>
            <w:r>
              <w:rPr>
                <w:rFonts w:ascii="Arial" w:cs="Arial" w:eastAsia="Arial" w:hAnsi="Arial"/>
                <w:b w:val="false"/>
                <w:bCs w:val="false"/>
                <w:i w:val="false"/>
                <w:iCs w:val="false"/>
                <w:color w:val="424242"/>
                <w:sz w:val="16"/>
                <w:szCs w:val="16"/>
              </w:rPr>
              <w:t xml:space="preserve">Resource Management and Skills Matching</w:t>
            </w:r>
          </w:p>
          <w:p>
            <w:pPr>
              <w:spacing w:after="60"/>
              <w:ind w:left="200" w:hanging="160"/>
            </w:pPr>
            <w:r>
              <w:rPr>
                <w:rFonts w:ascii="Arial" w:cs="Arial" w:eastAsia="Arial" w:hAnsi="Arial"/>
                <w:b/>
                <w:bCs/>
                <w:i w:val="false"/>
                <w:iCs w:val="false"/>
                <w:color w:val="006064"/>
                <w:sz w:val="16"/>
                <w:szCs w:val="16"/>
              </w:rPr>
              <w:t xml:space="preserve">★  </w:t>
            </w:r>
            <w:r>
              <w:rPr>
                <w:rFonts w:ascii="Arial" w:cs="Arial" w:eastAsia="Arial" w:hAnsi="Arial"/>
                <w:b w:val="false"/>
                <w:bCs w:val="false"/>
                <w:i w:val="false"/>
                <w:iCs w:val="false"/>
                <w:color w:val="424242"/>
                <w:sz w:val="16"/>
                <w:szCs w:val="16"/>
              </w:rPr>
              <w:t xml:space="preserve">Contingent Workforce / Contractor Management</w:t>
            </w:r>
          </w:p>
          <w:p>
            <w:pPr>
              <w:spacing w:after="60"/>
              <w:ind w:left="200" w:hanging="160"/>
            </w:pPr>
            <w:r>
              <w:rPr>
                <w:rFonts w:ascii="Arial" w:cs="Arial" w:eastAsia="Arial" w:hAnsi="Arial"/>
                <w:b/>
                <w:bCs/>
                <w:i w:val="false"/>
                <w:iCs w:val="false"/>
                <w:color w:val="006064"/>
                <w:sz w:val="16"/>
                <w:szCs w:val="16"/>
              </w:rPr>
              <w:t xml:space="preserve">★  </w:t>
            </w:r>
            <w:r>
              <w:rPr>
                <w:rFonts w:ascii="Arial" w:cs="Arial" w:eastAsia="Arial" w:hAnsi="Arial"/>
                <w:b w:val="false"/>
                <w:bCs w:val="false"/>
                <w:i w:val="false"/>
                <w:iCs w:val="false"/>
                <w:color w:val="424242"/>
                <w:sz w:val="16"/>
                <w:szCs w:val="16"/>
              </w:rPr>
              <w:t xml:space="preserve">CRM Integration for Opportunity-to-Project Lifecycle</w:t>
            </w:r>
          </w:p>
          <w:p>
            <w:pPr>
              <w:spacing w:after="60"/>
              <w:ind w:left="200" w:hanging="160"/>
            </w:pPr>
            <w:r>
              <w:rPr>
                <w:rFonts w:ascii="Arial" w:cs="Arial" w:eastAsia="Arial" w:hAnsi="Arial"/>
                <w:b/>
                <w:bCs/>
                <w:i w:val="false"/>
                <w:iCs w:val="false"/>
                <w:color w:val="006064"/>
                <w:sz w:val="16"/>
                <w:szCs w:val="16"/>
              </w:rPr>
              <w:t xml:space="preserve">★  </w:t>
            </w:r>
            <w:r>
              <w:rPr>
                <w:rFonts w:ascii="Arial" w:cs="Arial" w:eastAsia="Arial" w:hAnsi="Arial"/>
                <w:b w:val="false"/>
                <w:bCs w:val="false"/>
                <w:i w:val="false"/>
                <w:iCs w:val="false"/>
                <w:color w:val="424242"/>
                <w:sz w:val="16"/>
                <w:szCs w:val="16"/>
              </w:rPr>
              <w:t xml:space="preserve">Time and Expense Mobile Application</w:t>
            </w:r>
          </w:p>
          <w:p>
            <w:pPr>
              <w:spacing w:after="60"/>
              <w:ind w:left="200" w:hanging="160"/>
            </w:pPr>
            <w:r>
              <w:rPr>
                <w:rFonts w:ascii="Arial" w:cs="Arial" w:eastAsia="Arial" w:hAnsi="Arial"/>
                <w:b/>
                <w:bCs/>
                <w:i w:val="false"/>
                <w:iCs w:val="false"/>
                <w:color w:val="006064"/>
                <w:sz w:val="16"/>
                <w:szCs w:val="16"/>
              </w:rPr>
              <w:t xml:space="preserve">★  </w:t>
            </w:r>
            <w:r>
              <w:rPr>
                <w:rFonts w:ascii="Arial" w:cs="Arial" w:eastAsia="Arial" w:hAnsi="Arial"/>
                <w:b w:val="false"/>
                <w:bCs w:val="false"/>
                <w:i w:val="false"/>
                <w:iCs w:val="false"/>
                <w:color w:val="424242"/>
                <w:sz w:val="16"/>
                <w:szCs w:val="16"/>
              </w:rPr>
              <w:t xml:space="preserve">Inter-Company Project Billing (multi-entity PS firms)</w:t>
            </w:r>
          </w:p>
          <w:p>
            <w:pPr>
              <w:spacing w:after="60"/>
              <w:ind w:left="200" w:hanging="160"/>
            </w:pPr>
            <w:r>
              <w:rPr>
                <w:rFonts w:ascii="Arial" w:cs="Arial" w:eastAsia="Arial" w:hAnsi="Arial"/>
                <w:b/>
                <w:bCs/>
                <w:i w:val="false"/>
                <w:iCs w:val="false"/>
                <w:color w:val="006064"/>
                <w:sz w:val="16"/>
                <w:szCs w:val="16"/>
              </w:rPr>
              <w:t xml:space="preserve">★  </w:t>
            </w:r>
            <w:r>
              <w:rPr>
                <w:rFonts w:ascii="Arial" w:cs="Arial" w:eastAsia="Arial" w:hAnsi="Arial"/>
                <w:b w:val="false"/>
                <w:bCs w:val="false"/>
                <w:i w:val="false"/>
                <w:iCs w:val="false"/>
                <w:color w:val="424242"/>
                <w:sz w:val="16"/>
                <w:szCs w:val="16"/>
              </w:rPr>
              <w:t xml:space="preserve">Partner Compensation Calculation</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Key Estimation Drivers &amp; Unit Effort Uplift Factors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5000"/>
      </w:tblGrid>
      <w:tr>
        <w:trPr>
          <w:tblHeader/>
        </w:trPr>
        <w:tc>
          <w:tcPr>
            <w:tcW w:type="dxa" w:w="3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Driver</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Impact</w:t>
            </w:r>
          </w:p>
        </w:tc>
        <w:tc>
          <w:tcPr>
            <w:tcW w:type="dxa" w:w="1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Uplift vs Benchmark</w:t>
            </w:r>
          </w:p>
        </w:tc>
        <w:tc>
          <w:tcPr>
            <w:tcW w:type="dxa" w:w="5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Estimator Action</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Oracle Projects configuration complexity</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+50–70% vs standard Projects setup</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For PS firms, Oracle Projects is the ERP backbone. Budget 80–120 days for a comprehensive Projects implementation — not the standard 20–30 days applicable to other sectors.</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IFRS 15 / ASC 606 revenue recognition per contract</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+30–45% on AR/Projects</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Multi-element arrangements, variable consideration, and stage-of-completion recognition require custom revenue recognition rule sets per contract type. Add 30–50 days for revenue recognition configuration.</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Resource management and skills-based assignment</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+30–40% on HCM/Projects</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PS firms require Oracle Resource Management (formerly Project Resource Management) with skills profiles, utilisation tracking, and demand-supply matching. This is a separate configuration workstream of 20–35 days.</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Time and labour integration with project billing</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+25–35%</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Time entry, approval, and transfer to project cost cards is the most frequently used transaction in a PS business. Performance, mobile UX, and approval workflow configuration are disproportionately important. Add 20–30 days.</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Inter-company project billing (multi-entity PS)</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+30–45% on GL/Projects</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Large PS firms with multiple legal entities and shared delivery teams require complex intercompany billing configuration at the project level — not standard GL intercompany. Add 25–40 days.</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Partner and equity compensation calculation</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+25–35% on HCM/Payroll</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Partnership structures with equity compensation, profit distributions, and deferred remuneration require custom payroll and equity administration configuration. Add 20–30 days.</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Domain Integration Landscape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1200"/>
        <w:gridCol w:w="44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System / Interface</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Type</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Complexity</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Typical Count</w:t>
            </w:r>
          </w:p>
        </w:tc>
        <w:tc>
          <w:tcPr>
            <w:tcW w:type="dxa" w:w="4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Estimation Note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CRM (Salesforce, Microsoft Dynamics)</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Opportunity-to-Project creation lifecycle. Contact and account data. Typically 15–25 days per CRM interface.</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Expense Management (Concur, Expensify)</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If not using Oracle Expenses — T&amp;E data feeds into project cost cards. 10–15 days.</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Document Management (SharePoint, iManage for Legal)</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Engagement document management integration — 10–15 days per platform.</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HR / Learning (if retaining separate platform)</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Skills and certification data for resource matching — 10–15 days.</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Payroll (if multi-country retained)</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2–6</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Multi-country PS firms often retain local payroll providers. Standard FBDI pattern but volume adds up.</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Business Intelligence / Partner Portal</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Utilisation, revenue, and margin reporting for leadership. Often a custom OAC dashboard requirement.</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SDLC Phase Distribution — Domain Adjustments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400"/>
        <w:gridCol w:w="40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Phase</w:t>
            </w:r>
          </w:p>
        </w:tc>
        <w:tc>
          <w:tcPr>
            <w:tcW w:type="dxa" w:w="15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Standard %</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Domain Adj. %</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Variance</w:t>
            </w:r>
          </w:p>
        </w:tc>
        <w:tc>
          <w:tcPr>
            <w:tcW w:type="dxa" w:w="4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Reason</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Ph1: Discover &amp; Assess</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12%</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0pp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PS discovery is typically well-organised — clients understand their own processes clearly</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Ph2: Design/Blueprint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20%</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Revenue recognition policy decisions and rate card design require Finance Partner and Leadership Council sign-off</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Ph3: Build/Configure</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32%</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+4pp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Oracle Projects configuration is the most volume-intensive build workstream in PS — project templates, billing rules, revenue recognition</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Ph4: Integration &amp; SIT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12%</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0pp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 — CRM integration is complex but manageable with experienced OIC resources</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Ph5: UAT</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9%</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PS UAT requires project managers and billing teams — their availability is constrained by client delivery demands</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Ph6: Data Migration</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7%</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PS data (projects, timesheets, WIP) is generally well-structured — below-average migration complexity</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Ph7: Training &amp; OCM</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5%</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0pp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PS employees are high ERP familiarity — training complexity is below average</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Ph9: Hypercare</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First billing cycle on new system requires Finance and Project Management team support</w:t>
            </w:r>
          </w:p>
        </w:tc>
      </w:tr>
    </w:tbl>
    <w:p>
      <w:pPr>
        <w:spacing w:after="100" w:before="60"/>
        <w:jc w:val="left"/>
      </w:pPr>
      <w:r>
        <w:rPr>
          <w:rFonts w:ascii="Arial" w:cs="Arial" w:eastAsia="Arial" w:hAnsi="Arial"/>
          <w:b w:val="false"/>
          <w:bCs w:val="false"/>
          <w:i/>
          <w:iCs/>
          <w:color w:val="757575"/>
          <w:sz w:val="17"/>
          <w:szCs w:val="17"/>
        </w:rPr>
        <w:t xml:space="preserve">PS programmes have a distinctive Build-heavy profile because Oracle Projects configuration is the dominant workstream. Discovery and training are comparatively straightforward (PS clients know their processes well and have high system literacy). The critical risk is in revenue recognition design — IFRS 15 is complex and decisions made in Design are very expensive to change post-build.</w:t>
      </w:r>
    </w:p>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Top 5 Under-Priced Risks in Professional Services Estimates</w:t>
      </w:r>
    </w:p>
    <w:p>
      <w:pPr>
        <w:spacing w:after="40" w:before="80"/>
        <w:ind w:left="120"/>
      </w:pPr>
      <w:r>
        <w:rPr>
          <w:rFonts w:ascii="Arial" w:cs="Arial" w:eastAsia="Arial" w:hAnsi="Arial"/>
          <w:b/>
          <w:bCs/>
          <w:i w:val="false"/>
          <w:iCs w:val="false"/>
          <w:color w:val="006064"/>
          <w:sz w:val="18"/>
          <w:szCs w:val="18"/>
        </w:rPr>
        <w:t xml:space="preserve">1.  Oracle Projects treated as a supporting module rather than the core system</w:t>
      </w:r>
    </w:p>
    <w:p>
      <w:pPr>
        <w:spacing w:after="80"/>
        <w:ind w:left="300"/>
      </w:pPr>
      <w:r>
        <w:rPr>
          <w:rFonts w:ascii="Arial" w:cs="Arial" w:eastAsia="Arial" w:hAnsi="Arial"/>
          <w:b w:val="false"/>
          <w:bCs w:val="false"/>
          <w:i w:val="false"/>
          <w:iCs w:val="false"/>
          <w:color w:val="424242"/>
          <w:sz w:val="17"/>
          <w:szCs w:val="17"/>
        </w:rPr>
        <w:t xml:space="preserve">PS estimators who treat Oracle Projects as a secondary module to Financials dramatically underestimate the configuration. For a PS firm, Projects IS the ERP — timesheet entry, project billing, and revenue recognition are the highest-volume daily transactions. Budget 80–120 days for a comprehensive PS Projects implementation.</w:t>
      </w:r>
    </w:p>
    <w:p>
      <w:pPr>
        <w:spacing w:after="40" w:before="80"/>
        <w:ind w:left="120"/>
      </w:pPr>
      <w:r>
        <w:rPr>
          <w:rFonts w:ascii="Arial" w:cs="Arial" w:eastAsia="Arial" w:hAnsi="Arial"/>
          <w:b/>
          <w:bCs/>
          <w:i w:val="false"/>
          <w:iCs w:val="false"/>
          <w:color w:val="006064"/>
          <w:sz w:val="18"/>
          <w:szCs w:val="18"/>
        </w:rPr>
        <w:t xml:space="preserve">2.  IFRS 15 revenue recognition decisions deferred past design</w:t>
      </w:r>
    </w:p>
    <w:p>
      <w:pPr>
        <w:spacing w:after="80"/>
        <w:ind w:left="300"/>
      </w:pPr>
      <w:r>
        <w:rPr>
          <w:rFonts w:ascii="Arial" w:cs="Arial" w:eastAsia="Arial" w:hAnsi="Arial"/>
          <w:b w:val="false"/>
          <w:bCs w:val="false"/>
          <w:i w:val="false"/>
          <w:iCs w:val="false"/>
          <w:color w:val="424242"/>
          <w:sz w:val="17"/>
          <w:szCs w:val="17"/>
        </w:rPr>
        <w:t xml:space="preserve">Revenue recognition rules in Oracle are configured per contract type in Design. Changing them post-build requires re-configuration of billing rules, re-posting of historical transactions, and often restated financial periods. Ensure the CFO and external auditors sign off on the revenue recognition policy before Design closes.</w:t>
      </w:r>
    </w:p>
    <w:p>
      <w:pPr>
        <w:spacing w:after="40" w:before="80"/>
        <w:ind w:left="120"/>
      </w:pPr>
      <w:r>
        <w:rPr>
          <w:rFonts w:ascii="Arial" w:cs="Arial" w:eastAsia="Arial" w:hAnsi="Arial"/>
          <w:b/>
          <w:bCs/>
          <w:i w:val="false"/>
          <w:iCs w:val="false"/>
          <w:color w:val="006064"/>
          <w:sz w:val="18"/>
          <w:szCs w:val="18"/>
        </w:rPr>
        <w:t xml:space="preserve">3.  Partner compensation not in scope</w:t>
      </w:r>
    </w:p>
    <w:p>
      <w:pPr>
        <w:spacing w:after="80"/>
        <w:ind w:left="300"/>
      </w:pPr>
      <w:r>
        <w:rPr>
          <w:rFonts w:ascii="Arial" w:cs="Arial" w:eastAsia="Arial" w:hAnsi="Arial"/>
          <w:b w:val="false"/>
          <w:bCs w:val="false"/>
          <w:i w:val="false"/>
          <w:iCs w:val="false"/>
          <w:color w:val="424242"/>
          <w:sz w:val="17"/>
          <w:szCs w:val="17"/>
        </w:rPr>
        <w:t xml:space="preserve">Equity partners in law firms, accounting firms, and consulting partnerships have compensation structures (profit distributions, capital account management, deferred remuneration) that are not standard Oracle Payroll. This is consistently excluded from the initial scope and added in Design — add 20–30 days when the partnership structure is confirmed.</w:t>
      </w:r>
    </w:p>
    <w:p>
      <w:pPr>
        <w:spacing w:after="40" w:before="80"/>
        <w:ind w:left="120"/>
      </w:pPr>
      <w:r>
        <w:rPr>
          <w:rFonts w:ascii="Arial" w:cs="Arial" w:eastAsia="Arial" w:hAnsi="Arial"/>
          <w:b/>
          <w:bCs/>
          <w:i w:val="false"/>
          <w:iCs w:val="false"/>
          <w:color w:val="006064"/>
          <w:sz w:val="18"/>
          <w:szCs w:val="18"/>
        </w:rPr>
        <w:t xml:space="preserve">4.  Resource management tools not included</w:t>
      </w:r>
    </w:p>
    <w:p>
      <w:pPr>
        <w:spacing w:after="80"/>
        <w:ind w:left="300"/>
      </w:pPr>
      <w:r>
        <w:rPr>
          <w:rFonts w:ascii="Arial" w:cs="Arial" w:eastAsia="Arial" w:hAnsi="Arial"/>
          <w:b w:val="false"/>
          <w:bCs w:val="false"/>
          <w:i w:val="false"/>
          <w:iCs w:val="false"/>
          <w:color w:val="424242"/>
          <w:sz w:val="17"/>
          <w:szCs w:val="17"/>
        </w:rPr>
        <w:t xml:space="preserve">PS firms that do not include Oracle Resource Management (skills-based staffing, utilisation tracking, demand-supply) miss the primary workforce planning value of the Fusion HCM suite. This is typically requested by the COO after the initial HCM scope is defined.</w:t>
      </w:r>
    </w:p>
    <w:p>
      <w:pPr>
        <w:spacing w:after="40" w:before="80"/>
        <w:ind w:left="120"/>
      </w:pPr>
      <w:r>
        <w:rPr>
          <w:rFonts w:ascii="Arial" w:cs="Arial" w:eastAsia="Arial" w:hAnsi="Arial"/>
          <w:b/>
          <w:bCs/>
          <w:i w:val="false"/>
          <w:iCs w:val="false"/>
          <w:color w:val="006064"/>
          <w:sz w:val="18"/>
          <w:szCs w:val="18"/>
        </w:rPr>
        <w:t xml:space="preserve">5.  Time entry performance and mobile experience underinvested</w:t>
      </w:r>
    </w:p>
    <w:p>
      <w:pPr>
        <w:spacing w:after="80"/>
        <w:ind w:left="300"/>
      </w:pPr>
      <w:r>
        <w:rPr>
          <w:rFonts w:ascii="Arial" w:cs="Arial" w:eastAsia="Arial" w:hAnsi="Arial"/>
          <w:b w:val="false"/>
          <w:bCs w:val="false"/>
          <w:i w:val="false"/>
          <w:iCs w:val="false"/>
          <w:color w:val="424242"/>
          <w:sz w:val="17"/>
          <w:szCs w:val="17"/>
        </w:rPr>
        <w:t xml:space="preserve">A PS firm's entire billing pipeline depends on timely, accurate timesheet entry. Oracle's out-of-the-box time entry UI is not optimised for daily mobile time entry at scale. The UX configuration, approval workflow, and integration to billing are consistently underinvested — allocate 15–20 days for time entry optimisation.</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006064" w:color="auto" w:val="clear"/>
            <w:tcMar>
              <w:top w:type="dxa" w:w="70"/>
              <w:left w:type="dxa" w:w="130"/>
              <w:bottom w:type="dxa" w:w="70"/>
              <w:right w:type="dxa" w:w="120"/>
            </w:tcMar>
          </w:tcPr>
          <w:p>
            <w:pPr>
              <w:spacing w:after="60" w:before="60"/>
              <w:ind w:left="80"/>
            </w:pPr>
            <w:r>
              <w:rPr>
                <w:rFonts w:ascii="Arial" w:cs="Arial" w:eastAsia="Arial" w:hAnsi="Arial"/>
                <w:b/>
                <w:bCs/>
                <w:i w:val="false"/>
                <w:iCs w:val="false"/>
                <w:color w:val="FFFFFF"/>
                <w:sz w:val="19"/>
                <w:szCs w:val="19"/>
              </w:rPr>
              <w:t xml:space="preserve">Estimator Guidance — Professional Services</w:t>
            </w:r>
          </w:p>
        </w:tc>
      </w:tr>
      <w:tr>
        <w:tc>
          <w:tcPr>
            <w:tcW w:type="dxa" w:w="10080"/>
            <w:shd w:fill="E0F7FA" w:color="auto" w:val="clear"/>
            <w:tcMar>
              <w:top w:type="dxa" w:w="90"/>
              <w:left w:type="dxa" w:w="140"/>
              <w:bottom w:type="dxa" w:w="90"/>
              <w:right w:type="dxa" w:w="120"/>
            </w:tcMar>
          </w:tcPr>
          <w:p>
            <w:pPr>
              <w:spacing w:after="70"/>
              <w:ind w:left="80"/>
            </w:pPr>
            <w:r>
              <w:rPr>
                <w:rFonts w:ascii="Arial" w:cs="Arial" w:eastAsia="Arial" w:hAnsi="Arial"/>
                <w:b w:val="false"/>
                <w:bCs w:val="false"/>
                <w:i w:val="false"/>
                <w:iCs w:val="false"/>
                <w:color w:val="424242"/>
                <w:sz w:val="17"/>
                <w:szCs w:val="17"/>
              </w:rPr>
              <w:t xml:space="preserve">Treat Oracle Projects as a first-class implementation stream with its own technical lead — not absorbed into a standard functional consultant's scope alongside GL and AP.</w:t>
            </w:r>
          </w:p>
          <w:p>
            <w:pPr>
              <w:spacing w:after="70"/>
              <w:ind w:left="80"/>
            </w:pPr>
            <w:r>
              <w:rPr>
                <w:rFonts w:ascii="Arial" w:cs="Arial" w:eastAsia="Arial" w:hAnsi="Arial"/>
                <w:b w:val="false"/>
                <w:bCs w:val="false"/>
                <w:i w:val="false"/>
                <w:iCs w:val="false"/>
                <w:color w:val="424242"/>
                <w:sz w:val="17"/>
                <w:szCs w:val="17"/>
              </w:rPr>
              <w:t xml:space="preserve">Secure IFRS 15 / ASC 606 revenue recognition policy decisions from the CFO and external auditors before Design closes. The revenue recognition configuration is the single highest-risk design decision in a PS implementation.</w:t>
            </w:r>
          </w:p>
          <w:p>
            <w:pPr>
              <w:spacing w:after="70"/>
              <w:ind w:left="80"/>
            </w:pPr>
            <w:r>
              <w:rPr>
                <w:rFonts w:ascii="Arial" w:cs="Arial" w:eastAsia="Arial" w:hAnsi="Arial"/>
                <w:b w:val="false"/>
                <w:bCs w:val="false"/>
                <w:i w:val="false"/>
                <w:iCs w:val="false"/>
                <w:color w:val="424242"/>
                <w:sz w:val="17"/>
                <w:szCs w:val="17"/>
              </w:rPr>
              <w:t xml:space="preserve">Always include Oracle Resource Management (utilisation and skills tracking) in scope conversations — it is almost always wanted but rarely in the initial scope conversation.</w:t>
            </w:r>
          </w:p>
          <w:p>
            <w:pPr>
              <w:spacing w:after="70"/>
              <w:ind w:left="80"/>
            </w:pPr>
            <w:r>
              <w:rPr>
                <w:rFonts w:ascii="Arial" w:cs="Arial" w:eastAsia="Arial" w:hAnsi="Arial"/>
                <w:b w:val="false"/>
                <w:bCs w:val="false"/>
                <w:i w:val="false"/>
                <w:iCs w:val="false"/>
                <w:color w:val="424242"/>
                <w:sz w:val="17"/>
                <w:szCs w:val="17"/>
              </w:rPr>
              <w:t xml:space="preserve">For multi-entity PS firms (multiple practices, multiple countries), budget intercompany project billing as a separate sub-workstream of 25–40 days. This is routinely missed in the GL intercompany estimate.</w:t>
            </w:r>
          </w:p>
          <w:p>
            <w:pPr>
              <w:spacing w:after="70"/>
              <w:ind w:left="80"/>
            </w:pPr>
            <w:r>
              <w:rPr>
                <w:rFonts w:ascii="Arial" w:cs="Arial" w:eastAsia="Arial" w:hAnsi="Arial"/>
                <w:b w:val="false"/>
                <w:bCs w:val="false"/>
                <w:i w:val="false"/>
                <w:iCs w:val="false"/>
                <w:color w:val="424242"/>
                <w:sz w:val="17"/>
                <w:szCs w:val="17"/>
              </w:rPr>
              <w:t xml:space="preserve">Apply H complexity for any PS firm with IFRS 15 multi-element arrangements, multi-currency projects, or inter-entity billing. M complexity is only appropriate for single-entity, single-currency, time-and-materials billing with no fixed-price contracts.</w:t>
            </w:r>
          </w:p>
        </w:tc>
      </w:tr>
    </w:tbl>
    <w:p>
      <w:pPr>
        <w:spacing w:after="60"/>
      </w:pPr>
      <w:r>
        <w:rPr>
          <w:rFonts w:ascii="Arial" w:cs="Arial" w:eastAsia="Arial" w:hAnsi="Arial"/>
          <w:b w:val="false"/>
          <w:bCs w:val="false"/>
          <w:i w:val="false"/>
          <w:iCs w:val="false"/>
          <w:color w:val="000000"/>
          <w:sz w:val="18"/>
          <w:szCs w:val="18"/>
        </w:rPr>
        <w:t xml:space="preserve"/>
      </w:r>
    </w:p>
    <w:p>
      <w:r>
        <w:br w:type="pag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7B5E00" w:color="auto" w:val="clear"/>
            <w:tcMar>
              <w:top w:type="dxa" w:w="120"/>
              <w:left w:type="dxa" w:w="180"/>
              <w:bottom w:type="dxa" w:w="120"/>
              <w:right w:type="dxa" w:w="120"/>
            </w:tcMar>
          </w:tcPr>
          <w:p>
            <w:pPr>
              <w:spacing w:after="60"/>
            </w:pPr>
            <w:r>
              <w:rPr>
                <w:rFonts w:ascii="Arial" w:cs="Arial" w:eastAsia="Arial" w:hAnsi="Arial"/>
                <w:b/>
                <w:bCs/>
                <w:i w:val="false"/>
                <w:iCs w:val="false"/>
                <w:color w:val="8B0000"/>
                <w:sz w:val="30"/>
                <w:szCs w:val="30"/>
              </w:rPr>
              <w:t xml:space="preserve">Logistics &amp; Supply Chain Management</w:t>
            </w:r>
          </w:p>
          <w:p>
            <w:pPr>
              <w:spacing w:after="0"/>
            </w:pPr>
            <w:r>
              <w:rPr>
                <w:rFonts w:ascii="Arial" w:cs="Arial" w:eastAsia="Arial" w:hAnsi="Arial"/>
                <w:b w:val="false"/>
                <w:bCs w:val="false"/>
                <w:i/>
                <w:iCs/>
                <w:color w:val="8B0000"/>
                <w:sz w:val="18"/>
                <w:szCs w:val="18"/>
              </w:rPr>
              <w:t xml:space="preserve">3PL integration complexity, multi-modal transport management, and customer SLA-driven system requirements define the Logistics estimation profile</w:t>
            </w:r>
          </w:p>
        </w:tc>
      </w:tr>
    </w:tbl>
    <w:p>
      <w:pPr>
        <w:spacing w:after="60"/>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424242"/>
          <w:sz w:val="18"/>
          <w:szCs w:val="18"/>
        </w:rPr>
        <w:t xml:space="preserve">Logistics and SCM-focused Oracle Fusion implementations are defined by the integration landscape — not the module configuration. The Oracle Fusion modules deployed (SCM, Inventory, OMS, WMS, Financials) are well-matched to the sector, but every logistics operator has a deeply integrated technology ecosystem: Transport Management Systems (TMS), Warehouse Management Systems (WMS), 3PL partner systems, customs compliance platforms, and customer EDI networks. The complexity and count of integrations in a logistics programme is structurally 1.5–2× higher than a typical manufacturing or retail programme. The data migration challenge centres on item master and customer/supplier master data that has accumulated across multiple legacy systems — often with significant duplication and inconsistency.</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7B5E00" w:color="auto" w:val="clear"/>
            <w:tcMar>
              <w:top w:type="dxa" w:w="60"/>
              <w:left w:type="dxa" w:w="130"/>
              <w:bottom w:type="dxa" w:w="60"/>
              <w:right w:type="dxa" w:w="80"/>
            </w:tcMar>
          </w:tcPr>
          <w:p>
            <w:pPr>
              <w:spacing w:after="40" w:before="40"/>
            </w:pPr>
            <w:r>
              <w:rPr>
                <w:rFonts w:ascii="Arial" w:cs="Arial" w:eastAsia="Arial" w:hAnsi="Arial"/>
                <w:b/>
                <w:bCs/>
                <w:i w:val="false"/>
                <w:iCs w:val="false"/>
                <w:color w:val="8B0000"/>
                <w:sz w:val="17"/>
                <w:szCs w:val="17"/>
              </w:rPr>
              <w:t xml:space="preserve">ESTIMATION SNAPSHOT</w:t>
            </w:r>
          </w:p>
        </w:tc>
      </w:tr>
      <w:tr>
        <w:tc>
          <w:tcPr>
            <w:tcW w:type="dxa" w:w="10080"/>
            <w:shd w:fill="FFFDE7"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Complexity Floor:  </w:t>
            </w:r>
            <w:r>
              <w:rPr>
                <w:rFonts w:ascii="Arial" w:cs="Arial" w:eastAsia="Arial" w:hAnsi="Arial"/>
                <w:b w:val="false"/>
                <w:bCs w:val="false"/>
                <w:i w:val="false"/>
                <w:iCs w:val="false"/>
                <w:color w:val="424242"/>
                <w:sz w:val="16"/>
                <w:szCs w:val="16"/>
              </w:rPr>
              <w:t xml:space="preserve">H (VH for multi-modal, global with customs complexity)</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Module Count:  </w:t>
            </w:r>
            <w:r>
              <w:rPr>
                <w:rFonts w:ascii="Arial" w:cs="Arial" w:eastAsia="Arial" w:hAnsi="Arial"/>
                <w:b w:val="false"/>
                <w:bCs w:val="false"/>
                <w:i w:val="false"/>
                <w:iCs w:val="false"/>
                <w:color w:val="424242"/>
                <w:sz w:val="16"/>
                <w:szCs w:val="16"/>
              </w:rPr>
              <w:t xml:space="preserve">4–6 modules</w:t>
            </w:r>
          </w:p>
        </w:tc>
      </w:tr>
      <w:tr>
        <w:tc>
          <w:tcPr>
            <w:tcW w:type="dxa" w:w="10080"/>
            <w:shd w:fill="FFFDE7"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Integration Count (Simple/Complex):  </w:t>
            </w:r>
            <w:r>
              <w:rPr>
                <w:rFonts w:ascii="Arial" w:cs="Arial" w:eastAsia="Arial" w:hAnsi="Arial"/>
                <w:b w:val="false"/>
                <w:bCs w:val="false"/>
                <w:i w:val="false"/>
                <w:iCs w:val="false"/>
                <w:color w:val="424242"/>
                <w:sz w:val="16"/>
                <w:szCs w:val="16"/>
              </w:rPr>
              <w:t xml:space="preserve">20–50 simple / 10–20 complex</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DM Object Count:  </w:t>
            </w:r>
            <w:r>
              <w:rPr>
                <w:rFonts w:ascii="Arial" w:cs="Arial" w:eastAsia="Arial" w:hAnsi="Arial"/>
                <w:b w:val="false"/>
                <w:bCs w:val="false"/>
                <w:i w:val="false"/>
                <w:iCs w:val="false"/>
                <w:color w:val="424242"/>
                <w:sz w:val="16"/>
                <w:szCs w:val="16"/>
              </w:rPr>
              <w:t xml:space="preserve">12–22 objects</w:t>
            </w:r>
          </w:p>
        </w:tc>
      </w:tr>
      <w:tr>
        <w:tc>
          <w:tcPr>
            <w:tcW w:type="dxa" w:w="10080"/>
            <w:shd w:fill="FFFDE7"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CEMLI / Extensions:  </w:t>
            </w:r>
            <w:r>
              <w:rPr>
                <w:rFonts w:ascii="Arial" w:cs="Arial" w:eastAsia="Arial" w:hAnsi="Arial"/>
                <w:b w:val="false"/>
                <w:bCs w:val="false"/>
                <w:i w:val="false"/>
                <w:iCs w:val="false"/>
                <w:color w:val="424242"/>
                <w:sz w:val="16"/>
                <w:szCs w:val="16"/>
              </w:rPr>
              <w:t xml:space="preserve">12–22 extensions</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Typical Duration:  </w:t>
            </w:r>
            <w:r>
              <w:rPr>
                <w:rFonts w:ascii="Arial" w:cs="Arial" w:eastAsia="Arial" w:hAnsi="Arial"/>
                <w:b w:val="false"/>
                <w:bCs w:val="false"/>
                <w:i w:val="false"/>
                <w:iCs w:val="false"/>
                <w:color w:val="424242"/>
                <w:sz w:val="16"/>
                <w:szCs w:val="16"/>
              </w:rPr>
              <w:t xml:space="preserve">14–22 months</w:t>
            </w:r>
          </w:p>
        </w:tc>
      </w:tr>
      <w:tr>
        <w:tc>
          <w:tcPr>
            <w:tcW w:type="dxa" w:w="10080"/>
            <w:shd w:fill="FFFDE7"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Effort Uplift vs Generic Benchmark:  </w:t>
            </w:r>
            <w:r>
              <w:rPr>
                <w:rFonts w:ascii="Arial" w:cs="Arial" w:eastAsia="Arial" w:hAnsi="Arial"/>
                <w:b w:val="false"/>
                <w:bCs w:val="false"/>
                <w:i w:val="false"/>
                <w:iCs w:val="false"/>
                <w:color w:val="424242"/>
                <w:sz w:val="16"/>
                <w:szCs w:val="16"/>
              </w:rPr>
              <w:t xml:space="preserve">+30–50% vs generic benchmark</w:t>
            </w:r>
          </w:p>
        </w:tc>
      </w:tr>
      <w:tr>
        <w:tc>
          <w:tcPr>
            <w:tcW w:type="dxa" w:w="10080"/>
            <w:shd w:fill="FFFFFF" w:color="auto" w:val="clear"/>
            <w:tcMar>
              <w:top w:type="dxa" w:w="50"/>
              <w:left w:type="dxa" w:w="130"/>
              <w:bottom w:type="dxa" w:w="50"/>
              <w:right w:type="dxa" w:w="80"/>
            </w:tcMar>
          </w:tcPr>
          <w:p>
            <w:pPr>
              <w:spacing w:after="40" w:before="40"/>
            </w:pPr>
            <w:r>
              <w:rPr>
                <w:rFonts w:ascii="Arial" w:cs="Arial" w:eastAsia="Arial" w:hAnsi="Arial"/>
                <w:b/>
                <w:bCs/>
                <w:i w:val="false"/>
                <w:iCs w:val="false"/>
                <w:color w:val="424242"/>
                <w:sz w:val="16"/>
                <w:szCs w:val="16"/>
              </w:rPr>
              <w:t xml:space="preserve">Highest-Risk Phase:  </w:t>
            </w:r>
            <w:r>
              <w:rPr>
                <w:rFonts w:ascii="Arial" w:cs="Arial" w:eastAsia="Arial" w:hAnsi="Arial"/>
                <w:b w:val="false"/>
                <w:bCs w:val="false"/>
                <w:i w:val="false"/>
                <w:iCs w:val="false"/>
                <w:color w:val="424242"/>
                <w:sz w:val="16"/>
                <w:szCs w:val="16"/>
              </w:rPr>
              <w:t xml:space="preserve">Ph4: Integration &amp; SIT (carrier/3PL testing availability)</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4840"/>
        <w:gridCol w:w="5240"/>
      </w:tblGrid>
      <w:tr>
        <w:tc>
          <w:tcPr>
            <w:tcW w:type="dxa" w:w="4840"/>
            <w:tcMar>
              <w:top w:type="dxa" w:w="0"/>
              <w:left w:type="dxa" w:w="0"/>
              <w:bottom w:type="dxa" w:w="0"/>
              <w:right w:type="dxa" w:w="80"/>
            </w:tcMar>
          </w:tcPr>
          <w:p>
            <w:pPr>
              <w:spacing w:after="80"/>
            </w:pPr>
            <w:r>
              <w:rPr>
                <w:rFonts w:ascii="Arial" w:cs="Arial" w:eastAsia="Arial" w:hAnsi="Arial"/>
                <w:b/>
                <w:bCs/>
                <w:i w:val="false"/>
                <w:iCs w:val="false"/>
                <w:color w:val="7B5E00"/>
                <w:sz w:val="17"/>
                <w:szCs w:val="17"/>
              </w:rPr>
              <w:t xml:space="preserve">Standard Oracle Modules (always in scope)</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SCM – Inventory &amp; Order Management</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SCM – Warehouse Management (WMS)</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Financials (GL, AP, AR)</w:t>
            </w:r>
          </w:p>
          <w:p>
            <w:pPr>
              <w:spacing w:after="60"/>
              <w:ind w:left="200" w:hanging="160"/>
            </w:pPr>
            <w:r>
              <w:rPr>
                <w:rFonts w:ascii="Arial" w:cs="Arial" w:eastAsia="Arial" w:hAnsi="Arial"/>
                <w:b/>
                <w:bCs/>
                <w:i w:val="false"/>
                <w:iCs w:val="false"/>
                <w:color w:val="2E7D32"/>
                <w:sz w:val="16"/>
                <w:szCs w:val="16"/>
              </w:rPr>
              <w:t xml:space="preserve">✓  </w:t>
            </w:r>
            <w:r>
              <w:rPr>
                <w:rFonts w:ascii="Arial" w:cs="Arial" w:eastAsia="Arial" w:hAnsi="Arial"/>
                <w:b w:val="false"/>
                <w:bCs w:val="false"/>
                <w:i w:val="false"/>
                <w:iCs w:val="false"/>
                <w:color w:val="424242"/>
                <w:sz w:val="16"/>
                <w:szCs w:val="16"/>
              </w:rPr>
              <w:t xml:space="preserve">ERP – Procurement</w:t>
            </w:r>
          </w:p>
        </w:tc>
        <w:tc>
          <w:tcPr>
            <w:tcW w:type="dxa" w:w="5240"/>
            <w:tcMar>
              <w:top w:type="dxa" w:w="0"/>
              <w:left w:type="dxa" w:w="80"/>
              <w:bottom w:type="dxa" w:w="0"/>
              <w:right w:type="dxa" w:w="0"/>
            </w:tcMar>
          </w:tcPr>
          <w:p>
            <w:pPr>
              <w:spacing w:after="80"/>
            </w:pPr>
            <w:r>
              <w:rPr>
                <w:rFonts w:ascii="Arial" w:cs="Arial" w:eastAsia="Arial" w:hAnsi="Arial"/>
                <w:b/>
                <w:bCs/>
                <w:i w:val="false"/>
                <w:iCs w:val="false"/>
                <w:color w:val="7B5E00"/>
                <w:sz w:val="17"/>
                <w:szCs w:val="17"/>
              </w:rPr>
              <w:t xml:space="preserve">Domain-Specific Scope Additions</w:t>
            </w:r>
          </w:p>
          <w:p>
            <w:pPr>
              <w:spacing w:after="60"/>
              <w:ind w:left="200" w:hanging="160"/>
            </w:pPr>
            <w:r>
              <w:rPr>
                <w:rFonts w:ascii="Arial" w:cs="Arial" w:eastAsia="Arial" w:hAnsi="Arial"/>
                <w:b/>
                <w:bCs/>
                <w:i w:val="false"/>
                <w:iCs w:val="false"/>
                <w:color w:val="7B5E00"/>
                <w:sz w:val="16"/>
                <w:szCs w:val="16"/>
              </w:rPr>
              <w:t xml:space="preserve">★  </w:t>
            </w:r>
            <w:r>
              <w:rPr>
                <w:rFonts w:ascii="Arial" w:cs="Arial" w:eastAsia="Arial" w:hAnsi="Arial"/>
                <w:b w:val="false"/>
                <w:bCs w:val="false"/>
                <w:i w:val="false"/>
                <w:iCs w:val="false"/>
                <w:color w:val="424242"/>
                <w:sz w:val="16"/>
                <w:szCs w:val="16"/>
              </w:rPr>
              <w:t xml:space="preserve">Transport Management System (TMS) Integration</w:t>
            </w:r>
          </w:p>
          <w:p>
            <w:pPr>
              <w:spacing w:after="60"/>
              <w:ind w:left="200" w:hanging="160"/>
            </w:pPr>
            <w:r>
              <w:rPr>
                <w:rFonts w:ascii="Arial" w:cs="Arial" w:eastAsia="Arial" w:hAnsi="Arial"/>
                <w:b/>
                <w:bCs/>
                <w:i w:val="false"/>
                <w:iCs w:val="false"/>
                <w:color w:val="7B5E00"/>
                <w:sz w:val="16"/>
                <w:szCs w:val="16"/>
              </w:rPr>
              <w:t xml:space="preserve">★  </w:t>
            </w:r>
            <w:r>
              <w:rPr>
                <w:rFonts w:ascii="Arial" w:cs="Arial" w:eastAsia="Arial" w:hAnsi="Arial"/>
                <w:b w:val="false"/>
                <w:bCs w:val="false"/>
                <w:i w:val="false"/>
                <w:iCs w:val="false"/>
                <w:color w:val="424242"/>
                <w:sz w:val="16"/>
                <w:szCs w:val="16"/>
              </w:rPr>
              <w:t xml:space="preserve">3PL Portal and Carrier API Integration</w:t>
            </w:r>
          </w:p>
          <w:p>
            <w:pPr>
              <w:spacing w:after="60"/>
              <w:ind w:left="200" w:hanging="160"/>
            </w:pPr>
            <w:r>
              <w:rPr>
                <w:rFonts w:ascii="Arial" w:cs="Arial" w:eastAsia="Arial" w:hAnsi="Arial"/>
                <w:b/>
                <w:bCs/>
                <w:i w:val="false"/>
                <w:iCs w:val="false"/>
                <w:color w:val="7B5E00"/>
                <w:sz w:val="16"/>
                <w:szCs w:val="16"/>
              </w:rPr>
              <w:t xml:space="preserve">★  </w:t>
            </w:r>
            <w:r>
              <w:rPr>
                <w:rFonts w:ascii="Arial" w:cs="Arial" w:eastAsia="Arial" w:hAnsi="Arial"/>
                <w:b w:val="false"/>
                <w:bCs w:val="false"/>
                <w:i w:val="false"/>
                <w:iCs w:val="false"/>
                <w:color w:val="424242"/>
                <w:sz w:val="16"/>
                <w:szCs w:val="16"/>
              </w:rPr>
              <w:t xml:space="preserve">Customs Compliance (Global Trade Management)</w:t>
            </w:r>
          </w:p>
          <w:p>
            <w:pPr>
              <w:spacing w:after="60"/>
              <w:ind w:left="200" w:hanging="160"/>
            </w:pPr>
            <w:r>
              <w:rPr>
                <w:rFonts w:ascii="Arial" w:cs="Arial" w:eastAsia="Arial" w:hAnsi="Arial"/>
                <w:b/>
                <w:bCs/>
                <w:i w:val="false"/>
                <w:iCs w:val="false"/>
                <w:color w:val="7B5E00"/>
                <w:sz w:val="16"/>
                <w:szCs w:val="16"/>
              </w:rPr>
              <w:t xml:space="preserve">★  </w:t>
            </w:r>
            <w:r>
              <w:rPr>
                <w:rFonts w:ascii="Arial" w:cs="Arial" w:eastAsia="Arial" w:hAnsi="Arial"/>
                <w:b w:val="false"/>
                <w:bCs w:val="false"/>
                <w:i w:val="false"/>
                <w:iCs w:val="false"/>
                <w:color w:val="424242"/>
                <w:sz w:val="16"/>
                <w:szCs w:val="16"/>
              </w:rPr>
              <w:t xml:space="preserve">Customer EDI Network (orders, ASN, invoices)</w:t>
            </w:r>
          </w:p>
          <w:p>
            <w:pPr>
              <w:spacing w:after="60"/>
              <w:ind w:left="200" w:hanging="160"/>
            </w:pPr>
            <w:r>
              <w:rPr>
                <w:rFonts w:ascii="Arial" w:cs="Arial" w:eastAsia="Arial" w:hAnsi="Arial"/>
                <w:b/>
                <w:bCs/>
                <w:i w:val="false"/>
                <w:iCs w:val="false"/>
                <w:color w:val="7B5E00"/>
                <w:sz w:val="16"/>
                <w:szCs w:val="16"/>
              </w:rPr>
              <w:t xml:space="preserve">★  </w:t>
            </w:r>
            <w:r>
              <w:rPr>
                <w:rFonts w:ascii="Arial" w:cs="Arial" w:eastAsia="Arial" w:hAnsi="Arial"/>
                <w:b w:val="false"/>
                <w:bCs w:val="false"/>
                <w:i w:val="false"/>
                <w:iCs w:val="false"/>
                <w:color w:val="424242"/>
                <w:sz w:val="16"/>
                <w:szCs w:val="16"/>
              </w:rPr>
              <w:t xml:space="preserve">Cold Chain and Temperature-Sensitive Logistics</w:t>
            </w:r>
          </w:p>
          <w:p>
            <w:pPr>
              <w:spacing w:after="60"/>
              <w:ind w:left="200" w:hanging="160"/>
            </w:pPr>
            <w:r>
              <w:rPr>
                <w:rFonts w:ascii="Arial" w:cs="Arial" w:eastAsia="Arial" w:hAnsi="Arial"/>
                <w:b/>
                <w:bCs/>
                <w:i w:val="false"/>
                <w:iCs w:val="false"/>
                <w:color w:val="7B5E00"/>
                <w:sz w:val="16"/>
                <w:szCs w:val="16"/>
              </w:rPr>
              <w:t xml:space="preserve">★  </w:t>
            </w:r>
            <w:r>
              <w:rPr>
                <w:rFonts w:ascii="Arial" w:cs="Arial" w:eastAsia="Arial" w:hAnsi="Arial"/>
                <w:b w:val="false"/>
                <w:bCs w:val="false"/>
                <w:i w:val="false"/>
                <w:iCs w:val="false"/>
                <w:color w:val="424242"/>
                <w:sz w:val="16"/>
                <w:szCs w:val="16"/>
              </w:rPr>
              <w:t xml:space="preserve">Freight Audit &amp; Payment Automation</w:t>
            </w:r>
          </w:p>
          <w:p>
            <w:pPr>
              <w:spacing w:after="60"/>
              <w:ind w:left="200" w:hanging="160"/>
            </w:pPr>
            <w:r>
              <w:rPr>
                <w:rFonts w:ascii="Arial" w:cs="Arial" w:eastAsia="Arial" w:hAnsi="Arial"/>
                <w:b/>
                <w:bCs/>
                <w:i w:val="false"/>
                <w:iCs w:val="false"/>
                <w:color w:val="7B5E00"/>
                <w:sz w:val="16"/>
                <w:szCs w:val="16"/>
              </w:rPr>
              <w:t xml:space="preserve">★  </w:t>
            </w:r>
            <w:r>
              <w:rPr>
                <w:rFonts w:ascii="Arial" w:cs="Arial" w:eastAsia="Arial" w:hAnsi="Arial"/>
                <w:b w:val="false"/>
                <w:bCs w:val="false"/>
                <w:i w:val="false"/>
                <w:iCs w:val="false"/>
                <w:color w:val="424242"/>
                <w:sz w:val="16"/>
                <w:szCs w:val="16"/>
              </w:rPr>
              <w:t xml:space="preserve">Last-Mile Delivery Platform Integration</w:t>
            </w:r>
          </w:p>
          <w:p>
            <w:pPr>
              <w:spacing w:after="60"/>
              <w:ind w:left="200" w:hanging="160"/>
            </w:pPr>
            <w:r>
              <w:rPr>
                <w:rFonts w:ascii="Arial" w:cs="Arial" w:eastAsia="Arial" w:hAnsi="Arial"/>
                <w:b/>
                <w:bCs/>
                <w:i w:val="false"/>
                <w:iCs w:val="false"/>
                <w:color w:val="7B5E00"/>
                <w:sz w:val="16"/>
                <w:szCs w:val="16"/>
              </w:rPr>
              <w:t xml:space="preserve">★  </w:t>
            </w:r>
            <w:r>
              <w:rPr>
                <w:rFonts w:ascii="Arial" w:cs="Arial" w:eastAsia="Arial" w:hAnsi="Arial"/>
                <w:b w:val="false"/>
                <w:bCs w:val="false"/>
                <w:i w:val="false"/>
                <w:iCs w:val="false"/>
                <w:color w:val="424242"/>
                <w:sz w:val="16"/>
                <w:szCs w:val="16"/>
              </w:rPr>
              <w:t xml:space="preserve">Dangerous Goods (HAZMAT) Configuration</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Key Estimation Drivers &amp; Unit Effort Uplift Factors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5000"/>
      </w:tblGrid>
      <w:tr>
        <w:trPr>
          <w:tblHeader/>
        </w:trPr>
        <w:tc>
          <w:tcPr>
            <w:tcW w:type="dxa" w:w="3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Driver</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Impact</w:t>
            </w:r>
          </w:p>
        </w:tc>
        <w:tc>
          <w:tcPr>
            <w:tcW w:type="dxa" w:w="1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Uplift vs Benchmark</w:t>
            </w:r>
          </w:p>
        </w:tc>
        <w:tc>
          <w:tcPr>
            <w:tcW w:type="dxa" w:w="5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Estimator Action</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TMS integration complexity</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+50–70% on integration stream</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TMS integration (Oracle TMS, Blue Yonder TMS, MercuryGate) is bidirectional, real-time, and requires shipment lifecycle management across Oracle OMS. Budget 25–40 days per TMS interface.</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3PL partner and carrier API proliferation</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+40–60% on integration</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 logistics operator may have 20–50 carrier APIs and 10–20 3PL partners. Each requires an OIC flow. Use a carrier API gateway where possible, but budget 3–8 days per carrier depending on API maturity.</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Customer EDI network breadth</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+30–50% on integration</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Large logistics clients have hundreds of active EDI trading partners. Use a managed EDI service (SPS Commerce, DiCentral) rather than building each individually. Budget 3–5 days per new partner onboarding.</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WMS configuration complexity</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+35–50% on WMS stream</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Multi-temperature, multi-client, multi-flow warehouse operations require extensive WMS rule configuration. Budget 15–20 days per warehouse type (ambient, chill, frozen) and 8–12 days per client flow.</w:t>
            </w:r>
          </w:p>
        </w:tc>
      </w:tr>
      <w:tr>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Global Trade Management and customs compliance</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6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+30–45% on integration/config</w:t>
            </w:r>
          </w:p>
        </w:tc>
        <w:tc>
          <w:tcPr>
            <w:tcW w:type="dxa" w:w="5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Cross-border logistics operators require Customs declaration integration (trade compliance platforms: Amber Road, SAP GTS, Descartes). Add 25–40 days for GTM integration and classification rules.</w:t>
            </w:r>
          </w:p>
        </w:tc>
      </w:tr>
      <w:tr>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Freight audit and carrier settlement</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6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+20–30%</w:t>
            </w:r>
          </w:p>
        </w:tc>
        <w:tc>
          <w:tcPr>
            <w:tcW w:type="dxa" w:w="5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Carrier invoice reconciliation and freight audit is a distinct workstream from standard AP. Budget 15–25 days for freight audit configuration and carrier portal integration.</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Domain Integration Landscape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1200"/>
        <w:gridCol w:w="44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System / Interface</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Type</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Complexity</w:t>
            </w:r>
          </w:p>
        </w:tc>
        <w:tc>
          <w:tcPr>
            <w:tcW w:type="dxa" w:w="1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Typical Count</w:t>
            </w:r>
          </w:p>
        </w:tc>
        <w:tc>
          <w:tcPr>
            <w:tcW w:type="dxa" w:w="4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Estimation Note</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Transport Management System (Oracle TMS, Blue Yonder, MercuryGate)</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 Real-Time</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8B0000"/>
                <w:sz w:val="16"/>
                <w:szCs w:val="16"/>
              </w:rPr>
              <w:t xml:space="preserve">Very 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Core operational integration. Shipment creation, status updates, and freight cost data. Budget 25–40 days per TMS.</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3PL Partner Systems (WMS and Order Fulfilment)</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5–20</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Each 3PL has a different system. Use an API hub pattern where possible — budget 5–10 days per 3PL onboarding.</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Carrier APIs (FedEx, DHL, UPS, last-mile carriers)</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Real-Time</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10–50</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High count, typically lower complexity per carrier. Use a carrier API gateway — budget 3–5 days per carrier.</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Customer EDI (850 PO, 856 ASN, 810 Invoice)</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50–200</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EDI trading partner volume can be very high. Managed EDI service is mandatory for &gt;20 partners.</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Customs / GTM Platform (Amber Road, Descartes, SAP GTS)</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Bidirectional</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High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Customs declaration, import/export compliance, tariff classification. 25–35 days per platform.</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Last-Mile Delivery Platform (Route4Me, OnFleet, Bringg)</w:t>
            </w:r>
          </w:p>
        </w:tc>
        <w:tc>
          <w:tcPr>
            <w:tcW w:type="dxa" w:w="18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Real-Time</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1–3</w:t>
            </w:r>
          </w:p>
        </w:tc>
        <w:tc>
          <w:tcPr>
            <w:tcW w:type="dxa" w:w="4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Delivery execution and proof-of-delivery integration. 10–20 days per platform.</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Freight Audit Platform (Cass, nVision, Audit Payment)</w:t>
            </w:r>
          </w:p>
        </w:tc>
        <w:tc>
          <w:tcPr>
            <w:tcW w:type="dxa" w:w="18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Batch</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5A623"/>
                <w:sz w:val="16"/>
                <w:szCs w:val="16"/>
              </w:rPr>
              <w:t xml:space="preserve">Medium</w:t>
            </w:r>
          </w:p>
        </w:tc>
        <w:tc>
          <w:tcPr>
            <w:tcW w:type="dxa" w:w="12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4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Carrier invoice reconciliation. 15–20 days. Requires AP team involvement in design.</w:t>
            </w:r>
          </w:p>
        </w:tc>
      </w:tr>
    </w:tbl>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SDLC Phase Distribution — Domain Adjustments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400"/>
        <w:gridCol w:w="4000"/>
      </w:tblGrid>
      <w:tr>
        <w:trPr>
          <w:tblHeader/>
        </w:trPr>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Phase</w:t>
            </w:r>
          </w:p>
        </w:tc>
        <w:tc>
          <w:tcPr>
            <w:tcW w:type="dxa" w:w="15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Standard %</w:t>
            </w:r>
          </w:p>
        </w:tc>
        <w:tc>
          <w:tcPr>
            <w:tcW w:type="dxa" w:w="18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Domain Adj. %</w:t>
            </w:r>
          </w:p>
        </w:tc>
        <w:tc>
          <w:tcPr>
            <w:tcW w:type="dxa" w:w="1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Variance</w:t>
            </w:r>
          </w:p>
        </w:tc>
        <w:tc>
          <w:tcPr>
            <w:tcW w:type="dxa" w:w="4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Reason</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Ph1: Discover &amp; Assess</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12%</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0pp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 — logistics clients have well-documented operational processes</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Ph2: Design/Blueprint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18%</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0pp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 — WMS and TMS integration design requires logistics IT and operations leadership</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Ph3: Build/Configure</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28%</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0pp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 build but significantly elevated by integration volume — TMS and carrier API builds dominate</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Ph4: Integration &amp; SIT</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18%</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+6pp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The largest phase shift in logistics — carrier and 3PL SIT requires external partner availability, which is the #1 delay risk</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Ph5: UAT</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9%</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Operational UAT requires physical warehouse testing — scheduling around live operations</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Ph6: Data Migration</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10%</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Item master data across multiple legacy systems is typically the most complex DM object — high duplication and inconsistency</w:t>
            </w:r>
          </w:p>
        </w:tc>
      </w:tr>
      <w:tr>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Ph7: Training &amp; OCM</w:t>
            </w:r>
          </w:p>
        </w:tc>
        <w:tc>
          <w:tcPr>
            <w:tcW w:type="dxa" w:w="15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8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2E7D32"/>
                <w:sz w:val="16"/>
                <w:szCs w:val="16"/>
              </w:rPr>
              <w:t xml:space="preserve">5%</w:t>
            </w:r>
          </w:p>
        </w:tc>
        <w:tc>
          <w:tcPr>
            <w:tcW w:type="dxa" w:w="14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0pp</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Standard — logistics warehouse operations staff have moderate-high system familiarity</w:t>
            </w:r>
          </w:p>
        </w:tc>
      </w:tr>
      <w:tr>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Ph9: Hypercare</w:t>
            </w:r>
          </w:p>
        </w:tc>
        <w:tc>
          <w:tcPr>
            <w:tcW w:type="dxa" w:w="15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8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4%</w:t>
            </w:r>
          </w:p>
        </w:tc>
        <w:tc>
          <w:tcPr>
            <w:tcW w:type="dxa" w:w="14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+2pp</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First peak trading period on new system (pre-planned by operations) requires dedicated hypercare support team on-site</w:t>
            </w:r>
          </w:p>
        </w:tc>
      </w:tr>
    </w:tbl>
    <w:p>
      <w:pPr>
        <w:spacing w:after="100" w:before="60"/>
        <w:jc w:val="left"/>
      </w:pPr>
      <w:r>
        <w:rPr>
          <w:rFonts w:ascii="Arial" w:cs="Arial" w:eastAsia="Arial" w:hAnsi="Arial"/>
          <w:b w:val="false"/>
          <w:bCs w:val="false"/>
          <w:i/>
          <w:iCs/>
          <w:color w:val="757575"/>
          <w:sz w:val="17"/>
          <w:szCs w:val="17"/>
        </w:rPr>
        <w:t xml:space="preserve">Logistics programmes are integration-dominated — the Build and SIT phases are both elevated because carrier and 3PL integration count is structurally high. The most distinctive phase profile is the elongated SIT phase, because carrier API testing and 3PL partner testing require external availability that is outside the programme's control.</w:t>
      </w:r>
    </w:p>
    <w:p>
      <w:pPr>
        <w:spacing w:after="60"/>
      </w:pPr>
      <w:r>
        <w:rPr>
          <w:rFonts w:ascii="Arial" w:cs="Arial" w:eastAsia="Arial" w:hAnsi="Arial"/>
          <w:b w:val="false"/>
          <w:bCs w:val="false"/>
          <w:i w:val="false"/>
          <w:iCs w:val="false"/>
          <w:color w:val="000000"/>
          <w:sz w:val="18"/>
          <w:szCs w:val="18"/>
        </w:rPr>
        <w:t xml:space="preserve"/>
      </w:r>
    </w:p>
    <w:p>
      <w:pPr>
        <w:pStyle w:val="Heading3"/>
        <w:spacing w:after="60" w:before="160"/>
      </w:pPr>
      <w:r>
        <w:rPr>
          <w:rFonts w:ascii="Arial" w:cs="Arial" w:eastAsia="Arial" w:hAnsi="Arial"/>
          <w:b/>
          <w:bCs/>
          <w:i w:val="false"/>
          <w:iCs w:val="false"/>
          <w:color w:val="1A237E"/>
          <w:sz w:val="19"/>
          <w:szCs w:val="19"/>
        </w:rPr>
        <w:t xml:space="preserve">Top 5 Under-Priced Risks in Logistics &amp; Supply Chain Management Estimates</w:t>
      </w:r>
    </w:p>
    <w:p>
      <w:pPr>
        <w:spacing w:after="40" w:before="80"/>
        <w:ind w:left="120"/>
      </w:pPr>
      <w:r>
        <w:rPr>
          <w:rFonts w:ascii="Arial" w:cs="Arial" w:eastAsia="Arial" w:hAnsi="Arial"/>
          <w:b/>
          <w:bCs/>
          <w:i w:val="false"/>
          <w:iCs w:val="false"/>
          <w:color w:val="7B5E00"/>
          <w:sz w:val="18"/>
          <w:szCs w:val="18"/>
        </w:rPr>
        <w:t xml:space="preserve">1.  Carrier and 3PL integration count dramatically underestimated</w:t>
      </w:r>
    </w:p>
    <w:p>
      <w:pPr>
        <w:spacing w:after="80"/>
        <w:ind w:left="300"/>
      </w:pPr>
      <w:r>
        <w:rPr>
          <w:rFonts w:ascii="Arial" w:cs="Arial" w:eastAsia="Arial" w:hAnsi="Arial"/>
          <w:b w:val="false"/>
          <w:bCs w:val="false"/>
          <w:i w:val="false"/>
          <w:iCs w:val="false"/>
          <w:color w:val="424242"/>
          <w:sz w:val="17"/>
          <w:szCs w:val="17"/>
        </w:rPr>
        <w:t xml:space="preserve">A logistics operator's technology team knows their carrier and 3PL relationships — but the business team (who participate in discovery) does not always know how many API connections exist. Always request a Technology Integration Map from IT before finalising integration estimates. The actual count is consistently 1.5–2× what the business team reports.</w:t>
      </w:r>
    </w:p>
    <w:p>
      <w:pPr>
        <w:spacing w:after="40" w:before="80"/>
        <w:ind w:left="120"/>
      </w:pPr>
      <w:r>
        <w:rPr>
          <w:rFonts w:ascii="Arial" w:cs="Arial" w:eastAsia="Arial" w:hAnsi="Arial"/>
          <w:b/>
          <w:bCs/>
          <w:i w:val="false"/>
          <w:iCs w:val="false"/>
          <w:color w:val="7B5E00"/>
          <w:sz w:val="18"/>
          <w:szCs w:val="18"/>
        </w:rPr>
        <w:t xml:space="preserve">2.  3PL SIT requires external partner availability</w:t>
      </w:r>
    </w:p>
    <w:p>
      <w:pPr>
        <w:spacing w:after="80"/>
        <w:ind w:left="300"/>
      </w:pPr>
      <w:r>
        <w:rPr>
          <w:rFonts w:ascii="Arial" w:cs="Arial" w:eastAsia="Arial" w:hAnsi="Arial"/>
          <w:b w:val="false"/>
          <w:bCs w:val="false"/>
          <w:i w:val="false"/>
          <w:iCs w:val="false"/>
          <w:color w:val="424242"/>
          <w:sz w:val="17"/>
          <w:szCs w:val="17"/>
        </w:rPr>
        <w:t xml:space="preserve">Testing an integration with a 3PL partner's system requires their IT team to provide a test environment and participate in SIT. The 3PL team's availability is not under the programme's control. 3PL SIT delays are the single biggest cause of SIT phase overrun in logistics programmes. Engage all 3PL partners by week 2 of the programme.</w:t>
      </w:r>
    </w:p>
    <w:p>
      <w:pPr>
        <w:spacing w:after="40" w:before="80"/>
        <w:ind w:left="120"/>
      </w:pPr>
      <w:r>
        <w:rPr>
          <w:rFonts w:ascii="Arial" w:cs="Arial" w:eastAsia="Arial" w:hAnsi="Arial"/>
          <w:b/>
          <w:bCs/>
          <w:i w:val="false"/>
          <w:iCs w:val="false"/>
          <w:color w:val="7B5E00"/>
          <w:sz w:val="18"/>
          <w:szCs w:val="18"/>
        </w:rPr>
        <w:t xml:space="preserve">3.  Item master data duplication and inconsistency</w:t>
      </w:r>
    </w:p>
    <w:p>
      <w:pPr>
        <w:spacing w:after="80"/>
        <w:ind w:left="300"/>
      </w:pPr>
      <w:r>
        <w:rPr>
          <w:rFonts w:ascii="Arial" w:cs="Arial" w:eastAsia="Arial" w:hAnsi="Arial"/>
          <w:b w:val="false"/>
          <w:bCs w:val="false"/>
          <w:i w:val="false"/>
          <w:iCs w:val="false"/>
          <w:color w:val="424242"/>
          <w:sz w:val="17"/>
          <w:szCs w:val="17"/>
        </w:rPr>
        <w:t xml:space="preserve">Logistics operators often run multiple legacy WMS and OMS systems with separate item masters that have accumulated inconsistencies over years. A pre-migration data profiling exercise almost always reveals 20–40% duplicate or conflicting records. Budget 3× the standard item master migration effort for logistics clients.</w:t>
      </w:r>
    </w:p>
    <w:p>
      <w:pPr>
        <w:spacing w:after="40" w:before="80"/>
        <w:ind w:left="120"/>
      </w:pPr>
      <w:r>
        <w:rPr>
          <w:rFonts w:ascii="Arial" w:cs="Arial" w:eastAsia="Arial" w:hAnsi="Arial"/>
          <w:b/>
          <w:bCs/>
          <w:i w:val="false"/>
          <w:iCs w:val="false"/>
          <w:color w:val="7B5E00"/>
          <w:sz w:val="18"/>
          <w:szCs w:val="18"/>
        </w:rPr>
        <w:t xml:space="preserve">4.  Customs classification and tariff data not in scope</w:t>
      </w:r>
    </w:p>
    <w:p>
      <w:pPr>
        <w:spacing w:after="80"/>
        <w:ind w:left="300"/>
      </w:pPr>
      <w:r>
        <w:rPr>
          <w:rFonts w:ascii="Arial" w:cs="Arial" w:eastAsia="Arial" w:hAnsi="Arial"/>
          <w:b w:val="false"/>
          <w:bCs w:val="false"/>
          <w:i w:val="false"/>
          <w:iCs w:val="false"/>
          <w:color w:val="424242"/>
          <w:sz w:val="17"/>
          <w:szCs w:val="17"/>
        </w:rPr>
        <w:t xml:space="preserve">Global logistics operators must classify all goods for customs purposes — and this classification data must live in Oracle for export declaration. GTM configuration and tariff classification data loading are consistently excluded from the initial scope and added in Design as the customs compliance team gets involved.</w:t>
      </w:r>
    </w:p>
    <w:p>
      <w:pPr>
        <w:spacing w:after="40" w:before="80"/>
        <w:ind w:left="120"/>
      </w:pPr>
      <w:r>
        <w:rPr>
          <w:rFonts w:ascii="Arial" w:cs="Arial" w:eastAsia="Arial" w:hAnsi="Arial"/>
          <w:b/>
          <w:bCs/>
          <w:i w:val="false"/>
          <w:iCs w:val="false"/>
          <w:color w:val="7B5E00"/>
          <w:sz w:val="18"/>
          <w:szCs w:val="18"/>
        </w:rPr>
        <w:t xml:space="preserve">5.  Carrier API versions and deprecation risk during programme</w:t>
      </w:r>
    </w:p>
    <w:p>
      <w:pPr>
        <w:spacing w:after="80"/>
        <w:ind w:left="300"/>
      </w:pPr>
      <w:r>
        <w:rPr>
          <w:rFonts w:ascii="Arial" w:cs="Arial" w:eastAsia="Arial" w:hAnsi="Arial"/>
          <w:b w:val="false"/>
          <w:bCs w:val="false"/>
          <w:i w:val="false"/>
          <w:iCs w:val="false"/>
          <w:color w:val="424242"/>
          <w:sz w:val="17"/>
          <w:szCs w:val="17"/>
        </w:rPr>
        <w:t xml:space="preserve">Carrier APIs (FedEx Ship API, UPS Developer Kit, DHL Express API) undergo version updates that can break OIC integrations built against an earlier version. If the carrier announces an API update during the programme, integration build and SIT must be repeated. Build a carrier API version monitoring process into the programme governance.</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7B5E00" w:color="auto" w:val="clear"/>
            <w:tcMar>
              <w:top w:type="dxa" w:w="70"/>
              <w:left w:type="dxa" w:w="130"/>
              <w:bottom w:type="dxa" w:w="70"/>
              <w:right w:type="dxa" w:w="120"/>
            </w:tcMar>
          </w:tcPr>
          <w:p>
            <w:pPr>
              <w:spacing w:after="60" w:before="60"/>
              <w:ind w:left="80"/>
            </w:pPr>
            <w:r>
              <w:rPr>
                <w:rFonts w:ascii="Arial" w:cs="Arial" w:eastAsia="Arial" w:hAnsi="Arial"/>
                <w:b/>
                <w:bCs/>
                <w:i w:val="false"/>
                <w:iCs w:val="false"/>
                <w:color w:val="8B0000"/>
                <w:sz w:val="19"/>
                <w:szCs w:val="19"/>
              </w:rPr>
              <w:t xml:space="preserve">Estimator Guidance — Logistics &amp; Supply Chain Management</w:t>
            </w:r>
          </w:p>
        </w:tc>
      </w:tr>
      <w:tr>
        <w:tc>
          <w:tcPr>
            <w:tcW w:type="dxa" w:w="10080"/>
            <w:shd w:fill="FFFDE7" w:color="auto" w:val="clear"/>
            <w:tcMar>
              <w:top w:type="dxa" w:w="90"/>
              <w:left w:type="dxa" w:w="140"/>
              <w:bottom w:type="dxa" w:w="90"/>
              <w:right w:type="dxa" w:w="120"/>
            </w:tcMar>
          </w:tcPr>
          <w:p>
            <w:pPr>
              <w:spacing w:after="70"/>
              <w:ind w:left="80"/>
            </w:pPr>
            <w:r>
              <w:rPr>
                <w:rFonts w:ascii="Arial" w:cs="Arial" w:eastAsia="Arial" w:hAnsi="Arial"/>
                <w:b w:val="false"/>
                <w:bCs w:val="false"/>
                <w:i w:val="false"/>
                <w:iCs w:val="false"/>
                <w:color w:val="424242"/>
                <w:sz w:val="17"/>
                <w:szCs w:val="17"/>
              </w:rPr>
              <w:t xml:space="preserve">Always request a Technology Integration Map from the client's IT department in week 1 of Discover. Do not rely on the business team's integration inventory — the actual count is consistently higher.</w:t>
            </w:r>
          </w:p>
          <w:p>
            <w:pPr>
              <w:spacing w:after="70"/>
              <w:ind w:left="80"/>
            </w:pPr>
            <w:r>
              <w:rPr>
                <w:rFonts w:ascii="Arial" w:cs="Arial" w:eastAsia="Arial" w:hAnsi="Arial"/>
                <w:b w:val="false"/>
                <w:bCs w:val="false"/>
                <w:i w:val="false"/>
                <w:iCs w:val="false"/>
                <w:color w:val="424242"/>
                <w:sz w:val="17"/>
                <w:szCs w:val="17"/>
              </w:rPr>
              <w:t xml:space="preserve">Engage all 3PL and major carrier IT teams by week 2 of the programme. SIT scheduling with external partners requires 4–6 weeks of lead time — this cannot be left until the Build phase.</w:t>
            </w:r>
          </w:p>
          <w:p>
            <w:pPr>
              <w:spacing w:after="70"/>
              <w:ind w:left="80"/>
            </w:pPr>
            <w:r>
              <w:rPr>
                <w:rFonts w:ascii="Arial" w:cs="Arial" w:eastAsia="Arial" w:hAnsi="Arial"/>
                <w:b w:val="false"/>
                <w:bCs w:val="false"/>
                <w:i w:val="false"/>
                <w:iCs w:val="false"/>
                <w:color w:val="424242"/>
                <w:sz w:val="17"/>
                <w:szCs w:val="17"/>
              </w:rPr>
              <w:t xml:space="preserve">Apply a minimum H complexity for any logistics client with cross-border operations or &gt;20 carrier/3PL relationships. VH applies for multi-modal global operators with customs in scope.</w:t>
            </w:r>
          </w:p>
          <w:p>
            <w:pPr>
              <w:spacing w:after="70"/>
              <w:ind w:left="80"/>
            </w:pPr>
            <w:r>
              <w:rPr>
                <w:rFonts w:ascii="Arial" w:cs="Arial" w:eastAsia="Arial" w:hAnsi="Arial"/>
                <w:b w:val="false"/>
                <w:bCs w:val="false"/>
                <w:i w:val="false"/>
                <w:iCs w:val="false"/>
                <w:color w:val="424242"/>
                <w:sz w:val="17"/>
                <w:szCs w:val="17"/>
              </w:rPr>
              <w:t xml:space="preserve">Use the Calibration Benchmark for integration stream: logistics programmes should budget (N_simple × 4 days + N_complex × 14 days) × 1.4 — the logistics integration multiplier should be 1.4× not 1.0× because carrier API complexity is structurally above the benchmark.</w:t>
            </w:r>
          </w:p>
          <w:p>
            <w:pPr>
              <w:spacing w:after="70"/>
              <w:ind w:left="80"/>
            </w:pPr>
            <w:r>
              <w:rPr>
                <w:rFonts w:ascii="Arial" w:cs="Arial" w:eastAsia="Arial" w:hAnsi="Arial"/>
                <w:b w:val="false"/>
                <w:bCs w:val="false"/>
                <w:i w:val="false"/>
                <w:iCs w:val="false"/>
                <w:color w:val="424242"/>
                <w:sz w:val="17"/>
                <w:szCs w:val="17"/>
              </w:rPr>
              <w:t xml:space="preserve">Budget a minimum 18% of total effort for the Integration &amp; SIT phase (vs the standard 12%). Carrier and 3PL testing cycles always run longer than planned — build the buffer in, not out.</w:t>
            </w:r>
          </w:p>
        </w:tc>
      </w:tr>
    </w:tbl>
    <w:p>
      <w:pPr>
        <w:spacing w:after="60"/>
      </w:pPr>
      <w:r>
        <w:rPr>
          <w:rFonts w:ascii="Arial" w:cs="Arial" w:eastAsia="Arial" w:hAnsi="Arial"/>
          <w:b w:val="false"/>
          <w:bCs w:val="false"/>
          <w:i w:val="false"/>
          <w:iCs w:val="false"/>
          <w:color w:val="000000"/>
          <w:sz w:val="18"/>
          <w:szCs w:val="18"/>
        </w:rPr>
        <w:t xml:space="preserve"/>
      </w:r>
    </w:p>
    <w:p>
      <w:r>
        <w:br w:type="page"/>
      </w:r>
    </w:p>
    <w:p>
      <w:pPr>
        <w:pStyle w:val="Heading1"/>
        <w:pBdr>
          <w:bottom w:val="single" w:color="C74634" w:sz="8"/>
        </w:pBdr>
        <w:spacing w:after="120" w:before="300"/>
      </w:pPr>
      <w:r>
        <w:rPr>
          <w:rFonts w:ascii="Arial" w:cs="Arial" w:eastAsia="Arial" w:hAnsi="Arial"/>
          <w:b/>
          <w:bCs/>
          <w:i w:val="false"/>
          <w:iCs w:val="false"/>
          <w:color w:val="8B0000"/>
          <w:sz w:val="28"/>
          <w:szCs w:val="28"/>
        </w:rPr>
        <w:t xml:space="preserve">Comparative Summary — Domain Estimation Profile</w:t>
      </w:r>
    </w:p>
    <w:p>
      <w:pPr>
        <w:spacing w:after="100" w:before="0"/>
        <w:jc w:val="left"/>
      </w:pPr>
      <w:r>
        <w:rPr>
          <w:rFonts w:ascii="Arial" w:cs="Arial" w:eastAsia="Arial" w:hAnsi="Arial"/>
          <w:b w:val="false"/>
          <w:bCs w:val="false"/>
          <w:i w:val="false"/>
          <w:iCs w:val="false"/>
          <w:color w:val="000000"/>
          <w:sz w:val="18"/>
          <w:szCs w:val="18"/>
        </w:rPr>
        <w:t xml:space="preserve">The following tables consolidate the key estimation differentials across all eight domains for quick reference.</w:t>
      </w:r>
    </w:p>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20"/>
      </w:pPr>
      <w:r>
        <w:rPr>
          <w:rFonts w:ascii="Arial" w:cs="Arial" w:eastAsia="Arial" w:hAnsi="Arial"/>
          <w:b/>
          <w:bCs/>
          <w:i w:val="false"/>
          <w:iCs w:val="false"/>
          <w:color w:val="C74634"/>
          <w:sz w:val="22"/>
          <w:szCs w:val="22"/>
        </w:rPr>
        <w:t xml:space="preserve">Domain Uplift vs Generic Benchmark (Approximate)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200"/>
        <w:gridCol w:w="2400"/>
        <w:gridCol w:w="2600"/>
      </w:tblGrid>
      <w:tr>
        <w:trPr>
          <w:tblHeader/>
        </w:trPr>
        <w:tc>
          <w:tcPr>
            <w:tcW w:type="dxa" w:w="2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Domain</w:t>
            </w:r>
          </w:p>
        </w:tc>
        <w:tc>
          <w:tcPr>
            <w:tcW w:type="dxa" w:w="1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Uplift Range</w:t>
            </w:r>
          </w:p>
        </w:tc>
        <w:tc>
          <w:tcPr>
            <w:tcW w:type="dxa" w:w="4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Primary Driver</w:t>
            </w:r>
          </w:p>
        </w:tc>
        <w:tc>
          <w:tcPr>
            <w:tcW w:type="dxa" w:w="2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Min CX</w:t>
            </w:r>
          </w:p>
        </w:tc>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Risk Phase</w:t>
            </w:r>
          </w:p>
        </w:tc>
      </w:tr>
      <w:tr>
        <w:tc>
          <w:tcPr>
            <w:tcW w:type="dxa" w:w="2200"/>
            <w:shd w:fill="E8EAF6"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1A237E"/>
                <w:sz w:val="16"/>
                <w:szCs w:val="16"/>
              </w:rPr>
              <w:t xml:space="preserve">BFSI</w:t>
            </w:r>
          </w:p>
        </w:tc>
        <w:tc>
          <w:tcPr>
            <w:tcW w:type="dxa" w:w="1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+35–55%</w:t>
            </w:r>
          </w:p>
        </w:tc>
        <w:tc>
          <w:tcPr>
            <w:tcW w:type="dxa" w:w="4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Regulatory config + core banking integration</w:t>
            </w:r>
          </w:p>
        </w:tc>
        <w:tc>
          <w:tcPr>
            <w:tcW w:type="dxa" w:w="2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C74634"/>
                <w:sz w:val="16"/>
                <w:szCs w:val="16"/>
              </w:rPr>
              <w:t xml:space="preserve">H (VH for cross-border)</w:t>
            </w:r>
          </w:p>
        </w:tc>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Ph3 Build + Ph4 SIT</w:t>
            </w:r>
          </w:p>
        </w:tc>
      </w:tr>
      <w:tr>
        <w:tc>
          <w:tcPr>
            <w:tcW w:type="dxa" w:w="2200"/>
            <w:shd w:fill="E0F2F1"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00695C"/>
                <w:sz w:val="16"/>
                <w:szCs w:val="16"/>
              </w:rPr>
              <w:t xml:space="preserve">Manufacturing</w:t>
            </w:r>
          </w:p>
        </w:tc>
        <w:tc>
          <w:tcPr>
            <w:tcW w:type="dxa" w:w="1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+40–60%</w:t>
            </w:r>
          </w:p>
        </w:tc>
        <w:tc>
          <w:tcPr>
            <w:tcW w:type="dxa" w:w="4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MES integration + BOM data migration</w:t>
            </w:r>
          </w:p>
        </w:tc>
        <w:tc>
          <w:tcPr>
            <w:tcW w:type="dxa" w:w="2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C74634"/>
                <w:sz w:val="16"/>
                <w:szCs w:val="16"/>
              </w:rPr>
              <w:t xml:space="preserve">H (VH for multi-plant)</w:t>
            </w:r>
          </w:p>
        </w:tc>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Ph3 Build + Ph6 DM</w:t>
            </w:r>
          </w:p>
        </w:tc>
      </w:tr>
      <w:tr>
        <w:tc>
          <w:tcPr>
            <w:tcW w:type="dxa" w:w="2200"/>
            <w:shd w:fill="FDECEA"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C74634"/>
                <w:sz w:val="16"/>
                <w:szCs w:val="16"/>
              </w:rPr>
              <w:t xml:space="preserve">Retail &amp; CPG</w:t>
            </w:r>
          </w:p>
        </w:tc>
        <w:tc>
          <w:tcPr>
            <w:tcW w:type="dxa" w:w="1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+20–35%</w:t>
            </w:r>
          </w:p>
        </w:tc>
        <w:tc>
          <w:tcPr>
            <w:tcW w:type="dxa" w:w="4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POS integration + seasonal constraint</w:t>
            </w:r>
          </w:p>
        </w:tc>
        <w:tc>
          <w:tcPr>
            <w:tcW w:type="dxa" w:w="2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M–H</w:t>
            </w:r>
          </w:p>
        </w:tc>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Ph4 SIT + Ph8 Go-Live</w:t>
            </w:r>
          </w:p>
        </w:tc>
      </w:tr>
      <w:tr>
        <w:tc>
          <w:tcPr>
            <w:tcW w:type="dxa" w:w="2200"/>
            <w:shd w:fill="E8F5E9"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2E7D32"/>
                <w:sz w:val="16"/>
                <w:szCs w:val="16"/>
              </w:rPr>
              <w:t xml:space="preserve">Healthcare</w:t>
            </w:r>
          </w:p>
        </w:tc>
        <w:tc>
          <w:tcPr>
            <w:tcW w:type="dxa" w:w="1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+40–60%</w:t>
            </w:r>
          </w:p>
        </w:tc>
        <w:tc>
          <w:tcPr>
            <w:tcW w:type="dxa" w:w="4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GxP validation + clinical integration</w:t>
            </w:r>
          </w:p>
        </w:tc>
        <w:tc>
          <w:tcPr>
            <w:tcW w:type="dxa" w:w="2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C74634"/>
                <w:sz w:val="16"/>
                <w:szCs w:val="16"/>
              </w:rPr>
              <w:t xml:space="preserve">H (VH for Life Sci GxP)</w:t>
            </w:r>
          </w:p>
        </w:tc>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Ph2 Design + Ph5 UAT</w:t>
            </w:r>
          </w:p>
        </w:tc>
      </w:tr>
      <w:tr>
        <w:tc>
          <w:tcPr>
            <w:tcW w:type="dxa" w:w="2200"/>
            <w:shd w:fill="EFEBE9"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5D4037"/>
                <w:sz w:val="16"/>
                <w:szCs w:val="16"/>
              </w:rPr>
              <w:t xml:space="preserve">Energy &amp; Utilities</w:t>
            </w:r>
          </w:p>
        </w:tc>
        <w:tc>
          <w:tcPr>
            <w:tcW w:type="dxa" w:w="1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+35–55%</w:t>
            </w:r>
          </w:p>
        </w:tc>
        <w:tc>
          <w:tcPr>
            <w:tcW w:type="dxa" w:w="4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Asset DM + FERC/ETRM complexity</w:t>
            </w:r>
          </w:p>
        </w:tc>
        <w:tc>
          <w:tcPr>
            <w:tcW w:type="dxa" w:w="2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C74634"/>
                <w:sz w:val="16"/>
                <w:szCs w:val="16"/>
              </w:rPr>
              <w:t xml:space="preserve">H (VH for trading ops)</w:t>
            </w:r>
          </w:p>
        </w:tc>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Ph6 DM + Ph3 Build</w:t>
            </w:r>
          </w:p>
        </w:tc>
      </w:tr>
      <w:tr>
        <w:tc>
          <w:tcPr>
            <w:tcW w:type="dxa" w:w="2200"/>
            <w:shd w:fill="F3E5F5"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6A1B9A"/>
                <w:sz w:val="16"/>
                <w:szCs w:val="16"/>
              </w:rPr>
              <w:t xml:space="preserve">Public Sector</w:t>
            </w:r>
          </w:p>
        </w:tc>
        <w:tc>
          <w:tcPr>
            <w:tcW w:type="dxa" w:w="1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+30–50%</w:t>
            </w:r>
          </w:p>
        </w:tc>
        <w:tc>
          <w:tcPr>
            <w:tcW w:type="dxa" w:w="4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Gov accounting + decision-making pace</w:t>
            </w:r>
          </w:p>
        </w:tc>
        <w:tc>
          <w:tcPr>
            <w:tcW w:type="dxa" w:w="2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C74634"/>
                <w:sz w:val="16"/>
                <w:szCs w:val="16"/>
              </w:rPr>
              <w:t xml:space="preserve">H mandatory</w:t>
            </w:r>
          </w:p>
        </w:tc>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Ph1–Ph2 + Ph7 OCM</w:t>
            </w:r>
          </w:p>
        </w:tc>
      </w:tr>
      <w:tr>
        <w:tc>
          <w:tcPr>
            <w:tcW w:type="dxa" w:w="2200"/>
            <w:shd w:fill="E0F7FA"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006064"/>
                <w:sz w:val="16"/>
                <w:szCs w:val="16"/>
              </w:rPr>
              <w:t xml:space="preserve">Professional Services</w:t>
            </w:r>
          </w:p>
        </w:tc>
        <w:tc>
          <w:tcPr>
            <w:tcW w:type="dxa" w:w="1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+20–35%</w:t>
            </w:r>
          </w:p>
        </w:tc>
        <w:tc>
          <w:tcPr>
            <w:tcW w:type="dxa" w:w="4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Oracle Projects + IFRS 15</w:t>
            </w:r>
          </w:p>
        </w:tc>
        <w:tc>
          <w:tcPr>
            <w:tcW w:type="dxa" w:w="2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M–H</w:t>
            </w:r>
          </w:p>
        </w:tc>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Ph3 Build + Ph2 Design</w:t>
            </w:r>
          </w:p>
        </w:tc>
      </w:tr>
      <w:tr>
        <w:tc>
          <w:tcPr>
            <w:tcW w:type="dxa" w:w="2200"/>
            <w:shd w:fill="FFFDE7" w:color="auto" w:val="clear"/>
            <w:tcMar>
              <w:top w:type="dxa" w:w="50"/>
              <w:left w:type="dxa" w:w="80"/>
              <w:bottom w:type="dxa" w:w="50"/>
              <w:right w:type="dxa" w:w="80"/>
            </w:tcMar>
            <w:vAlign w:val="center"/>
          </w:tcPr>
          <w:p>
            <w:pPr>
              <w:spacing w:after="45" w:before="45"/>
              <w:jc w:val="left"/>
            </w:pPr>
            <w:r>
              <w:rPr>
                <w:rFonts w:ascii="Arial" w:cs="Arial" w:eastAsia="Arial" w:hAnsi="Arial"/>
                <w:b/>
                <w:bCs/>
                <w:i w:val="false"/>
                <w:iCs w:val="false"/>
                <w:color w:val="7B5E00"/>
                <w:sz w:val="16"/>
                <w:szCs w:val="16"/>
              </w:rPr>
              <w:t xml:space="preserve">Logistics &amp; SCM</w:t>
            </w:r>
          </w:p>
        </w:tc>
        <w:tc>
          <w:tcPr>
            <w:tcW w:type="dxa" w:w="1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+30–50%</w:t>
            </w:r>
          </w:p>
        </w:tc>
        <w:tc>
          <w:tcPr>
            <w:tcW w:type="dxa" w:w="4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Carrier/3PL integration count</w:t>
            </w:r>
          </w:p>
        </w:tc>
        <w:tc>
          <w:tcPr>
            <w:tcW w:type="dxa" w:w="2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C74634"/>
                <w:sz w:val="16"/>
                <w:szCs w:val="16"/>
              </w:rPr>
              <w:t xml:space="preserve">H (VH for global)</w:t>
            </w:r>
          </w:p>
        </w:tc>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Ph4 SIT (3PL/carrier)</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20"/>
      </w:pPr>
      <w:r>
        <w:rPr>
          <w:rFonts w:ascii="Arial" w:cs="Arial" w:eastAsia="Arial" w:hAnsi="Arial"/>
          <w:b/>
          <w:bCs/>
          <w:i w:val="false"/>
          <w:iCs w:val="false"/>
          <w:color w:val="C74634"/>
          <w:sz w:val="22"/>
          <w:szCs w:val="22"/>
        </w:rPr>
        <w:t xml:space="preserve">SDLC Phase Adjustment Reference — All Domains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100"/>
        <w:gridCol w:w="1100"/>
        <w:gridCol w:w="1100"/>
        <w:gridCol w:w="1100"/>
        <w:gridCol w:w="1100"/>
        <w:gridCol w:w="1100"/>
      </w:tblGrid>
      <w:tr>
        <w:trPr>
          <w:tblHeader/>
        </w:trPr>
        <w:tc>
          <w:tcPr>
            <w:tcW w:type="dxa" w:w="2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Phase</w:t>
            </w:r>
          </w:p>
        </w:tc>
        <w:tc>
          <w:tcPr>
            <w:tcW w:type="dxa" w:w="11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Generic</w:t>
            </w:r>
          </w:p>
        </w:tc>
        <w:tc>
          <w:tcPr>
            <w:tcW w:type="dxa" w:w="11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BFSI</w:t>
            </w:r>
          </w:p>
        </w:tc>
        <w:tc>
          <w:tcPr>
            <w:tcW w:type="dxa" w:w="11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Mfg</w:t>
            </w:r>
          </w:p>
        </w:tc>
        <w:tc>
          <w:tcPr>
            <w:tcW w:type="dxa" w:w="11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Retail</w:t>
            </w:r>
          </w:p>
        </w:tc>
        <w:tc>
          <w:tcPr>
            <w:tcW w:type="dxa" w:w="11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HC/LS</w:t>
            </w:r>
          </w:p>
        </w:tc>
        <w:tc>
          <w:tcPr>
            <w:tcW w:type="dxa" w:w="11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Energy</w:t>
            </w:r>
          </w:p>
        </w:tc>
        <w:tc>
          <w:tcPr>
            <w:tcW w:type="dxa" w:w="11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PubSec</w:t>
            </w:r>
          </w:p>
        </w:tc>
        <w:tc>
          <w:tcPr>
            <w:tcW w:type="dxa" w:w="11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PS</w:t>
            </w:r>
          </w:p>
        </w:tc>
        <w:tc>
          <w:tcPr>
            <w:tcW w:type="dxa" w:w="11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Logistics</w:t>
            </w:r>
          </w:p>
        </w:tc>
      </w:tr>
      <w:tr>
        <w:tc>
          <w:tcPr>
            <w:tcW w:type="dxa" w:w="2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Inception</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r>
      <w:tr>
        <w:tc>
          <w:tcPr>
            <w:tcW w:type="dxa" w:w="2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Discover</w:t>
            </w:r>
          </w:p>
        </w:tc>
        <w:tc>
          <w:tcPr>
            <w:tcW w:type="dxa" w:w="11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18%</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14%</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15%</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14%</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18%</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r>
      <w:tr>
        <w:tc>
          <w:tcPr>
            <w:tcW w:type="dxa" w:w="2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Design</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18%</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24%</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20%</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20%</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24%</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22%</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24%</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20%</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18%</w:t>
            </w:r>
          </w:p>
        </w:tc>
      </w:tr>
      <w:tr>
        <w:tc>
          <w:tcPr>
            <w:tcW w:type="dxa" w:w="2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Build</w:t>
            </w:r>
          </w:p>
        </w:tc>
        <w:tc>
          <w:tcPr>
            <w:tcW w:type="dxa" w:w="11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32%</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35%</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30%</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32%</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28%</w:t>
            </w:r>
          </w:p>
        </w:tc>
      </w:tr>
      <w:tr>
        <w:tc>
          <w:tcPr>
            <w:tcW w:type="dxa" w:w="2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Integration/SIT</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16%</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15%</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15%</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14%</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14%</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12%</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18%</w:t>
            </w:r>
          </w:p>
        </w:tc>
      </w:tr>
      <w:tr>
        <w:tc>
          <w:tcPr>
            <w:tcW w:type="dxa" w:w="2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UAT</w:t>
            </w:r>
          </w:p>
        </w:tc>
        <w:tc>
          <w:tcPr>
            <w:tcW w:type="dxa" w:w="11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10%</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9%</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12%</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10%</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9%</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9%</w:t>
            </w:r>
          </w:p>
        </w:tc>
      </w:tr>
      <w:tr>
        <w:tc>
          <w:tcPr>
            <w:tcW w:type="dxa" w:w="2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Data Migration</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100"/>
            <w:shd w:fill="E8F5E9"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2E7D32"/>
                <w:sz w:val="16"/>
                <w:szCs w:val="16"/>
              </w:rPr>
              <w:t xml:space="preserve">6%</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12%</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9%</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10%</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14%</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8%</w:t>
            </w:r>
          </w:p>
        </w:tc>
        <w:tc>
          <w:tcPr>
            <w:tcW w:type="dxa" w:w="1100"/>
            <w:shd w:fill="E8F5E9"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2E7D32"/>
                <w:sz w:val="16"/>
                <w:szCs w:val="16"/>
              </w:rPr>
              <w:t xml:space="preserve">7%</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10%</w:t>
            </w:r>
          </w:p>
        </w:tc>
      </w:tr>
      <w:tr>
        <w:tc>
          <w:tcPr>
            <w:tcW w:type="dxa" w:w="2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Training/OCM</w:t>
            </w:r>
          </w:p>
        </w:tc>
        <w:tc>
          <w:tcPr>
            <w:tcW w:type="dxa" w:w="11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6%</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DECEA"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C74634"/>
                <w:sz w:val="16"/>
                <w:szCs w:val="16"/>
              </w:rPr>
              <w:t xml:space="preserve">9%</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5%</w:t>
            </w:r>
          </w:p>
        </w:tc>
      </w:tr>
      <w:tr>
        <w:tc>
          <w:tcPr>
            <w:tcW w:type="dxa" w:w="2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Go-Live</w:t>
            </w:r>
          </w:p>
        </w:tc>
        <w:tc>
          <w:tcPr>
            <w:tcW w:type="dxa" w:w="1100"/>
            <w:shd w:fill="F2F2F2"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3%</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3%</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3%</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3%</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3%</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3%</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3%</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3%</w:t>
            </w:r>
          </w:p>
        </w:tc>
      </w:tr>
      <w:tr>
        <w:tc>
          <w:tcPr>
            <w:tcW w:type="dxa" w:w="2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Hypercare</w:t>
            </w:r>
          </w:p>
        </w:tc>
        <w:tc>
          <w:tcPr>
            <w:tcW w:type="dxa" w:w="1100"/>
            <w:shd w:fill="FFFFFF"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424242"/>
                <w:sz w:val="16"/>
                <w:szCs w:val="16"/>
              </w:rPr>
              <w:t xml:space="preserve">2%</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3%</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4%</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3%</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4%</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4%</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4%</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3%</w:t>
            </w:r>
          </w:p>
        </w:tc>
        <w:tc>
          <w:tcPr>
            <w:tcW w:type="dxa" w:w="1100"/>
            <w:shd w:fill="FFFDE7" w:color="auto" w:val="clear"/>
            <w:tcMar>
              <w:top w:type="dxa" w:w="50"/>
              <w:left w:type="dxa" w:w="80"/>
              <w:bottom w:type="dxa" w:w="50"/>
              <w:right w:type="dxa" w:w="80"/>
            </w:tcMar>
            <w:vAlign w:val="center"/>
          </w:tcPr>
          <w:p>
            <w:pPr>
              <w:spacing w:after="45" w:before="45"/>
              <w:jc w:val="center"/>
            </w:pPr>
            <w:r>
              <w:rPr>
                <w:rFonts w:ascii="Arial" w:cs="Arial" w:eastAsia="Arial" w:hAnsi="Arial"/>
                <w:b w:val="false"/>
                <w:bCs w:val="false"/>
                <w:i w:val="false"/>
                <w:iCs w:val="false"/>
                <w:color w:val="F5A623"/>
                <w:sz w:val="16"/>
                <w:szCs w:val="16"/>
              </w:rPr>
              <w:t xml:space="preserve">4%</w:t>
            </w:r>
          </w:p>
        </w:tc>
      </w:tr>
      <w:tr>
        <w:tc>
          <w:tcPr>
            <w:tcW w:type="dxa" w:w="2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TOTAL</w:t>
            </w:r>
          </w:p>
        </w:tc>
        <w:tc>
          <w:tcPr>
            <w:tcW w:type="dxa" w:w="1100"/>
            <w:shd w:fill="1A237E"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FFFFF"/>
                <w:sz w:val="16"/>
                <w:szCs w:val="16"/>
              </w:rPr>
              <w:t xml:space="preserve">100%</w:t>
            </w:r>
          </w:p>
        </w:tc>
        <w:tc>
          <w:tcPr>
            <w:tcW w:type="dxa" w:w="1100"/>
            <w:shd w:fill="1A237E"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FFFFF"/>
                <w:sz w:val="16"/>
                <w:szCs w:val="16"/>
              </w:rPr>
              <w:t xml:space="preserve">122%</w:t>
            </w:r>
          </w:p>
        </w:tc>
        <w:tc>
          <w:tcPr>
            <w:tcW w:type="dxa" w:w="1100"/>
            <w:shd w:fill="1A237E"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FFFFF"/>
                <w:sz w:val="16"/>
                <w:szCs w:val="16"/>
              </w:rPr>
              <w:t xml:space="preserve">122%</w:t>
            </w:r>
          </w:p>
        </w:tc>
        <w:tc>
          <w:tcPr>
            <w:tcW w:type="dxa" w:w="1100"/>
            <w:shd w:fill="1A237E"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FFFFF"/>
                <w:sz w:val="16"/>
                <w:szCs w:val="16"/>
              </w:rPr>
              <w:t xml:space="preserve">109%</w:t>
            </w:r>
          </w:p>
        </w:tc>
        <w:tc>
          <w:tcPr>
            <w:tcW w:type="dxa" w:w="1100"/>
            <w:shd w:fill="1A237E"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FFFFF"/>
                <w:sz w:val="16"/>
                <w:szCs w:val="16"/>
              </w:rPr>
              <w:t xml:space="preserve">120%</w:t>
            </w:r>
          </w:p>
        </w:tc>
        <w:tc>
          <w:tcPr>
            <w:tcW w:type="dxa" w:w="1100"/>
            <w:shd w:fill="1A237E"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FFFFF"/>
                <w:sz w:val="16"/>
                <w:szCs w:val="16"/>
              </w:rPr>
              <w:t xml:space="preserve">119%</w:t>
            </w:r>
          </w:p>
        </w:tc>
        <w:tc>
          <w:tcPr>
            <w:tcW w:type="dxa" w:w="1100"/>
            <w:shd w:fill="1A237E"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FFFFF"/>
                <w:sz w:val="16"/>
                <w:szCs w:val="16"/>
              </w:rPr>
              <w:t xml:space="preserve">121%</w:t>
            </w:r>
          </w:p>
        </w:tc>
        <w:tc>
          <w:tcPr>
            <w:tcW w:type="dxa" w:w="1100"/>
            <w:shd w:fill="1A237E"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FFFFF"/>
                <w:sz w:val="16"/>
                <w:szCs w:val="16"/>
              </w:rPr>
              <w:t xml:space="preserve">108%</w:t>
            </w:r>
          </w:p>
        </w:tc>
        <w:tc>
          <w:tcPr>
            <w:tcW w:type="dxa" w:w="1100"/>
            <w:shd w:fill="1A237E" w:color="auto" w:val="clear"/>
            <w:tcMar>
              <w:top w:type="dxa" w:w="50"/>
              <w:left w:type="dxa" w:w="80"/>
              <w:bottom w:type="dxa" w:w="50"/>
              <w:right w:type="dxa" w:w="80"/>
            </w:tcMar>
            <w:vAlign w:val="center"/>
          </w:tcPr>
          <w:p>
            <w:pPr>
              <w:spacing w:after="45" w:before="45"/>
              <w:jc w:val="center"/>
            </w:pPr>
            <w:r>
              <w:rPr>
                <w:rFonts w:ascii="Arial" w:cs="Arial" w:eastAsia="Arial" w:hAnsi="Arial"/>
                <w:b/>
                <w:bCs/>
                <w:i w:val="false"/>
                <w:iCs w:val="false"/>
                <w:color w:val="FFFFFF"/>
                <w:sz w:val="16"/>
                <w:szCs w:val="16"/>
              </w:rPr>
              <w:t xml:space="preserve">112%</w:t>
            </w:r>
          </w:p>
        </w:tc>
      </w:tr>
    </w:tbl>
    <w:p>
      <w:pPr>
        <w:spacing w:after="80" w:before="0"/>
        <w:jc w:val="left"/>
      </w:pPr>
      <w:r>
        <w:rPr>
          <w:rFonts w:ascii="Arial" w:cs="Arial" w:eastAsia="Arial" w:hAnsi="Arial"/>
          <w:b w:val="false"/>
          <w:bCs w:val="false"/>
          <w:i/>
          <w:iCs/>
          <w:color w:val="757575"/>
          <w:sz w:val="15"/>
          <w:szCs w:val="15"/>
        </w:rPr>
        <w:t xml:space="preserve">Red = significantly above standard | Amber = moderately above | Green = below standard | Grey = aligned</w:t>
      </w:r>
    </w:p>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20"/>
      </w:pPr>
      <w:r>
        <w:rPr>
          <w:rFonts w:ascii="Arial" w:cs="Arial" w:eastAsia="Arial" w:hAnsi="Arial"/>
          <w:b/>
          <w:bCs/>
          <w:i w:val="false"/>
          <w:iCs w:val="false"/>
          <w:color w:val="C74634"/>
          <w:sz w:val="22"/>
          <w:szCs w:val="22"/>
        </w:rPr>
        <w:t xml:space="preserve">Minimum Integration Count Reference — Domain Benchmarks</w:t>
      </w:r>
    </w:p>
    <w:p>
      <w:pPr>
        <w:spacing w:after="100" w:before="0"/>
        <w:jc w:val="left"/>
      </w:pPr>
      <w:r>
        <w:rPr>
          <w:rFonts w:ascii="Arial" w:cs="Arial" w:eastAsia="Arial" w:hAnsi="Arial"/>
          <w:b w:val="false"/>
          <w:bCs w:val="false"/>
          <w:i/>
          <w:iCs/>
          <w:color w:val="757575"/>
          <w:sz w:val="17"/>
          <w:szCs w:val="17"/>
        </w:rPr>
        <w:t xml:space="preserve">Always validate client-stated integration counts against these domain minimums before finalising an estimate. Client-stated counts are typically 40–60% of actual implementation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00"/>
        <w:gridCol w:w="2600"/>
      </w:tblGrid>
      <w:tr>
        <w:trPr>
          <w:tblHeader/>
        </w:trPr>
        <w:tc>
          <w:tcPr>
            <w:tcW w:type="dxa" w:w="2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Domain</w:t>
            </w:r>
          </w:p>
        </w:tc>
        <w:tc>
          <w:tcPr>
            <w:tcW w:type="dxa" w:w="2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Minimum Simple Integ</w:t>
            </w:r>
          </w:p>
        </w:tc>
        <w:tc>
          <w:tcPr>
            <w:tcW w:type="dxa" w:w="2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Minimum Complex Integ</w:t>
            </w:r>
          </w:p>
        </w:tc>
        <w:tc>
          <w:tcPr>
            <w:tcW w:type="dxa" w:w="2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Typical Total</w:t>
            </w:r>
          </w:p>
        </w:tc>
        <w:tc>
          <w:tcPr>
            <w:tcW w:type="dxa" w:w="2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Highest-Risk Interface</w:t>
            </w:r>
          </w:p>
        </w:tc>
      </w:tr>
      <w:tr>
        <w:tc>
          <w:tcPr>
            <w:tcW w:type="dxa" w:w="2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BFSI</w:t>
            </w:r>
          </w:p>
        </w:tc>
        <w:tc>
          <w:tcPr>
            <w:tcW w:type="dxa" w:w="2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12</w:t>
            </w:r>
          </w:p>
        </w:tc>
        <w:tc>
          <w:tcPr>
            <w:tcW w:type="dxa" w:w="2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8</w:t>
            </w:r>
          </w:p>
        </w:tc>
        <w:tc>
          <w:tcPr>
            <w:tcW w:type="dxa" w:w="2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20–40</w:t>
            </w:r>
          </w:p>
        </w:tc>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Core banking (Temenos/Finacle/FIS)</w:t>
            </w:r>
          </w:p>
        </w:tc>
      </w:tr>
      <w:tr>
        <w:tc>
          <w:tcPr>
            <w:tcW w:type="dxa" w:w="2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Manufacturing</w:t>
            </w:r>
          </w:p>
        </w:tc>
        <w:tc>
          <w:tcPr>
            <w:tcW w:type="dxa" w:w="2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15</w:t>
            </w:r>
          </w:p>
        </w:tc>
        <w:tc>
          <w:tcPr>
            <w:tcW w:type="dxa" w:w="2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10</w:t>
            </w:r>
          </w:p>
        </w:tc>
        <w:tc>
          <w:tcPr>
            <w:tcW w:type="dxa" w:w="2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25–50</w:t>
            </w:r>
          </w:p>
        </w:tc>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MES (per plant)</w:t>
            </w:r>
          </w:p>
        </w:tc>
      </w:tr>
      <w:tr>
        <w:tc>
          <w:tcPr>
            <w:tcW w:type="dxa" w:w="2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Retail &amp; CPG</w:t>
            </w:r>
          </w:p>
        </w:tc>
        <w:tc>
          <w:tcPr>
            <w:tcW w:type="dxa" w:w="2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15</w:t>
            </w:r>
          </w:p>
        </w:tc>
        <w:tc>
          <w:tcPr>
            <w:tcW w:type="dxa" w:w="2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5</w:t>
            </w:r>
          </w:p>
        </w:tc>
        <w:tc>
          <w:tcPr>
            <w:tcW w:type="dxa" w:w="2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20–35</w:t>
            </w:r>
          </w:p>
        </w:tc>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POS GL summarisation</w:t>
            </w:r>
          </w:p>
        </w:tc>
      </w:tr>
      <w:tr>
        <w:tc>
          <w:tcPr>
            <w:tcW w:type="dxa" w:w="2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Healthcare</w:t>
            </w:r>
          </w:p>
        </w:tc>
        <w:tc>
          <w:tcPr>
            <w:tcW w:type="dxa" w:w="2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8</w:t>
            </w:r>
          </w:p>
        </w:tc>
        <w:tc>
          <w:tcPr>
            <w:tcW w:type="dxa" w:w="2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5</w:t>
            </w:r>
          </w:p>
        </w:tc>
        <w:tc>
          <w:tcPr>
            <w:tcW w:type="dxa" w:w="2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13–30</w:t>
            </w:r>
          </w:p>
        </w:tc>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EMR/EHR (Epic/Cerner)</w:t>
            </w:r>
          </w:p>
        </w:tc>
      </w:tr>
      <w:tr>
        <w:tc>
          <w:tcPr>
            <w:tcW w:type="dxa" w:w="2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Energy &amp; Utilities</w:t>
            </w:r>
          </w:p>
        </w:tc>
        <w:tc>
          <w:tcPr>
            <w:tcW w:type="dxa" w:w="2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10</w:t>
            </w:r>
          </w:p>
        </w:tc>
        <w:tc>
          <w:tcPr>
            <w:tcW w:type="dxa" w:w="2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8</w:t>
            </w:r>
          </w:p>
        </w:tc>
        <w:tc>
          <w:tcPr>
            <w:tcW w:type="dxa" w:w="2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18–35</w:t>
            </w:r>
          </w:p>
        </w:tc>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ETRM (Openlink/Triple Point)</w:t>
            </w:r>
          </w:p>
        </w:tc>
      </w:tr>
      <w:tr>
        <w:tc>
          <w:tcPr>
            <w:tcW w:type="dxa" w:w="2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Public Sector</w:t>
            </w:r>
          </w:p>
        </w:tc>
        <w:tc>
          <w:tcPr>
            <w:tcW w:type="dxa" w:w="2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8</w:t>
            </w:r>
          </w:p>
        </w:tc>
        <w:tc>
          <w:tcPr>
            <w:tcW w:type="dxa" w:w="2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4</w:t>
            </w:r>
          </w:p>
        </w:tc>
        <w:tc>
          <w:tcPr>
            <w:tcW w:type="dxa" w:w="2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12–23</w:t>
            </w:r>
          </w:p>
        </w:tc>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Parliamentary/Treasury reporting</w:t>
            </w:r>
          </w:p>
        </w:tc>
      </w:tr>
      <w:tr>
        <w:tc>
          <w:tcPr>
            <w:tcW w:type="dxa" w:w="2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Professional Services</w:t>
            </w:r>
          </w:p>
        </w:tc>
        <w:tc>
          <w:tcPr>
            <w:tcW w:type="dxa" w:w="2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8</w:t>
            </w:r>
          </w:p>
        </w:tc>
        <w:tc>
          <w:tcPr>
            <w:tcW w:type="dxa" w:w="2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4</w:t>
            </w:r>
          </w:p>
        </w:tc>
        <w:tc>
          <w:tcPr>
            <w:tcW w:type="dxa" w:w="2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12–21</w:t>
            </w:r>
          </w:p>
        </w:tc>
        <w:tc>
          <w:tcPr>
            <w:tcW w:type="dxa" w:w="2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CRM (Salesforce) opportunity lifecycle</w:t>
            </w:r>
          </w:p>
        </w:tc>
      </w:tr>
      <w:tr>
        <w:tc>
          <w:tcPr>
            <w:tcW w:type="dxa" w:w="2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Logistics &amp; SCM</w:t>
            </w:r>
          </w:p>
        </w:tc>
        <w:tc>
          <w:tcPr>
            <w:tcW w:type="dxa" w:w="2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20</w:t>
            </w:r>
          </w:p>
        </w:tc>
        <w:tc>
          <w:tcPr>
            <w:tcW w:type="dxa" w:w="2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10</w:t>
            </w:r>
          </w:p>
        </w:tc>
        <w:tc>
          <w:tcPr>
            <w:tcW w:type="dxa" w:w="2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30–70</w:t>
            </w:r>
          </w:p>
        </w:tc>
        <w:tc>
          <w:tcPr>
            <w:tcW w:type="dxa" w:w="2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TMS + carrier API network</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r>
        <w:br w:type="page"/>
      </w:r>
    </w:p>
    <w:p>
      <w:pPr>
        <w:pStyle w:val="Heading1"/>
        <w:pBdr>
          <w:bottom w:val="single" w:color="C74634" w:sz="8"/>
        </w:pBdr>
        <w:spacing w:after="120" w:before="300"/>
      </w:pPr>
      <w:r>
        <w:rPr>
          <w:rFonts w:ascii="Arial" w:cs="Arial" w:eastAsia="Arial" w:hAnsi="Arial"/>
          <w:b/>
          <w:bCs/>
          <w:i w:val="false"/>
          <w:iCs w:val="false"/>
          <w:color w:val="8B0000"/>
          <w:sz w:val="28"/>
          <w:szCs w:val="28"/>
        </w:rPr>
        <w:t xml:space="preserve">Applying This Point of View — A Practical Checklist</w:t>
      </w:r>
    </w:p>
    <w:p>
      <w:pPr>
        <w:spacing w:after="100" w:before="0"/>
        <w:jc w:val="left"/>
      </w:pPr>
      <w:r>
        <w:rPr>
          <w:rFonts w:ascii="Arial" w:cs="Arial" w:eastAsia="Arial" w:hAnsi="Arial"/>
          <w:b w:val="false"/>
          <w:bCs w:val="false"/>
          <w:i w:val="false"/>
          <w:iCs w:val="false"/>
          <w:color w:val="000000"/>
          <w:sz w:val="18"/>
          <w:szCs w:val="18"/>
        </w:rPr>
        <w:t xml:space="preserve">Before opening the HL Estimator for any Oracle Fusion engagement, the estimator should complete the following five-question domain qualification. The answers determine which domain adjustments to apply before the first module row is filled in.</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600"/>
        <w:gridCol w:w="4000"/>
      </w:tblGrid>
      <w:tr>
        <w:trPr>
          <w:tblHeader/>
        </w:trPr>
        <w:tc>
          <w:tcPr>
            <w:tcW w:type="dxa" w:w="4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w:t>
            </w:r>
          </w:p>
        </w:tc>
        <w:tc>
          <w:tcPr>
            <w:tcW w:type="dxa" w:w="32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Question</w:t>
            </w:r>
          </w:p>
        </w:tc>
        <w:tc>
          <w:tcPr>
            <w:tcW w:type="dxa" w:w="36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What the Answer Tells You</w:t>
            </w:r>
          </w:p>
        </w:tc>
        <w:tc>
          <w:tcPr>
            <w:tcW w:type="dxa" w:w="4000"/>
            <w:shd w:fill="424242" w:color="auto" w:val="clear"/>
            <w:tcMar>
              <w:top w:type="dxa" w:w="60"/>
              <w:left w:type="dxa" w:w="80"/>
              <w:bottom w:type="dxa" w:w="60"/>
              <w:right w:type="dxa" w:w="80"/>
            </w:tcMar>
            <w:vAlign w:val="center"/>
          </w:tcPr>
          <w:p>
            <w:pPr>
              <w:spacing w:after="50" w:before="50"/>
              <w:jc w:val="center"/>
            </w:pPr>
            <w:r>
              <w:rPr>
                <w:rFonts w:ascii="Arial" w:cs="Arial" w:eastAsia="Arial" w:hAnsi="Arial"/>
                <w:b/>
                <w:bCs/>
                <w:i w:val="false"/>
                <w:iCs w:val="false"/>
                <w:color w:val="FFFFFF"/>
                <w:sz w:val="16"/>
                <w:szCs w:val="16"/>
              </w:rPr>
              <w:t xml:space="preserve">Estimation Action</w:t>
            </w:r>
          </w:p>
        </w:tc>
      </w:tr>
      <w:tr>
        <w:tc>
          <w:tcPr>
            <w:tcW w:type="dxa" w:w="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1</w:t>
            </w:r>
          </w:p>
        </w:tc>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What is the client's primary industry and what regulatory regime does it operate under?</w:t>
            </w:r>
          </w:p>
        </w:tc>
        <w:tc>
          <w:tcPr>
            <w:tcW w:type="dxa" w:w="3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Determines minimum complexity floor and identifies mandatory compliance workstreams (regulatory config, CSV, government accounting)</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Apply domain minimum CX floor. Add regulatory/compliance workstreams from domain section above.</w:t>
            </w:r>
          </w:p>
        </w:tc>
      </w:tr>
      <w:tr>
        <w:tc>
          <w:tcPr>
            <w:tcW w:type="dxa" w:w="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2</w:t>
            </w:r>
          </w:p>
        </w:tc>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How many legal entities, countries, and currencies are in scope?</w:t>
            </w:r>
          </w:p>
        </w:tc>
        <w:tc>
          <w:tcPr>
            <w:tcW w:type="dxa" w:w="3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Legal entity count is the single strongest predictor of GL, intercompany, and consolidation complexity beyond the module level</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Apply 18 days per entity beyond 3 for FCCS/intercompany. Escalate CX to VH if &gt;10 entities with complex eliminations.</w:t>
            </w:r>
          </w:p>
        </w:tc>
      </w:tr>
      <w:tr>
        <w:tc>
          <w:tcPr>
            <w:tcW w:type="dxa" w:w="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3</w:t>
            </w:r>
          </w:p>
        </w:tc>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Walk me through your technology integration landscape — what systems talk to Oracle Fusion and how?</w:t>
            </w:r>
          </w:p>
        </w:tc>
        <w:tc>
          <w:tcPr>
            <w:tcW w:type="dxa" w:w="3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Domain-specific systems (core banking, MES, EMR, TMS) are the most underestimated items in every estimate</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Validate client-stated integration count against domain minimum. Apply domain integration multiplier. Request IT architecture diagram.</w:t>
            </w:r>
          </w:p>
        </w:tc>
      </w:tr>
      <w:tr>
        <w:tc>
          <w:tcPr>
            <w:tcW w:type="dxa" w:w="4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4</w:t>
            </w:r>
          </w:p>
        </w:tc>
        <w:tc>
          <w:tcPr>
            <w:tcW w:type="dxa" w:w="32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Where does your source data live and what is its condition?</w:t>
            </w:r>
          </w:p>
        </w:tc>
        <w:tc>
          <w:tcPr>
            <w:tcW w:type="dxa" w:w="36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Data migration complexity and trial load count are the second most consistently underestimated dimension after integrations</w:t>
            </w:r>
          </w:p>
        </w:tc>
        <w:tc>
          <w:tcPr>
            <w:tcW w:type="dxa" w:w="4000"/>
            <w:shd w:fill="FFFFFF"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Apply domain-specific DM uplift (see domain sections). For asset-heavy and multi-system clients, multiply standard DM estimate by 1.5–2.5×.</w:t>
            </w:r>
          </w:p>
        </w:tc>
      </w:tr>
      <w:tr>
        <w:tc>
          <w:tcPr>
            <w:tcW w:type="dxa" w:w="4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5</w:t>
            </w:r>
          </w:p>
        </w:tc>
        <w:tc>
          <w:tcPr>
            <w:tcW w:type="dxa" w:w="32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What is the go-live date and why — is it driven by business readiness or an external constraint (fiscal year, regulatory deadline, seasonal)?</w:t>
            </w:r>
          </w:p>
        </w:tc>
        <w:tc>
          <w:tcPr>
            <w:tcW w:type="dxa" w:w="36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Externally constrained go-live dates compress SIT and UAT, increasing overrun risk in those phases proportionally</w:t>
            </w:r>
          </w:p>
        </w:tc>
        <w:tc>
          <w:tcPr>
            <w:tcW w:type="dxa" w:w="4000"/>
            <w:shd w:fill="F2F2F2" w:color="auto" w:val="clear"/>
            <w:tcMar>
              <w:top w:type="dxa" w:w="50"/>
              <w:left w:type="dxa" w:w="80"/>
              <w:bottom w:type="dxa" w:w="50"/>
              <w:right w:type="dxa" w:w="80"/>
            </w:tcMar>
            <w:vAlign w:val="center"/>
          </w:tcPr>
          <w:p>
            <w:pPr>
              <w:spacing w:after="45" w:before="45"/>
              <w:jc w:val="left"/>
            </w:pPr>
            <w:r>
              <w:rPr>
                <w:rFonts w:ascii="Arial" w:cs="Arial" w:eastAsia="Arial" w:hAnsi="Arial"/>
                <w:b w:val="false"/>
                <w:bCs w:val="false"/>
                <w:i w:val="false"/>
                <w:iCs w:val="false"/>
                <w:color w:val="424242"/>
                <w:sz w:val="16"/>
                <w:szCs w:val="16"/>
              </w:rPr>
              <w:t xml:space="preserve">If constrained: add 15–20% to SIT/UAT estimates. Build contingency plan for a deferred go-live — some clients need to hear this early.</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C74634" w:color="auto" w:val="clear"/>
            <w:tcMar>
              <w:top w:type="dxa" w:w="70"/>
              <w:left w:type="dxa" w:w="130"/>
              <w:bottom w:type="dxa" w:w="70"/>
              <w:right w:type="dxa" w:w="120"/>
            </w:tcMar>
          </w:tcPr>
          <w:p>
            <w:pPr>
              <w:spacing w:after="60" w:before="60"/>
              <w:ind w:left="80"/>
            </w:pPr>
            <w:r>
              <w:rPr>
                <w:rFonts w:ascii="Arial" w:cs="Arial" w:eastAsia="Arial" w:hAnsi="Arial"/>
                <w:b/>
                <w:bCs/>
                <w:i w:val="false"/>
                <w:iCs w:val="false"/>
                <w:color w:val="FFFFFF"/>
                <w:sz w:val="19"/>
                <w:szCs w:val="19"/>
              </w:rPr>
              <w:t xml:space="preserve">Final Perspective</w:t>
            </w:r>
          </w:p>
        </w:tc>
      </w:tr>
      <w:tr>
        <w:tc>
          <w:tcPr>
            <w:tcW w:type="dxa" w:w="10080"/>
            <w:shd w:fill="FFF3CD" w:color="auto" w:val="clear"/>
            <w:tcMar>
              <w:top w:type="dxa" w:w="90"/>
              <w:left w:type="dxa" w:w="140"/>
              <w:bottom w:type="dxa" w:w="90"/>
              <w:right w:type="dxa" w:w="120"/>
            </w:tcMar>
          </w:tcPr>
          <w:p>
            <w:pPr>
              <w:spacing w:after="70"/>
              <w:ind w:left="80"/>
            </w:pPr>
            <w:r>
              <w:rPr>
                <w:rFonts w:ascii="Arial" w:cs="Arial" w:eastAsia="Arial" w:hAnsi="Arial"/>
                <w:b w:val="false"/>
                <w:bCs w:val="false"/>
                <w:i w:val="false"/>
                <w:iCs w:val="false"/>
                <w:color w:val="424242"/>
                <w:sz w:val="17"/>
                <w:szCs w:val="17"/>
              </w:rPr>
              <w:t xml:space="preserve">Domain context is not a modifier applied at the end of estimation — it is the starting frame that shapes every component estimate.</w:t>
            </w:r>
          </w:p>
          <w:p>
            <w:pPr>
              <w:spacing w:after="70"/>
              <w:ind w:left="80"/>
            </w:pPr>
            <w:r>
              <w:rPr>
                <w:rFonts w:ascii="Arial" w:cs="Arial" w:eastAsia="Arial" w:hAnsi="Arial"/>
                <w:b w:val="false"/>
                <w:bCs w:val="false"/>
                <w:i w:val="false"/>
                <w:iCs w:val="false"/>
                <w:color w:val="424242"/>
                <w:sz w:val="17"/>
                <w:szCs w:val="17"/>
              </w:rPr>
              <w:t xml:space="preserve">The estimator who begins with module count and adds domain adjustments afterward will consistently under-estimate. The estimator who begins with domain context and then builds the module estimate within that frame will produce estimates that survive Design and Build.</w:t>
            </w:r>
          </w:p>
          <w:p>
            <w:pPr>
              <w:spacing w:after="70"/>
              <w:ind w:left="80"/>
            </w:pPr>
            <w:r>
              <w:rPr>
                <w:rFonts w:ascii="Arial" w:cs="Arial" w:eastAsia="Arial" w:hAnsi="Arial"/>
                <w:b w:val="false"/>
                <w:bCs w:val="false"/>
                <w:i w:val="false"/>
                <w:iCs w:val="false"/>
                <w:color w:val="424242"/>
                <w:sz w:val="17"/>
                <w:szCs w:val="17"/>
              </w:rPr>
              <w:t xml:space="preserve">The most expensive estimation errors are not in the wrong module complexity rating — they are in the missed integration, the unscoped regulatory workstream, and the underestimated data migration. All three of these are systematically predicted by domain context.</w:t>
            </w:r>
          </w:p>
          <w:p>
            <w:pPr>
              <w:spacing w:after="70"/>
              <w:ind w:left="80"/>
            </w:pPr>
            <w:r>
              <w:rPr>
                <w:rFonts w:ascii="Arial" w:cs="Arial" w:eastAsia="Arial" w:hAnsi="Arial"/>
                <w:b w:val="false"/>
                <w:bCs w:val="false"/>
                <w:i w:val="false"/>
                <w:iCs w:val="false"/>
                <w:color w:val="424242"/>
                <w:sz w:val="17"/>
                <w:szCs w:val="17"/>
              </w:rPr>
              <w:t xml:space="preserve">Use this Point of View as a pre-estimation checklist, not a post-estimation adjustment tool.</w:t>
            </w:r>
          </w:p>
        </w:tc>
      </w:tr>
    </w:tbl>
    <w:p>
      <w:pPr>
        <w:spacing w:after="60"/>
      </w:pPr>
      <w:r>
        <w:rPr>
          <w:rFonts w:ascii="Arial" w:cs="Arial" w:eastAsia="Arial" w:hAnsi="Arial"/>
          <w:b w:val="false"/>
          <w:bCs w:val="false"/>
          <w:i w:val="false"/>
          <w:iCs w:val="false"/>
          <w:color w:val="000000"/>
          <w:sz w:val="18"/>
          <w:szCs w:val="18"/>
        </w:rPr>
        <w:t xml:space="preserve"/>
      </w:r>
    </w:p>
    <w:p>
      <w:pPr>
        <w:pBdr>
          <w:top w:val="single" w:color="C74634" w:sz="4"/>
        </w:pBdr>
        <w:spacing w:after="60" w:before="200"/>
      </w:pPr>
      <w:r>
        <w:rPr>
          <w:rFonts w:ascii="Arial" w:cs="Arial" w:eastAsia="Arial" w:hAnsi="Arial"/>
          <w:b w:val="false"/>
          <w:bCs w:val="false"/>
          <w:i/>
          <w:iCs/>
          <w:color w:val="757575"/>
          <w:sz w:val="15"/>
          <w:szCs w:val="15"/>
        </w:rPr>
        <w:t xml:space="preserve">Oracle Fusion Estimation CoE  |  OFP-POV-DOMAIN-001 v1.0  |  Point of View: Domain-Specific Oracle Fusion Estimation  |  July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57575" w:sz="4"/>
      </w:pBdr>
      <w:jc w:val="right"/>
    </w:pPr>
    <w:r>
      <w:rPr>
        <w:rFonts w:ascii="Arial" w:cs="Arial" w:eastAsia="Arial" w:hAnsi="Arial"/>
        <w:b w:val="false"/>
        <w:bCs w:val="false"/>
        <w:i w:val="false"/>
        <w:iCs w:val="false"/>
        <w:color w:val="757575"/>
        <w:sz w:val="15"/>
        <w:szCs w:val="15"/>
      </w:rPr>
      <w:t xml:space="preserve">Page </w:t>
    </w:r>
    <w:r>
      <w:rPr>
        <w:rFonts w:ascii="Arial" w:cs="Arial" w:eastAsia="Arial" w:hAnsi="Arial"/>
        <w:color w:val="757575"/>
      </w:rPr>
      <w:fldChar w:fldCharType="begin"/>
      <w:instrText xml:space="preserve">PAGE</w:instrText>
      <w:fldChar w:fldCharType="separate"/>
      <w:fldChar w:fldCharType="end"/>
    </w:r>
    <w:r>
      <w:rPr>
        <w:rFonts w:ascii="Arial" w:cs="Arial" w:eastAsia="Arial" w:hAnsi="Arial"/>
        <w:b w:val="false"/>
        <w:bCs w:val="false"/>
        <w:i w:val="false"/>
        <w:iCs w:val="false"/>
        <w:color w:val="757575"/>
        <w:sz w:val="15"/>
        <w:szCs w:val="15"/>
      </w:rPr>
      <w:t xml:space="preserve"> of </w:t>
    </w:r>
    <w:r>
      <w:rPr>
        <w:rFonts w:ascii="Arial" w:cs="Arial" w:eastAsia="Arial" w:hAnsi="Arial"/>
        <w:color w:val="75757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4634" w:sz="4"/>
      </w:pBdr>
      <w:spacing w:after="80"/>
    </w:pPr>
    <w:r>
      <w:rPr>
        <w:rFonts w:ascii="Arial" w:cs="Arial" w:eastAsia="Arial" w:hAnsi="Arial"/>
        <w:b w:val="false"/>
        <w:bCs w:val="false"/>
        <w:i w:val="false"/>
        <w:iCs w:val="false"/>
        <w:color w:val="757575"/>
        <w:sz w:val="15"/>
        <w:szCs w:val="15"/>
      </w:rPr>
      <w:t xml:space="preserve">Oracle Fusion Estimation CoE  |  OFP-POV-DOMAIN-001</w:t>
    </w:r>
    <w:r>
      <w:rPr>
        <w:rFonts w:ascii="Arial" w:cs="Arial" w:eastAsia="Arial" w:hAnsi="Arial"/>
        <w:b/>
        <w:bCs/>
        <w:i w:val="false"/>
        <w:iCs w:val="false"/>
        <w:color w:val="C74634"/>
        <w:sz w:val="15"/>
        <w:szCs w:val="15"/>
      </w:rPr>
      <w:t xml:space="preserve">          Domain-Specific Estimation — Point of 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 of View: Oracle Fusion Estimation by Industry Domain</dc:title>
  <dc:creator>Oracle Fusion Estimation CoE</dc:creator>
  <cp:lastModifiedBy>Un-named</cp:lastModifiedBy>
  <cp:revision>1</cp:revision>
  <dcterms:created xsi:type="dcterms:W3CDTF">2026-07-23T16:02:40.939Z</dcterms:created>
  <dcterms:modified xsi:type="dcterms:W3CDTF">2026-07-23T16:02:40.952Z</dcterms:modified>
</cp:coreProperties>
</file>

<file path=docProps/custom.xml><?xml version="1.0" encoding="utf-8"?>
<Properties xmlns="http://schemas.openxmlformats.org/officeDocument/2006/custom-properties" xmlns:vt="http://schemas.openxmlformats.org/officeDocument/2006/docPropsVTypes"/>
</file>