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b/>
          <w:bCs/>
          <w:color w:val="E8A020"/>
          <w:sz w:val="22"/>
          <w:szCs w:val="22"/>
        </w:rPr>
        <w:t xml:space="preserve">POINT OF VIEW — ADDENDUM</w:t>
      </w:r>
    </w:p>
    <w:p>
      <w:pPr>
        <w:spacing w:after="0" w:before="200"/>
      </w:pPr>
      <w:r>
        <w:t xml:space="preserve"/>
      </w:r>
    </w:p>
    <w:p>
      <w:pPr>
        <w:jc w:val="center"/>
      </w:pPr>
      <w:r>
        <w:rPr>
          <w:b/>
          <w:bCs/>
          <w:color w:val="1F3F8F"/>
          <w:sz w:val="44"/>
          <w:szCs w:val="44"/>
        </w:rPr>
        <w:t xml:space="preserve">How AI Changes the Way We Estimate</w:t>
      </w:r>
    </w:p>
    <w:p>
      <w:pPr>
        <w:jc w:val="center"/>
      </w:pPr>
      <w:r>
        <w:rPr>
          <w:b/>
          <w:bCs/>
          <w:color w:val="1F3F8F"/>
          <w:sz w:val="44"/>
          <w:szCs w:val="44"/>
        </w:rPr>
        <w:t xml:space="preserve">Oracle Programs</w:t>
      </w:r>
    </w:p>
    <w:p>
      <w:pPr>
        <w:spacing w:after="0" w:before="300"/>
      </w:pPr>
      <w:r>
        <w:t xml:space="preserve"/>
      </w:r>
    </w:p>
    <w:p>
      <w:pPr>
        <w:jc w:val="center"/>
      </w:pPr>
      <w:r>
        <w:rPr>
          <w:color w:val="2E86AB"/>
          <w:sz w:val="22"/>
          <w:szCs w:val="22"/>
        </w:rPr>
        <w:t xml:space="preserve">A methodology-level guide to estimation in the AI era</w:t>
      </w:r>
    </w:p>
    <w:p>
      <w:pPr>
        <w:spacing w:after="0" w:before="400"/>
      </w:pPr>
      <w:r>
        <w:t xml:space="preserve"/>
      </w:r>
    </w:p>
    <w:p>
      <w:pPr>
        <w:jc w:val="center"/>
      </w:pPr>
      <w:r>
        <w:rPr>
          <w:color w:val="555577"/>
          <w:sz w:val="20"/>
          <w:szCs w:val="20"/>
        </w:rPr>
        <w:t xml:space="preserve">Covering Greenfield &amp; Brownfield | Implementation · Upgrade · AMS</w:t>
      </w:r>
    </w:p>
    <w:p>
      <w:pPr>
        <w:pBdr>
          <w:bottom w:val="single" w:color="E8A020" w:sz="6"/>
        </w:pBdr>
        <w:spacing w:after="180" w:before="180"/>
      </w:pPr>
    </w:p>
    <w:p>
      <w:pPr>
        <w:jc w:val="center"/>
      </w:pPr>
      <w:r>
        <w:rPr>
          <w:color w:val="555577"/>
          <w:sz w:val="20"/>
          <w:szCs w:val="20"/>
        </w:rPr>
        <w:t xml:space="preserve">July 2026</w:t>
      </w:r>
    </w:p>
    <w:p>
      <w:r>
        <w:br w:type="page"/>
      </w:r>
    </w:p>
    <w:p>
      <w:pPr>
        <w:pStyle w:val="Heading1"/>
        <w:spacing w:after="100" w:before="400"/>
      </w:pPr>
      <w:r>
        <w:rPr>
          <w:b/>
          <w:bCs/>
          <w:color w:val="1F3F8F"/>
          <w:sz w:val="22"/>
          <w:szCs w:val="22"/>
        </w:rPr>
        <w:t xml:space="preserve">Why Traditional Estimation No Longer Works</w:t>
      </w:r>
    </w:p>
    <w:p>
      <w:pPr>
        <w:spacing w:after="100" w:before="80" w:line="280"/>
      </w:pPr>
      <w:r>
        <w:rPr>
          <w:i w:val="false"/>
          <w:iCs w:val="false"/>
          <w:color w:val="1A1A2E"/>
          <w:sz w:val="20"/>
          <w:szCs w:val="20"/>
        </w:rPr>
        <w:t xml:space="preserve">Traditional Oracle program estimation has, for decades, followed one of three approaches:</w:t>
      </w:r>
    </w:p>
    <w:p>
      <w:pPr>
        <w:spacing w:after="0" w:before="60"/>
      </w:pPr>
      <w:r>
        <w:t xml:space="preserve"/>
      </w:r>
    </w:p>
    <w:p>
      <w:pPr>
        <w:pStyle w:val="ListParagraph"/>
        <w:numPr>
          <w:ilvl w:val="0"/>
          <w:numId w:val="1"/>
        </w:numPr>
        <w:spacing w:after="60" w:before="60"/>
      </w:pPr>
      <w:r>
        <w:rPr>
          <w:b/>
          <w:bCs/>
          <w:color w:val="2E86AB"/>
          <w:sz w:val="20"/>
          <w:szCs w:val="20"/>
        </w:rPr>
        <w:t xml:space="preserve">1.  </w:t>
      </w:r>
      <w:r>
        <w:rPr>
          <w:color w:val="1A1A2E"/>
          <w:sz w:val="20"/>
          <w:szCs w:val="20"/>
        </w:rPr>
        <w:t xml:space="preserve">Activity-Based Estimation (ABE) — decompose work into tasks, assign hours per task based on historical benchmarks, sum to a total.</w:t>
      </w:r>
    </w:p>
    <w:p>
      <w:pPr>
        <w:pStyle w:val="ListParagraph"/>
        <w:numPr>
          <w:ilvl w:val="0"/>
          <w:numId w:val="1"/>
        </w:numPr>
        <w:spacing w:after="60" w:before="60"/>
      </w:pPr>
      <w:r>
        <w:rPr>
          <w:b/>
          <w:bCs/>
          <w:color w:val="2E86AB"/>
          <w:sz w:val="20"/>
          <w:szCs w:val="20"/>
        </w:rPr>
        <w:t xml:space="preserve">2.  </w:t>
      </w:r>
      <w:r>
        <w:rPr>
          <w:color w:val="1A1A2E"/>
          <w:sz w:val="20"/>
          <w:szCs w:val="20"/>
        </w:rPr>
        <w:t xml:space="preserve">Object-Based Estimation (OBE) — count RICE/CEMLI/WRICEF objects, classify by complexity (High / Medium / Low), apply standard hours per type.</w:t>
      </w:r>
    </w:p>
    <w:p>
      <w:pPr>
        <w:pStyle w:val="ListParagraph"/>
        <w:numPr>
          <w:ilvl w:val="0"/>
          <w:numId w:val="1"/>
        </w:numPr>
        <w:spacing w:after="60" w:before="60"/>
      </w:pPr>
      <w:r>
        <w:rPr>
          <w:b/>
          <w:bCs/>
          <w:color w:val="2E86AB"/>
          <w:sz w:val="20"/>
          <w:szCs w:val="20"/>
        </w:rPr>
        <w:t xml:space="preserve">3.  </w:t>
      </w:r>
      <w:r>
        <w:rPr>
          <w:color w:val="1A1A2E"/>
          <w:sz w:val="20"/>
          <w:szCs w:val="20"/>
        </w:rPr>
        <w:t xml:space="preserve">Analogy-Based Estimation — compare to a previous similar program and scale.</w:t>
      </w:r>
    </w:p>
    <w:p>
      <w:pPr>
        <w:spacing w:after="0" w:before="80"/>
      </w:pPr>
      <w:r>
        <w:t xml:space="preserve"/>
      </w:r>
    </w:p>
    <w:p>
      <w:pPr>
        <w:spacing w:after="100" w:before="80" w:line="280"/>
      </w:pPr>
      <w:r>
        <w:rPr>
          <w:i w:val="false"/>
          <w:iCs w:val="false"/>
          <w:color w:val="1A1A2E"/>
          <w:sz w:val="20"/>
          <w:szCs w:val="20"/>
        </w:rPr>
        <w:t xml:space="preserve">All three methods share a core assumption: effort is proportional to the volume of work a human performs. AI breaks this assumption permanently.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The Fundamental Shift</w:t>
            </w:r>
          </w:p>
          <w:p>
            <w:pPr>
              <w:spacing w:after="40" w:before="40" w:line="276"/>
            </w:pPr>
            <w:r>
              <w:rPr>
                <w:color w:val="1A1A2E"/>
                <w:sz w:val="19"/>
                <w:szCs w:val="19"/>
              </w:rPr>
              <w:t xml:space="preserve">Traditional methods estimate the INPUT (hours of human effort).</w:t>
            </w:r>
          </w:p>
          <w:p>
            <w:pPr>
              <w:spacing w:after="40" w:before="40" w:line="276"/>
            </w:pPr>
            <w:r>
              <w:rPr>
                <w:color w:val="1A1A2E"/>
                <w:sz w:val="19"/>
                <w:szCs w:val="19"/>
              </w:rPr>
              <w:t xml:space="preserve">AI-era methods must estimate the OUTPUT (deliverables produced per unit of augmented human+AI effort).</w:t>
            </w:r>
          </w:p>
          <w:p>
            <w:pPr>
              <w:spacing w:after="40" w:before="40" w:line="276"/>
            </w:pPr>
            <w:r>
              <w:rPr>
                <w:color w:val="1A1A2E"/>
                <w:sz w:val="19"/>
                <w:szCs w:val="19"/>
              </w:rPr>
              <w:t xml:space="preserve"/>
            </w:r>
          </w:p>
          <w:p>
            <w:pPr>
              <w:spacing w:after="40" w:before="40" w:line="276"/>
            </w:pPr>
            <w:r>
              <w:rPr>
                <w:color w:val="1A1A2E"/>
                <w:sz w:val="19"/>
                <w:szCs w:val="19"/>
              </w:rPr>
              <w:t xml:space="preserve">If a senior developer with AI can produce a RICE object in 18 hours instead of 40,</w:t>
            </w:r>
          </w:p>
          <w:p>
            <w:pPr>
              <w:spacing w:after="40" w:before="40" w:line="276"/>
            </w:pPr>
            <w:r>
              <w:rPr>
                <w:color w:val="1A1A2E"/>
                <w:sz w:val="19"/>
                <w:szCs w:val="19"/>
              </w:rPr>
              <w:t xml:space="preserve">your benchmark table is wrong — not your developer.</w:t>
            </w:r>
          </w:p>
        </w:tc>
      </w:tr>
    </w:tbl>
    <w:p>
      <w:pPr>
        <w:spacing w:after="0" w:before="120"/>
      </w:pPr>
      <w:r>
        <w:t xml:space="preserve"/>
      </w:r>
    </w:p>
    <w:p>
      <w:pPr>
        <w:pStyle w:val="Heading2"/>
        <w:spacing w:after="100" w:before="260"/>
      </w:pPr>
      <w:r>
        <w:rPr>
          <w:b/>
          <w:bCs/>
          <w:color w:val="1F3F8F"/>
          <w:sz w:val="22"/>
          <w:szCs w:val="22"/>
        </w:rPr>
        <w:t xml:space="preserve">The Three Failure Modes of Traditional Estimates in an AI World</w:t>
      </w:r>
    </w:p>
    <w:p>
      <w:pPr>
        <w:pStyle w:val="ListParagraph"/>
        <w:numPr>
          <w:ilvl w:val="0"/>
          <w:numId w:val="1"/>
        </w:numPr>
        <w:spacing w:after="60" w:before="60"/>
      </w:pPr>
      <w:r>
        <w:rPr>
          <w:b/>
          <w:bCs/>
          <w:color w:val="2E86AB"/>
          <w:sz w:val="20"/>
          <w:szCs w:val="20"/>
        </w:rPr>
        <w:t xml:space="preserve">Failure Mode 1:  </w:t>
      </w:r>
      <w:r>
        <w:rPr>
          <w:color w:val="1A1A2E"/>
          <w:sz w:val="20"/>
          <w:szCs w:val="20"/>
        </w:rPr>
        <w:t xml:space="preserve">Using the same benchmark hours without an AI productivity adjustment — leads to overestimation and loss of competitive bids.</w:t>
      </w:r>
    </w:p>
    <w:p>
      <w:pPr>
        <w:pStyle w:val="ListParagraph"/>
        <w:numPr>
          <w:ilvl w:val="0"/>
          <w:numId w:val="1"/>
        </w:numPr>
        <w:spacing w:after="60" w:before="60"/>
      </w:pPr>
      <w:r>
        <w:rPr>
          <w:b/>
          <w:bCs/>
          <w:color w:val="2E86AB"/>
          <w:sz w:val="20"/>
          <w:szCs w:val="20"/>
        </w:rPr>
        <w:t xml:space="preserve">Failure Mode 2:  </w:t>
      </w:r>
      <w:r>
        <w:rPr>
          <w:color w:val="1A1A2E"/>
          <w:sz w:val="20"/>
          <w:szCs w:val="20"/>
        </w:rPr>
        <w:t xml:space="preserve">Applying blanket AI discounts (e.g. "cut everything by 30%") without understanding which activities AI impacts and which it does not — leads to underestimation and margin erosion.</w:t>
      </w:r>
    </w:p>
    <w:p>
      <w:pPr>
        <w:pStyle w:val="ListParagraph"/>
        <w:numPr>
          <w:ilvl w:val="0"/>
          <w:numId w:val="1"/>
        </w:numPr>
        <w:spacing w:after="60" w:before="60"/>
      </w:pPr>
      <w:r>
        <w:rPr>
          <w:b/>
          <w:bCs/>
          <w:color w:val="2E86AB"/>
          <w:sz w:val="20"/>
          <w:szCs w:val="20"/>
        </w:rPr>
        <w:t xml:space="preserve">Failure Mode 3:  </w:t>
      </w:r>
      <w:r>
        <w:rPr>
          <w:color w:val="1A1A2E"/>
          <w:sz w:val="20"/>
          <w:szCs w:val="20"/>
        </w:rPr>
        <w:t xml:space="preserve">Ignoring the new effort categories AI introduces (AI tool setup, prompt engineering, output validation, AI model governance) — leads to scope gaps.</w:t>
      </w:r>
    </w:p>
    <w:p>
      <w:r>
        <w:br w:type="page"/>
      </w:r>
    </w:p>
    <w:p>
      <w:pPr>
        <w:pStyle w:val="Heading1"/>
        <w:spacing w:after="100" w:before="400"/>
      </w:pPr>
      <w:r>
        <w:rPr>
          <w:b/>
          <w:bCs/>
          <w:color w:val="1F3F8F"/>
          <w:sz w:val="22"/>
          <w:szCs w:val="22"/>
        </w:rPr>
        <w:t xml:space="preserve">The AI-Augmented Estimation Framework</w:t>
      </w:r>
    </w:p>
    <w:p>
      <w:pPr>
        <w:spacing w:after="100" w:before="80" w:line="280"/>
      </w:pPr>
      <w:r>
        <w:rPr>
          <w:i w:val="false"/>
          <w:iCs w:val="false"/>
          <w:color w:val="1A1A2E"/>
          <w:sz w:val="20"/>
          <w:szCs w:val="20"/>
        </w:rPr>
        <w:t xml:space="preserve">The new framework replaces flat hour-per-task benchmarks with a structured model that accounts for AI participation at the task level. It has five components:</w:t>
      </w:r>
    </w:p>
    <w:p>
      <w:pPr>
        <w:spacing w:after="0" w:before="100"/>
      </w:pPr>
      <w:r>
        <w:t xml:space="preserve"/>
      </w:r>
    </w:p>
    <w:p>
      <w:pPr>
        <w:pStyle w:val="Heading2"/>
        <w:spacing w:after="100" w:before="260"/>
      </w:pPr>
      <w:r>
        <w:rPr>
          <w:b/>
          <w:bCs/>
          <w:color w:val="1F3F8F"/>
          <w:sz w:val="22"/>
          <w:szCs w:val="22"/>
        </w:rPr>
        <w:t xml:space="preserve">Component 1 — AI Participation Classification (APC)</w:t>
      </w:r>
    </w:p>
    <w:p>
      <w:pPr>
        <w:spacing w:after="100" w:before="80" w:line="280"/>
      </w:pPr>
      <w:r>
        <w:rPr>
          <w:i w:val="false"/>
          <w:iCs w:val="false"/>
          <w:color w:val="1A1A2E"/>
          <w:sz w:val="20"/>
          <w:szCs w:val="20"/>
        </w:rPr>
        <w:t xml:space="preserve">Before estimating any work package, classify each SDLC activity into one of four AI Participation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1800"/>
      </w:tblGrid>
      <w:tr>
        <w:trPr>
          <w:tblHeader/>
        </w:trPr>
        <w:tc>
          <w:tcPr>
            <w:tcW w:type="dxa" w:w="1400"/>
            <w:shd w:fill="1F3F8F" w:val="clear"/>
            <w:tcMar>
              <w:top w:type="dxa" w:w="113"/>
              <w:left w:type="dxa" w:w="170"/>
              <w:bottom w:type="dxa" w:w="113"/>
              <w:right w:type="dxa" w:w="170"/>
            </w:tcMar>
          </w:tcPr>
          <w:p>
            <w:pPr>
              <w:jc w:val="center"/>
            </w:pPr>
            <w:r>
              <w:rPr>
                <w:b/>
                <w:bCs/>
                <w:color w:val="FFFFFF"/>
                <w:sz w:val="18"/>
                <w:szCs w:val="18"/>
              </w:rPr>
              <w:t xml:space="preserve">APC Level</w:t>
            </w:r>
          </w:p>
        </w:tc>
        <w:tc>
          <w:tcPr>
            <w:tcW w:type="dxa" w:w="2000"/>
            <w:shd w:fill="1F3F8F" w:val="clear"/>
            <w:tcMar>
              <w:top w:type="dxa" w:w="113"/>
              <w:left w:type="dxa" w:w="170"/>
              <w:bottom w:type="dxa" w:w="113"/>
              <w:right w:type="dxa" w:w="170"/>
            </w:tcMar>
          </w:tcPr>
          <w:p>
            <w:pPr>
              <w:jc w:val="center"/>
            </w:pPr>
            <w:r>
              <w:rPr>
                <w:b/>
                <w:bCs/>
                <w:color w:val="FFFFFF"/>
                <w:sz w:val="18"/>
                <w:szCs w:val="18"/>
              </w:rPr>
              <w:t xml:space="preserve">Definition</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AI Role</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Human Role</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Effort Adjustment</w:t>
            </w:r>
          </w:p>
        </w:tc>
      </w:tr>
      <w:tr>
        <w:tc>
          <w:tcPr>
            <w:tcW w:type="dxa" w:w="1400"/>
            <w:shd w:fill="EEF3FB" w:val="clear"/>
            <w:tcMar>
              <w:top w:type="dxa" w:w="113"/>
              <w:left w:type="dxa" w:w="170"/>
              <w:bottom w:type="dxa" w:w="113"/>
              <w:right w:type="dxa" w:w="170"/>
            </w:tcMar>
          </w:tcPr>
          <w:p>
            <w:r>
              <w:rPr>
                <w:b w:val="false"/>
                <w:bCs w:val="false"/>
                <w:color w:val="1A1A2E"/>
                <w:sz w:val="18"/>
                <w:szCs w:val="18"/>
              </w:rPr>
              <w:t xml:space="preserve">APC-1  Fully Human</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Activities where AI has no meaningful role</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None / advisory</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Full ownership</w:t>
            </w:r>
          </w:p>
        </w:tc>
        <w:tc>
          <w:tcPr>
            <w:tcW w:type="dxa" w:w="1800"/>
            <w:shd w:fill="EEF3FB" w:val="clear"/>
            <w:tcMar>
              <w:top w:type="dxa" w:w="113"/>
              <w:left w:type="dxa" w:w="170"/>
              <w:bottom w:type="dxa" w:w="113"/>
              <w:right w:type="dxa" w:w="170"/>
            </w:tcMar>
          </w:tcPr>
          <w:p>
            <w:r>
              <w:rPr>
                <w:b/>
                <w:bCs/>
                <w:color w:val="1A7F37"/>
                <w:sz w:val="18"/>
                <w:szCs w:val="18"/>
              </w:rPr>
              <w:t xml:space="preserve">0% reduction — no change</w:t>
            </w:r>
          </w:p>
        </w:tc>
      </w:tr>
      <w:tr>
        <w:tc>
          <w:tcPr>
            <w:tcW w:type="dxa" w:w="1400"/>
            <w:shd w:fill="FFFFFF" w:val="clear"/>
            <w:tcMar>
              <w:top w:type="dxa" w:w="113"/>
              <w:left w:type="dxa" w:w="170"/>
              <w:bottom w:type="dxa" w:w="113"/>
              <w:right w:type="dxa" w:w="170"/>
            </w:tcMar>
          </w:tcPr>
          <w:p>
            <w:r>
              <w:rPr>
                <w:b w:val="false"/>
                <w:bCs w:val="false"/>
                <w:color w:val="1A1A2E"/>
                <w:sz w:val="18"/>
                <w:szCs w:val="18"/>
              </w:rPr>
              <w:t xml:space="preserve">APC-2  AI-Assisted</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AI accelerates but human leads and reviews all output</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Drafts, suggests, generates first cut</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Reviews, corrects, approves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25–40% reduction</w:t>
            </w:r>
          </w:p>
        </w:tc>
      </w:tr>
      <w:tr>
        <w:tc>
          <w:tcPr>
            <w:tcW w:type="dxa" w:w="14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does the majority of production work; human validates and directs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Produces artifacts, executes tasks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Quality gates, direction, exceptions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45–65% reduction</w:t>
            </w:r>
          </w:p>
        </w:tc>
      </w:tr>
      <w:tr>
        <w:tc>
          <w:tcPr>
            <w:tcW w:type="dxa" w:w="1400"/>
            <w:shd w:fill="FFFFFF" w:val="clear"/>
            <w:tcMar>
              <w:top w:type="dxa" w:w="113"/>
              <w:left w:type="dxa" w:w="170"/>
              <w:bottom w:type="dxa" w:w="113"/>
              <w:right w:type="dxa" w:w="170"/>
            </w:tcMar>
          </w:tcPr>
          <w:p>
            <w:r>
              <w:rPr>
                <w:b w:val="false"/>
                <w:bCs w:val="false"/>
                <w:color w:val="1A1A2E"/>
                <w:sz w:val="18"/>
                <w:szCs w:val="18"/>
              </w:rPr>
              <w:t xml:space="preserve">APC-4  AI-Led</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AI operates autonomously on well-defined, repeatable tasks with human oversight only</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Executes end-to-end</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Monitors, escalates exceptions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65–80% reduction</w:t>
            </w:r>
          </w:p>
        </w:tc>
      </w:tr>
    </w:tbl>
    <w:p>
      <w:pPr>
        <w:spacing w:after="0" w:before="120"/>
      </w:pPr>
      <w:r>
        <w:t xml:space="preserve"/>
      </w:r>
    </w:p>
    <w:p>
      <w:pPr>
        <w:pStyle w:val="Heading2"/>
        <w:spacing w:after="100" w:before="260"/>
      </w:pPr>
      <w:r>
        <w:rPr>
          <w:b/>
          <w:bCs/>
          <w:color w:val="1F3F8F"/>
          <w:sz w:val="22"/>
          <w:szCs w:val="22"/>
        </w:rPr>
        <w:t xml:space="preserve">Component 2 — Activity-Level APC Mapping</w:t>
      </w:r>
    </w:p>
    <w:p>
      <w:pPr>
        <w:spacing w:after="100" w:before="80" w:line="280"/>
      </w:pPr>
      <w:r>
        <w:rPr>
          <w:i w:val="false"/>
          <w:iCs w:val="false"/>
          <w:color w:val="1A1A2E"/>
          <w:sz w:val="20"/>
          <w:szCs w:val="20"/>
        </w:rPr>
        <w:t xml:space="preserve">Apply APC levels to every SDLC activity, for both Greenfield and Brownfield scenarios: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shd w:fill="2E86AB" w:val="clear"/>
            <w:tcMar>
              <w:top w:type="dxa" w:w="113"/>
              <w:left w:type="dxa" w:w="170"/>
              <w:bottom w:type="dxa" w:w="113"/>
              <w:right w:type="dxa" w:w="170"/>
            </w:tcMar>
          </w:tcPr>
          <w:p>
            <w:pPr>
              <w:jc w:val="center"/>
            </w:pPr>
            <w:r>
              <w:rPr>
                <w:b/>
                <w:bCs/>
                <w:color w:val="FFFFFF"/>
                <w:sz w:val="18"/>
                <w:szCs w:val="18"/>
              </w:rPr>
              <w:t xml:space="preserve">SDLC Activity</w:t>
            </w:r>
          </w:p>
        </w:tc>
        <w:tc>
          <w:tcPr>
            <w:tcW w:type="dxa" w:w="3000"/>
            <w:shd w:fill="2E86AB" w:val="clear"/>
            <w:tcMar>
              <w:top w:type="dxa" w:w="113"/>
              <w:left w:type="dxa" w:w="170"/>
              <w:bottom w:type="dxa" w:w="113"/>
              <w:right w:type="dxa" w:w="170"/>
            </w:tcMar>
          </w:tcPr>
          <w:p>
            <w:pPr>
              <w:jc w:val="center"/>
            </w:pPr>
            <w:r>
              <w:rPr>
                <w:b/>
                <w:bCs/>
                <w:color w:val="FFFFFF"/>
                <w:sz w:val="18"/>
                <w:szCs w:val="18"/>
              </w:rPr>
              <w:t xml:space="preserve">APC — Greenfield</w:t>
            </w:r>
          </w:p>
        </w:tc>
        <w:tc>
          <w:tcPr>
            <w:tcW w:type="dxa" w:w="3160"/>
            <w:shd w:fill="2E86AB" w:val="clear"/>
            <w:tcMar>
              <w:top w:type="dxa" w:w="113"/>
              <w:left w:type="dxa" w:w="170"/>
              <w:bottom w:type="dxa" w:w="113"/>
              <w:right w:type="dxa" w:w="170"/>
            </w:tcMar>
          </w:tcPr>
          <w:p>
            <w:pPr>
              <w:jc w:val="center"/>
            </w:pPr>
            <w:r>
              <w:rPr>
                <w:b/>
                <w:bCs/>
                <w:color w:val="FFFFFF"/>
                <w:sz w:val="18"/>
                <w:szCs w:val="18"/>
              </w:rPr>
              <w:t xml:space="preserve">APC — Brownfield Upgrade</w:t>
            </w:r>
          </w:p>
        </w:tc>
      </w:tr>
      <w:tr>
        <w:tc>
          <w:tcPr>
            <w:tcW w:type="dxa" w:w="3200"/>
            <w:shd w:fill="EEF3FB" w:val="clear"/>
            <w:tcMar>
              <w:top w:type="dxa" w:w="113"/>
              <w:left w:type="dxa" w:w="170"/>
              <w:bottom w:type="dxa" w:w="113"/>
              <w:right w:type="dxa" w:w="170"/>
            </w:tcMar>
          </w:tcPr>
          <w:p>
            <w:r>
              <w:rPr>
                <w:b/>
                <w:bCs/>
                <w:color w:val="1F3F8F"/>
                <w:sz w:val="18"/>
                <w:szCs w:val="18"/>
              </w:rPr>
              <w:t xml:space="preserve">Executive Workshops / Business Process Design</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APC-1  (Fully Human)</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APC-1  (Fully Human)</w:t>
            </w:r>
          </w:p>
        </w:tc>
      </w:tr>
      <w:tr>
        <w:tc>
          <w:tcPr>
            <w:tcW w:type="dxa" w:w="3200"/>
            <w:shd w:fill="FFFFFF" w:val="clear"/>
            <w:tcMar>
              <w:top w:type="dxa" w:w="113"/>
              <w:left w:type="dxa" w:w="170"/>
              <w:bottom w:type="dxa" w:w="113"/>
              <w:right w:type="dxa" w:w="170"/>
            </w:tcMar>
          </w:tcPr>
          <w:p>
            <w:r>
              <w:rPr>
                <w:b/>
                <w:bCs/>
                <w:color w:val="1F3F8F"/>
                <w:sz w:val="18"/>
                <w:szCs w:val="18"/>
              </w:rPr>
              <w:t xml:space="preserve">Stakeholder Management &amp; Change Mgmt</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APC-1  (Fully Human)</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APC-1  (Fully Human)</w:t>
            </w:r>
          </w:p>
        </w:tc>
      </w:tr>
      <w:tr>
        <w:tc>
          <w:tcPr>
            <w:tcW w:type="dxa" w:w="3200"/>
            <w:shd w:fill="EEF3FB" w:val="clear"/>
            <w:tcMar>
              <w:top w:type="dxa" w:w="113"/>
              <w:left w:type="dxa" w:w="170"/>
              <w:bottom w:type="dxa" w:w="113"/>
              <w:right w:type="dxa" w:w="170"/>
            </w:tcMar>
          </w:tcPr>
          <w:p>
            <w:r>
              <w:rPr>
                <w:b/>
                <w:bCs/>
                <w:color w:val="1F3F8F"/>
                <w:sz w:val="18"/>
                <w:szCs w:val="18"/>
              </w:rPr>
              <w:t xml:space="preserve">Fit-Gap / Solution Architecture</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FFFFFF" w:val="clear"/>
            <w:tcMar>
              <w:top w:type="dxa" w:w="113"/>
              <w:left w:type="dxa" w:w="170"/>
              <w:bottom w:type="dxa" w:w="113"/>
              <w:right w:type="dxa" w:w="170"/>
            </w:tcMar>
          </w:tcPr>
          <w:p>
            <w:r>
              <w:rPr>
                <w:b/>
                <w:bCs/>
                <w:color w:val="1F3F8F"/>
                <w:sz w:val="18"/>
                <w:szCs w:val="18"/>
              </w:rPr>
              <w:t xml:space="preserve">Configuration Workbook Design</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EEF3FB" w:val="clear"/>
            <w:tcMar>
              <w:top w:type="dxa" w:w="113"/>
              <w:left w:type="dxa" w:w="170"/>
              <w:bottom w:type="dxa" w:w="113"/>
              <w:right w:type="dxa" w:w="170"/>
            </w:tcMar>
          </w:tcPr>
          <w:p>
            <w:r>
              <w:rPr>
                <w:b/>
                <w:bCs/>
                <w:color w:val="1F3F8F"/>
                <w:sz w:val="18"/>
                <w:szCs w:val="18"/>
              </w:rPr>
              <w:t xml:space="preserve">Configuration Data Entry / Setup</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FFFFFF" w:val="clear"/>
            <w:tcMar>
              <w:top w:type="dxa" w:w="113"/>
              <w:left w:type="dxa" w:w="170"/>
              <w:bottom w:type="dxa" w:w="113"/>
              <w:right w:type="dxa" w:w="170"/>
            </w:tcMar>
          </w:tcPr>
          <w:p>
            <w:r>
              <w:rPr>
                <w:b/>
                <w:bCs/>
                <w:color w:val="1F3F8F"/>
                <w:sz w:val="18"/>
                <w:szCs w:val="18"/>
              </w:rPr>
              <w:t xml:space="preserve">Custom Code / Extension Development</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APC-2 to 3  (varies by complexity)</w:t>
            </w:r>
          </w:p>
        </w:tc>
      </w:tr>
      <w:tr>
        <w:tc>
          <w:tcPr>
            <w:tcW w:type="dxa" w:w="3200"/>
            <w:shd w:fill="EEF3FB" w:val="clear"/>
            <w:tcMar>
              <w:top w:type="dxa" w:w="113"/>
              <w:left w:type="dxa" w:w="170"/>
              <w:bottom w:type="dxa" w:w="113"/>
              <w:right w:type="dxa" w:w="170"/>
            </w:tcMar>
          </w:tcPr>
          <w:p>
            <w:r>
              <w:rPr>
                <w:b/>
                <w:bCs/>
                <w:color w:val="1F3F8F"/>
                <w:sz w:val="18"/>
                <w:szCs w:val="18"/>
              </w:rPr>
              <w:t xml:space="preserve">Legacy Code Impact Analysis (Upgrade)</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N/A</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FFFFFF" w:val="clear"/>
            <w:tcMar>
              <w:top w:type="dxa" w:w="113"/>
              <w:left w:type="dxa" w:w="170"/>
              <w:bottom w:type="dxa" w:w="113"/>
              <w:right w:type="dxa" w:w="170"/>
            </w:tcMar>
          </w:tcPr>
          <w:p>
            <w:r>
              <w:rPr>
                <w:b/>
                <w:bCs/>
                <w:color w:val="1F3F8F"/>
                <w:sz w:val="18"/>
                <w:szCs w:val="18"/>
              </w:rPr>
              <w:t xml:space="preserve">Data Profiling &amp; Source Analysis</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EEF3FB" w:val="clear"/>
            <w:tcMar>
              <w:top w:type="dxa" w:w="113"/>
              <w:left w:type="dxa" w:w="170"/>
              <w:bottom w:type="dxa" w:w="113"/>
              <w:right w:type="dxa" w:w="170"/>
            </w:tcMar>
          </w:tcPr>
          <w:p>
            <w:r>
              <w:rPr>
                <w:b/>
                <w:bCs/>
                <w:color w:val="1F3F8F"/>
                <w:sz w:val="18"/>
                <w:szCs w:val="18"/>
              </w:rPr>
              <w:t xml:space="preserve">Source-to-Target Data Mapping</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FFFFFF" w:val="clear"/>
            <w:tcMar>
              <w:top w:type="dxa" w:w="113"/>
              <w:left w:type="dxa" w:w="170"/>
              <w:bottom w:type="dxa" w:w="113"/>
              <w:right w:type="dxa" w:w="170"/>
            </w:tcMar>
          </w:tcPr>
          <w:p>
            <w:r>
              <w:rPr>
                <w:b/>
                <w:bCs/>
                <w:color w:val="1F3F8F"/>
                <w:sz w:val="18"/>
                <w:szCs w:val="18"/>
              </w:rPr>
              <w:t xml:space="preserve">Data Transformation / Cleanse</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EEF3FB" w:val="clear"/>
            <w:tcMar>
              <w:top w:type="dxa" w:w="113"/>
              <w:left w:type="dxa" w:w="170"/>
              <w:bottom w:type="dxa" w:w="113"/>
              <w:right w:type="dxa" w:w="170"/>
            </w:tcMar>
          </w:tcPr>
          <w:p>
            <w:r>
              <w:rPr>
                <w:b/>
                <w:bCs/>
                <w:color w:val="1F3F8F"/>
                <w:sz w:val="18"/>
                <w:szCs w:val="18"/>
              </w:rPr>
              <w:t xml:space="preserve">Migration Script Development</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FFFFFF" w:val="clear"/>
            <w:tcMar>
              <w:top w:type="dxa" w:w="113"/>
              <w:left w:type="dxa" w:w="170"/>
              <w:bottom w:type="dxa" w:w="113"/>
              <w:right w:type="dxa" w:w="170"/>
            </w:tcMar>
          </w:tcPr>
          <w:p>
            <w:r>
              <w:rPr>
                <w:b/>
                <w:bCs/>
                <w:color w:val="1F3F8F"/>
                <w:sz w:val="18"/>
                <w:szCs w:val="18"/>
              </w:rPr>
              <w:t xml:space="preserve">Migration Validation / Reconciliation</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APC-4  (AI-Led)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APC-4  (AI-Led)</w:t>
            </w:r>
          </w:p>
        </w:tc>
      </w:tr>
      <w:tr>
        <w:tc>
          <w:tcPr>
            <w:tcW w:type="dxa" w:w="3200"/>
            <w:shd w:fill="EEF3FB" w:val="clear"/>
            <w:tcMar>
              <w:top w:type="dxa" w:w="113"/>
              <w:left w:type="dxa" w:w="170"/>
              <w:bottom w:type="dxa" w:w="113"/>
              <w:right w:type="dxa" w:w="170"/>
            </w:tcMar>
          </w:tcPr>
          <w:p>
            <w:r>
              <w:rPr>
                <w:b/>
                <w:bCs/>
                <w:color w:val="1F3F8F"/>
                <w:sz w:val="18"/>
                <w:szCs w:val="18"/>
              </w:rPr>
              <w:t xml:space="preserve">Test Case Design (Functional)</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FFFFFF" w:val="clear"/>
            <w:tcMar>
              <w:top w:type="dxa" w:w="113"/>
              <w:left w:type="dxa" w:w="170"/>
              <w:bottom w:type="dxa" w:w="113"/>
              <w:right w:type="dxa" w:w="170"/>
            </w:tcMar>
          </w:tcPr>
          <w:p>
            <w:r>
              <w:rPr>
                <w:b/>
                <w:bCs/>
                <w:color w:val="1F3F8F"/>
                <w:sz w:val="18"/>
                <w:szCs w:val="18"/>
              </w:rPr>
              <w:t xml:space="preserve">Test Script Development (Automated)</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EEF3FB" w:val="clear"/>
            <w:tcMar>
              <w:top w:type="dxa" w:w="113"/>
              <w:left w:type="dxa" w:w="170"/>
              <w:bottom w:type="dxa" w:w="113"/>
              <w:right w:type="dxa" w:w="170"/>
            </w:tcMar>
          </w:tcPr>
          <w:p>
            <w:r>
              <w:rPr>
                <w:b/>
                <w:bCs/>
                <w:color w:val="1F3F8F"/>
                <w:sz w:val="18"/>
                <w:szCs w:val="18"/>
              </w:rPr>
              <w:t xml:space="preserve">Regression Test Execution</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APC-4  (AI-Led)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APC-4  (AI-Led)</w:t>
            </w:r>
          </w:p>
        </w:tc>
      </w:tr>
      <w:tr>
        <w:tc>
          <w:tcPr>
            <w:tcW w:type="dxa" w:w="3200"/>
            <w:shd w:fill="FFFFFF" w:val="clear"/>
            <w:tcMar>
              <w:top w:type="dxa" w:w="113"/>
              <w:left w:type="dxa" w:w="170"/>
              <w:bottom w:type="dxa" w:w="113"/>
              <w:right w:type="dxa" w:w="170"/>
            </w:tcMar>
          </w:tcPr>
          <w:p>
            <w:r>
              <w:rPr>
                <w:b/>
                <w:bCs/>
                <w:color w:val="1F3F8F"/>
                <w:sz w:val="18"/>
                <w:szCs w:val="18"/>
              </w:rPr>
              <w:t xml:space="preserve">UAT Support &amp; Defect Management</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EEF3FB" w:val="clear"/>
            <w:tcMar>
              <w:top w:type="dxa" w:w="113"/>
              <w:left w:type="dxa" w:w="170"/>
              <w:bottom w:type="dxa" w:w="113"/>
              <w:right w:type="dxa" w:w="170"/>
            </w:tcMar>
          </w:tcPr>
          <w:p>
            <w:r>
              <w:rPr>
                <w:b/>
                <w:bCs/>
                <w:color w:val="1F3F8F"/>
                <w:sz w:val="18"/>
                <w:szCs w:val="18"/>
              </w:rPr>
              <w:t xml:space="preserve">Documentation (FDD/TDD/Config)</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FFFFFF" w:val="clear"/>
            <w:tcMar>
              <w:top w:type="dxa" w:w="113"/>
              <w:left w:type="dxa" w:w="170"/>
              <w:bottom w:type="dxa" w:w="113"/>
              <w:right w:type="dxa" w:w="170"/>
            </w:tcMar>
          </w:tcPr>
          <w:p>
            <w:r>
              <w:rPr>
                <w:b/>
                <w:bCs/>
                <w:color w:val="1F3F8F"/>
                <w:sz w:val="18"/>
                <w:szCs w:val="18"/>
              </w:rPr>
              <w:t xml:space="preserve">Training Material Development</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EEF3FB" w:val="clear"/>
            <w:tcMar>
              <w:top w:type="dxa" w:w="113"/>
              <w:left w:type="dxa" w:w="170"/>
              <w:bottom w:type="dxa" w:w="113"/>
              <w:right w:type="dxa" w:w="170"/>
            </w:tcMar>
          </w:tcPr>
          <w:p>
            <w:r>
              <w:rPr>
                <w:b/>
                <w:bCs/>
                <w:color w:val="1F3F8F"/>
                <w:sz w:val="18"/>
                <w:szCs w:val="18"/>
              </w:rPr>
              <w:t xml:space="preserve">Integration Design</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FFFFFF" w:val="clear"/>
            <w:tcMar>
              <w:top w:type="dxa" w:w="113"/>
              <w:left w:type="dxa" w:w="170"/>
              <w:bottom w:type="dxa" w:w="113"/>
              <w:right w:type="dxa" w:w="170"/>
            </w:tcMar>
          </w:tcPr>
          <w:p>
            <w:r>
              <w:rPr>
                <w:b/>
                <w:bCs/>
                <w:color w:val="1F3F8F"/>
                <w:sz w:val="18"/>
                <w:szCs w:val="18"/>
              </w:rPr>
              <w:t xml:space="preserve">Integration Build (OIC / API)</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EEF3FB" w:val="clear"/>
            <w:tcMar>
              <w:top w:type="dxa" w:w="113"/>
              <w:left w:type="dxa" w:w="170"/>
              <w:bottom w:type="dxa" w:w="113"/>
              <w:right w:type="dxa" w:w="170"/>
            </w:tcMar>
          </w:tcPr>
          <w:p>
            <w:r>
              <w:rPr>
                <w:b/>
                <w:bCs/>
                <w:color w:val="1F3F8F"/>
                <w:sz w:val="18"/>
                <w:szCs w:val="18"/>
              </w:rPr>
              <w:t xml:space="preserve">Cutover Planning</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APC-2  (AI-Assisted)</w:t>
            </w:r>
          </w:p>
        </w:tc>
      </w:tr>
      <w:tr>
        <w:tc>
          <w:tcPr>
            <w:tcW w:type="dxa" w:w="3200"/>
            <w:shd w:fill="FFFFFF" w:val="clear"/>
            <w:tcMar>
              <w:top w:type="dxa" w:w="113"/>
              <w:left w:type="dxa" w:w="170"/>
              <w:bottom w:type="dxa" w:w="113"/>
              <w:right w:type="dxa" w:w="170"/>
            </w:tcMar>
          </w:tcPr>
          <w:p>
            <w:r>
              <w:rPr>
                <w:b/>
                <w:bCs/>
                <w:color w:val="1F3F8F"/>
                <w:sz w:val="18"/>
                <w:szCs w:val="18"/>
              </w:rPr>
              <w:t xml:space="preserve">Cutover Execution Monitoring</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APC-3  (AI-Augmented)</w:t>
            </w:r>
          </w:p>
        </w:tc>
        <w:tc>
          <w:tcPr>
            <w:tcW w:type="dxa" w:w="3160"/>
            <w:shd w:fill="FFFFFF" w:val="clear"/>
            <w:tcMar>
              <w:top w:type="dxa" w:w="113"/>
              <w:left w:type="dxa" w:w="170"/>
              <w:bottom w:type="dxa" w:w="113"/>
              <w:right w:type="dxa" w:w="170"/>
            </w:tcMar>
          </w:tcPr>
          <w:p>
            <w:r>
              <w:rPr>
                <w:b w:val="false"/>
                <w:bCs w:val="false"/>
                <w:color w:val="1A1A2E"/>
                <w:sz w:val="18"/>
                <w:szCs w:val="18"/>
              </w:rPr>
              <w:t xml:space="preserve">APC-3  (AI-Augmented)</w:t>
            </w:r>
          </w:p>
        </w:tc>
      </w:tr>
      <w:tr>
        <w:tc>
          <w:tcPr>
            <w:tcW w:type="dxa" w:w="3200"/>
            <w:shd w:fill="EEF3FB" w:val="clear"/>
            <w:tcMar>
              <w:top w:type="dxa" w:w="113"/>
              <w:left w:type="dxa" w:w="170"/>
              <w:bottom w:type="dxa" w:w="113"/>
              <w:right w:type="dxa" w:w="170"/>
            </w:tcMar>
          </w:tcPr>
          <w:p>
            <w:r>
              <w:rPr>
                <w:b/>
                <w:bCs/>
                <w:color w:val="1F3F8F"/>
                <w:sz w:val="18"/>
                <w:szCs w:val="18"/>
              </w:rPr>
              <w:t xml:space="preserve">Hypercare / Post Go-Live Support</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APC-2  (AI-Assisted)</w:t>
            </w:r>
          </w:p>
        </w:tc>
        <w:tc>
          <w:tcPr>
            <w:tcW w:type="dxa" w:w="3160"/>
            <w:shd w:fill="EEF3FB" w:val="clear"/>
            <w:tcMar>
              <w:top w:type="dxa" w:w="113"/>
              <w:left w:type="dxa" w:w="170"/>
              <w:bottom w:type="dxa" w:w="113"/>
              <w:right w:type="dxa" w:w="170"/>
            </w:tcMar>
          </w:tcPr>
          <w:p>
            <w:r>
              <w:rPr>
                <w:b w:val="false"/>
                <w:bCs w:val="false"/>
                <w:color w:val="1A1A2E"/>
                <w:sz w:val="18"/>
                <w:szCs w:val="18"/>
              </w:rPr>
              <w:t xml:space="preserve">APC-2  (AI-Assisted)</w:t>
            </w:r>
          </w:p>
        </w:tc>
      </w:tr>
    </w:tbl>
    <w:p>
      <w:r>
        <w:br w:type="page"/>
      </w:r>
    </w:p>
    <w:p>
      <w:pPr>
        <w:pStyle w:val="Heading1"/>
        <w:spacing w:after="100" w:before="400"/>
      </w:pPr>
      <w:r>
        <w:rPr>
          <w:b/>
          <w:bCs/>
          <w:color w:val="1F3F8F"/>
          <w:sz w:val="22"/>
          <w:szCs w:val="22"/>
        </w:rPr>
        <w:t xml:space="preserve">Component 3 — The AI-Adjusted Effort Formula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86AB" w:sz="10"/>
              <w:left w:val="thick" w:color="2E86AB" w:sz="10"/>
              <w:bottom w:val="none"/>
              <w:right w:val="none"/>
            </w:tcBorders>
            <w:shd w:fill="EEF3FB" w:val="clear"/>
            <w:tcMar>
              <w:top w:type="dxa" w:w="170"/>
              <w:left w:type="dxa" w:w="283"/>
              <w:bottom w:type="dxa" w:w="170"/>
              <w:right w:type="dxa" w:w="283"/>
            </w:tcMar>
          </w:tcPr>
          <w:p>
            <w:pPr>
              <w:spacing w:after="80"/>
            </w:pPr>
            <w:r>
              <w:rPr>
                <w:b/>
                <w:bCs/>
                <w:color w:val="2E86AB"/>
                <w:sz w:val="20"/>
                <w:szCs w:val="20"/>
              </w:rPr>
              <w:t xml:space="preserve">🔢  The Core Formula</w:t>
            </w:r>
          </w:p>
          <w:p>
            <w:pPr>
              <w:spacing w:after="40" w:before="40" w:line="276"/>
            </w:pPr>
            <w:r>
              <w:rPr>
                <w:color w:val="1A1A2E"/>
                <w:sz w:val="19"/>
                <w:szCs w:val="19"/>
              </w:rPr>
              <w:t xml:space="preserve">AI-Adjusted Effort  =  (Base Effort × AI Productivity Factor)  +  AI Overhead</w:t>
            </w:r>
          </w:p>
          <w:p>
            <w:pPr>
              <w:spacing w:after="40" w:before="40" w:line="276"/>
            </w:pPr>
            <w:r>
              <w:rPr>
                <w:color w:val="1A1A2E"/>
                <w:sz w:val="19"/>
                <w:szCs w:val="19"/>
              </w:rPr>
              <w:t xml:space="preserve"/>
            </w:r>
          </w:p>
          <w:p>
            <w:pPr>
              <w:spacing w:after="40" w:before="40" w:line="276"/>
            </w:pPr>
            <w:r>
              <w:rPr>
                <w:color w:val="1A1A2E"/>
                <w:sz w:val="19"/>
                <w:szCs w:val="19"/>
              </w:rPr>
              <w:t xml:space="preserve">Where:</w:t>
            </w:r>
          </w:p>
          <w:p>
            <w:pPr>
              <w:spacing w:after="40" w:before="40" w:line="276"/>
            </w:pPr>
            <w:r>
              <w:rPr>
                <w:color w:val="1A1A2E"/>
                <w:sz w:val="19"/>
                <w:szCs w:val="19"/>
              </w:rPr>
              <w:t xml:space="preserve">  Base Effort        = Traditional benchmark hours for the activity (from historical data)</w:t>
            </w:r>
          </w:p>
          <w:p>
            <w:pPr>
              <w:spacing w:after="40" w:before="40" w:line="276"/>
            </w:pPr>
            <w:r>
              <w:rPr>
                <w:color w:val="1A1A2E"/>
                <w:sz w:val="19"/>
                <w:szCs w:val="19"/>
              </w:rPr>
              <w:t xml:space="preserve">  AI Productivity    = 1 – APC Reduction %  (e.g. APC-3 at 55% reduction = factor of 0.45)</w:t>
            </w:r>
          </w:p>
          <w:p>
            <w:pPr>
              <w:spacing w:after="40" w:before="40" w:line="276"/>
            </w:pPr>
            <w:r>
              <w:rPr>
                <w:color w:val="1A1A2E"/>
                <w:sz w:val="19"/>
                <w:szCs w:val="19"/>
              </w:rPr>
              <w:t xml:space="preserve">  Factor</w:t>
            </w:r>
          </w:p>
          <w:p>
            <w:pPr>
              <w:spacing w:after="40" w:before="40" w:line="276"/>
            </w:pPr>
            <w:r>
              <w:rPr>
                <w:color w:val="1A1A2E"/>
                <w:sz w:val="19"/>
                <w:szCs w:val="19"/>
              </w:rPr>
              <w:t xml:space="preserve">  AI Overhead        = Tool setup + Prompt engineering + Output validation hours</w:t>
            </w:r>
          </w:p>
        </w:tc>
      </w:tr>
    </w:tbl>
    <w:p>
      <w:pPr>
        <w:spacing w:after="0" w:before="120"/>
      </w:pPr>
      <w:r>
        <w:t xml:space="preserve"/>
      </w:r>
    </w:p>
    <w:p>
      <w:pPr>
        <w:pStyle w:val="Heading2"/>
        <w:spacing w:after="100" w:before="260"/>
      </w:pPr>
      <w:r>
        <w:rPr>
          <w:b/>
          <w:bCs/>
          <w:color w:val="1F3F8F"/>
          <w:sz w:val="22"/>
          <w:szCs w:val="22"/>
        </w:rPr>
        <w:t xml:space="preserve">AI Productivity Factors by APC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tblHeader/>
        </w:trPr>
        <w:tc>
          <w:tcPr>
            <w:tcW w:type="dxa" w:w="2200"/>
            <w:shd w:fill="1F3F8F" w:val="clear"/>
            <w:tcMar>
              <w:top w:type="dxa" w:w="113"/>
              <w:left w:type="dxa" w:w="170"/>
              <w:bottom w:type="dxa" w:w="113"/>
              <w:right w:type="dxa" w:w="170"/>
            </w:tcMar>
          </w:tcPr>
          <w:p>
            <w:pPr>
              <w:jc w:val="center"/>
            </w:pPr>
            <w:r>
              <w:rPr>
                <w:b/>
                <w:bCs/>
                <w:color w:val="FFFFFF"/>
                <w:sz w:val="18"/>
                <w:szCs w:val="18"/>
              </w:rPr>
              <w:t xml:space="preserve">APC Level</w:t>
            </w:r>
          </w:p>
        </w:tc>
        <w:tc>
          <w:tcPr>
            <w:tcW w:type="dxa" w:w="2300"/>
            <w:shd w:fill="1F3F8F" w:val="clear"/>
            <w:tcMar>
              <w:top w:type="dxa" w:w="113"/>
              <w:left w:type="dxa" w:w="170"/>
              <w:bottom w:type="dxa" w:w="113"/>
              <w:right w:type="dxa" w:w="170"/>
            </w:tcMar>
          </w:tcPr>
          <w:p>
            <w:pPr>
              <w:jc w:val="center"/>
            </w:pPr>
            <w:r>
              <w:rPr>
                <w:b/>
                <w:bCs/>
                <w:color w:val="FFFFFF"/>
                <w:sz w:val="18"/>
                <w:szCs w:val="18"/>
              </w:rPr>
              <w:t xml:space="preserve">Effort Factor (apply to Base)</w:t>
            </w:r>
          </w:p>
        </w:tc>
        <w:tc>
          <w:tcPr>
            <w:tcW w:type="dxa" w:w="4860"/>
            <w:shd w:fill="1F3F8F" w:val="clear"/>
            <w:tcMar>
              <w:top w:type="dxa" w:w="113"/>
              <w:left w:type="dxa" w:w="170"/>
              <w:bottom w:type="dxa" w:w="113"/>
              <w:right w:type="dxa" w:w="170"/>
            </w:tcMar>
          </w:tcPr>
          <w:p>
            <w:pPr>
              <w:jc w:val="center"/>
            </w:pPr>
            <w:r>
              <w:rPr>
                <w:b/>
                <w:bCs/>
                <w:color w:val="FFFFFF"/>
                <w:sz w:val="18"/>
                <w:szCs w:val="18"/>
              </w:rPr>
              <w:t xml:space="preserve">How to read it</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APC-1  Fully Human</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1.00</w:t>
            </w:r>
          </w:p>
        </w:tc>
        <w:tc>
          <w:tcPr>
            <w:tcW w:type="dxa" w:w="4860"/>
            <w:shd w:fill="EEF3FB" w:val="clear"/>
            <w:tcMar>
              <w:top w:type="dxa" w:w="113"/>
              <w:left w:type="dxa" w:w="170"/>
              <w:bottom w:type="dxa" w:w="113"/>
              <w:right w:type="dxa" w:w="170"/>
            </w:tcMar>
          </w:tcPr>
          <w:p>
            <w:r>
              <w:rPr>
                <w:b w:val="false"/>
                <w:bCs w:val="false"/>
                <w:color w:val="1A1A2E"/>
                <w:sz w:val="18"/>
                <w:szCs w:val="18"/>
              </w:rPr>
              <w:t xml:space="preserve">No reduction. Use traditional benchmark as-is.</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APC-2  AI-Assisted</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0.60 – 0.75</w:t>
            </w:r>
          </w:p>
        </w:tc>
        <w:tc>
          <w:tcPr>
            <w:tcW w:type="dxa" w:w="4860"/>
            <w:shd w:fill="FFFFFF" w:val="clear"/>
            <w:tcMar>
              <w:top w:type="dxa" w:w="113"/>
              <w:left w:type="dxa" w:w="170"/>
              <w:bottom w:type="dxa" w:w="113"/>
              <w:right w:type="dxa" w:w="170"/>
            </w:tcMar>
          </w:tcPr>
          <w:p>
            <w:r>
              <w:rPr>
                <w:b w:val="false"/>
                <w:bCs w:val="false"/>
                <w:color w:val="1A1A2E"/>
                <w:sz w:val="18"/>
                <w:szCs w:val="18"/>
              </w:rPr>
              <w:t xml:space="preserve">Human leads; AI saves 25–40% of the effort.</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APC-3  AI-Augmented</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0.35 – 0.55</w:t>
            </w:r>
          </w:p>
        </w:tc>
        <w:tc>
          <w:tcPr>
            <w:tcW w:type="dxa" w:w="4860"/>
            <w:shd w:fill="EEF3FB" w:val="clear"/>
            <w:tcMar>
              <w:top w:type="dxa" w:w="113"/>
              <w:left w:type="dxa" w:w="170"/>
              <w:bottom w:type="dxa" w:w="113"/>
              <w:right w:type="dxa" w:w="170"/>
            </w:tcMar>
          </w:tcPr>
          <w:p>
            <w:r>
              <w:rPr>
                <w:b w:val="false"/>
                <w:bCs w:val="false"/>
                <w:color w:val="1A1A2E"/>
                <w:sz w:val="18"/>
                <w:szCs w:val="18"/>
              </w:rPr>
              <w:t xml:space="preserve">AI does heavy lifting; human validates. 45–65% savings.</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APC-4  AI-Led</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0.20 – 0.35</w:t>
            </w:r>
          </w:p>
        </w:tc>
        <w:tc>
          <w:tcPr>
            <w:tcW w:type="dxa" w:w="4860"/>
            <w:shd w:fill="FFFFFF" w:val="clear"/>
            <w:tcMar>
              <w:top w:type="dxa" w:w="113"/>
              <w:left w:type="dxa" w:w="170"/>
              <w:bottom w:type="dxa" w:w="113"/>
              <w:right w:type="dxa" w:w="170"/>
            </w:tcMar>
          </w:tcPr>
          <w:p>
            <w:r>
              <w:rPr>
                <w:b w:val="false"/>
                <w:bCs w:val="false"/>
                <w:color w:val="1A1A2E"/>
                <w:sz w:val="18"/>
                <w:szCs w:val="18"/>
              </w:rPr>
              <w:t xml:space="preserve">AI executes autonomously. 65–80% savings.</w:t>
            </w:r>
          </w:p>
        </w:tc>
      </w:tr>
    </w:tbl>
    <w:p>
      <w:pPr>
        <w:spacing w:after="0" w:before="120"/>
      </w:pPr>
      <w:r>
        <w:t xml:space="preserve"/>
      </w:r>
    </w:p>
    <w:p>
      <w:pPr>
        <w:pStyle w:val="Heading2"/>
        <w:spacing w:after="100" w:before="260"/>
      </w:pPr>
      <w:r>
        <w:rPr>
          <w:b/>
          <w:bCs/>
          <w:color w:val="1F3F8F"/>
          <w:sz w:val="22"/>
          <w:szCs w:val="22"/>
        </w:rPr>
        <w:t xml:space="preserve">AI Overhead — New Effort Categories to Always Add</w:t>
      </w:r>
    </w:p>
    <w:p>
      <w:pPr>
        <w:spacing w:after="100" w:before="80" w:line="280"/>
      </w:pPr>
      <w:r>
        <w:rPr>
          <w:i w:val="false"/>
          <w:iCs w:val="false"/>
          <w:color w:val="1A1A2E"/>
          <w:sz w:val="20"/>
          <w:szCs w:val="20"/>
        </w:rPr>
        <w:t xml:space="preserve">These are net-new effort items that do not exist in traditional estimates. Omitting them leads to budget overruns during delivery.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shd w:fill="1F3F8F" w:val="clear"/>
            <w:tcMar>
              <w:top w:type="dxa" w:w="113"/>
              <w:left w:type="dxa" w:w="170"/>
              <w:bottom w:type="dxa" w:w="113"/>
              <w:right w:type="dxa" w:w="170"/>
            </w:tcMar>
          </w:tcPr>
          <w:p>
            <w:pPr>
              <w:jc w:val="center"/>
            </w:pPr>
            <w:r>
              <w:rPr>
                <w:b/>
                <w:bCs/>
                <w:color w:val="FFFFFF"/>
                <w:sz w:val="18"/>
                <w:szCs w:val="18"/>
              </w:rPr>
              <w:t xml:space="preserve">Overhead Category</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When to Add</w:t>
            </w:r>
          </w:p>
        </w:tc>
        <w:tc>
          <w:tcPr>
            <w:tcW w:type="dxa" w:w="1500"/>
            <w:shd w:fill="1F3F8F" w:val="clear"/>
            <w:tcMar>
              <w:top w:type="dxa" w:w="113"/>
              <w:left w:type="dxa" w:w="170"/>
              <w:bottom w:type="dxa" w:w="113"/>
              <w:right w:type="dxa" w:w="170"/>
            </w:tcMar>
          </w:tcPr>
          <w:p>
            <w:pPr>
              <w:jc w:val="center"/>
            </w:pPr>
            <w:r>
              <w:rPr>
                <w:b/>
                <w:bCs/>
                <w:color w:val="FFFFFF"/>
                <w:sz w:val="18"/>
                <w:szCs w:val="18"/>
              </w:rPr>
              <w:t xml:space="preserve">Typical Hours</w:t>
            </w:r>
          </w:p>
        </w:tc>
        <w:tc>
          <w:tcPr>
            <w:tcW w:type="dxa" w:w="3560"/>
            <w:shd w:fill="1F3F8F" w:val="clear"/>
            <w:tcMar>
              <w:top w:type="dxa" w:w="113"/>
              <w:left w:type="dxa" w:w="170"/>
              <w:bottom w:type="dxa" w:w="113"/>
              <w:right w:type="dxa" w:w="170"/>
            </w:tcMar>
          </w:tcPr>
          <w:p>
            <w:pPr>
              <w:jc w:val="center"/>
            </w:pPr>
            <w:r>
              <w:rPr>
                <w:b/>
                <w:bCs/>
                <w:color w:val="FFFFFF"/>
                <w:sz w:val="18"/>
                <w:szCs w:val="18"/>
              </w:rPr>
              <w:t xml:space="preserve">Notes</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AI Tooling Setup &amp; Configuration</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Once per program</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80–150 hrs</w:t>
            </w:r>
          </w:p>
        </w:tc>
        <w:tc>
          <w:tcPr>
            <w:tcW w:type="dxa" w:w="3560"/>
            <w:shd w:fill="EEF3FB" w:val="clear"/>
            <w:tcMar>
              <w:top w:type="dxa" w:w="113"/>
              <w:left w:type="dxa" w:w="170"/>
              <w:bottom w:type="dxa" w:w="113"/>
              <w:right w:type="dxa" w:w="170"/>
            </w:tcMar>
          </w:tcPr>
          <w:p>
            <w:r>
              <w:rPr>
                <w:b w:val="false"/>
                <w:bCs w:val="false"/>
                <w:color w:val="1A1A2E"/>
                <w:sz w:val="18"/>
                <w:szCs w:val="18"/>
              </w:rPr>
              <w:t xml:space="preserve">GitHub Copilot, Opkey, AI migration tools, prompt libraries</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Team AI Enablement / Training</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Once per program (first 4 weeks)</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4–8 hrs per person</w:t>
            </w:r>
          </w:p>
        </w:tc>
        <w:tc>
          <w:tcPr>
            <w:tcW w:type="dxa" w:w="3560"/>
            <w:shd w:fill="FFFFFF" w:val="clear"/>
            <w:tcMar>
              <w:top w:type="dxa" w:w="113"/>
              <w:left w:type="dxa" w:w="170"/>
              <w:bottom w:type="dxa" w:w="113"/>
              <w:right w:type="dxa" w:w="170"/>
            </w:tcMar>
          </w:tcPr>
          <w:p>
            <w:r>
              <w:rPr>
                <w:b w:val="false"/>
                <w:bCs w:val="false"/>
                <w:color w:val="1A1A2E"/>
                <w:sz w:val="18"/>
                <w:szCs w:val="18"/>
              </w:rPr>
              <w:t xml:space="preserve">Hands-on ramp-up; declines to near zero by week 6</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Prompt Engineering (per workstream)</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Per major workstream</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8–20 hrs</w:t>
            </w:r>
          </w:p>
        </w:tc>
        <w:tc>
          <w:tcPr>
            <w:tcW w:type="dxa" w:w="3560"/>
            <w:shd w:fill="EEF3FB" w:val="clear"/>
            <w:tcMar>
              <w:top w:type="dxa" w:w="113"/>
              <w:left w:type="dxa" w:w="170"/>
              <w:bottom w:type="dxa" w:w="113"/>
              <w:right w:type="dxa" w:w="170"/>
            </w:tcMar>
          </w:tcPr>
          <w:p>
            <w:r>
              <w:rPr>
                <w:b w:val="false"/>
                <w:bCs w:val="false"/>
                <w:color w:val="1A1A2E"/>
                <w:sz w:val="18"/>
                <w:szCs w:val="18"/>
              </w:rPr>
              <w:t xml:space="preserve">Designing, iterating, and documenting effective prompts</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AI Output Validation (QA gate)</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Every AI-generated artifact</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15–20% of saved hours</w:t>
            </w:r>
          </w:p>
        </w:tc>
        <w:tc>
          <w:tcPr>
            <w:tcW w:type="dxa" w:w="3560"/>
            <w:shd w:fill="FFFFFF" w:val="clear"/>
            <w:tcMar>
              <w:top w:type="dxa" w:w="113"/>
              <w:left w:type="dxa" w:w="170"/>
              <w:bottom w:type="dxa" w:w="113"/>
              <w:right w:type="dxa" w:w="170"/>
            </w:tcMar>
          </w:tcPr>
          <w:p>
            <w:r>
              <w:rPr>
                <w:b w:val="false"/>
                <w:bCs w:val="false"/>
                <w:color w:val="1A1A2E"/>
                <w:sz w:val="18"/>
                <w:szCs w:val="18"/>
              </w:rPr>
              <w:t xml:space="preserve">Human review of code, config, mappings, test cases</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AI Model Governance</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Ongoing throughout program</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2–4 hrs/week</w:t>
            </w:r>
          </w:p>
        </w:tc>
        <w:tc>
          <w:tcPr>
            <w:tcW w:type="dxa" w:w="3560"/>
            <w:shd w:fill="EEF3FB" w:val="clear"/>
            <w:tcMar>
              <w:top w:type="dxa" w:w="113"/>
              <w:left w:type="dxa" w:w="170"/>
              <w:bottom w:type="dxa" w:w="113"/>
              <w:right w:type="dxa" w:w="170"/>
            </w:tcMar>
          </w:tcPr>
          <w:p>
            <w:r>
              <w:rPr>
                <w:b w:val="false"/>
                <w:bCs w:val="false"/>
                <w:color w:val="1A1A2E"/>
                <w:sz w:val="18"/>
                <w:szCs w:val="18"/>
              </w:rPr>
              <w:t xml:space="preserve">Ensuring AI tools comply with data privacy and security rules</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Prompt/Tool Iteration (learning curve)</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First 6 weeks of program</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10–15% of AI-generated effort</w:t>
            </w:r>
          </w:p>
        </w:tc>
        <w:tc>
          <w:tcPr>
            <w:tcW w:type="dxa" w:w="3560"/>
            <w:shd w:fill="FFFFFF" w:val="clear"/>
            <w:tcMar>
              <w:top w:type="dxa" w:w="113"/>
              <w:left w:type="dxa" w:w="170"/>
              <w:bottom w:type="dxa" w:w="113"/>
              <w:right w:type="dxa" w:w="170"/>
            </w:tcMar>
          </w:tcPr>
          <w:p>
            <w:r>
              <w:rPr>
                <w:b w:val="false"/>
                <w:bCs w:val="false"/>
                <w:color w:val="1A1A2E"/>
                <w:sz w:val="18"/>
                <w:szCs w:val="18"/>
              </w:rPr>
              <w:t xml:space="preserve">Reducing as team expertise grows</w:t>
            </w:r>
          </w:p>
        </w:tc>
      </w:tr>
    </w:tbl>
    <w:p>
      <w:r>
        <w:br w:type="page"/>
      </w:r>
    </w:p>
    <w:p>
      <w:pPr>
        <w:pStyle w:val="Heading1"/>
        <w:spacing w:after="100" w:before="400"/>
      </w:pPr>
      <w:r>
        <w:rPr>
          <w:b/>
          <w:bCs/>
          <w:color w:val="1F3F8F"/>
          <w:sz w:val="22"/>
          <w:szCs w:val="22"/>
        </w:rPr>
        <w:t xml:space="preserve">Component 4 — Greenfield vs Brownfield Estimation Differences</w:t>
      </w:r>
    </w:p>
    <w:p>
      <w:pPr>
        <w:spacing w:after="100" w:before="80" w:line="280"/>
      </w:pPr>
      <w:r>
        <w:rPr>
          <w:i w:val="false"/>
          <w:iCs w:val="false"/>
          <w:color w:val="1A1A2E"/>
          <w:sz w:val="20"/>
          <w:szCs w:val="20"/>
        </w:rPr>
        <w:t xml:space="preserve">Greenfield (new implementation from scratch) and Brownfield (upgrade, migration, or reimplementation of an existing system) have fundamentally different AI leverage profiles. Understanding these differences is essential to avoid mis-estimating.</w:t>
      </w:r>
    </w:p>
    <w:p>
      <w:pPr>
        <w:spacing w:after="0" w:before="100"/>
      </w:pPr>
      <w:r>
        <w:t xml:space="preserve"/>
      </w:r>
    </w:p>
    <w:p>
      <w:pPr>
        <w:pStyle w:val="Heading2"/>
        <w:spacing w:after="100" w:before="260"/>
      </w:pPr>
      <w:r>
        <w:rPr>
          <w:b/>
          <w:bCs/>
          <w:color w:val="1F3F8F"/>
          <w:sz w:val="22"/>
          <w:szCs w:val="22"/>
        </w:rPr>
        <w:t xml:space="preserve">Greenfield Implementation — AI Estimation Profile</w:t>
      </w:r>
    </w:p>
    <w:p>
      <w:pPr>
        <w:spacing w:after="100" w:before="80" w:line="280"/>
      </w:pPr>
      <w:r>
        <w:rPr>
          <w:i w:val="false"/>
          <w:iCs w:val="false"/>
          <w:color w:val="1A1A2E"/>
          <w:sz w:val="20"/>
          <w:szCs w:val="20"/>
        </w:rPr>
        <w:t xml:space="preserve">In a greenfield program, there is no legacy system to analyse, no existing customisations to remediate, and no data to migrate from a complex source. The primary effort drivers are configuration volume, extension complexity, integration count, and data load volume.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7F37" w:sz="10"/>
              <w:left w:val="thick" w:color="1A7F37" w:sz="10"/>
              <w:bottom w:val="none"/>
              <w:right w:val="none"/>
            </w:tcBorders>
            <w:shd w:fill="EDFBF1" w:val="clear"/>
            <w:tcMar>
              <w:top w:type="dxa" w:w="170"/>
              <w:left w:type="dxa" w:w="283"/>
              <w:bottom w:type="dxa" w:w="170"/>
              <w:right w:type="dxa" w:w="283"/>
            </w:tcMar>
          </w:tcPr>
          <w:p>
            <w:pPr>
              <w:spacing w:after="80"/>
            </w:pPr>
            <w:r>
              <w:rPr>
                <w:b/>
                <w:bCs/>
                <w:color w:val="1A7F37"/>
                <w:sz w:val="20"/>
                <w:szCs w:val="20"/>
              </w:rPr>
              <w:t xml:space="preserve">🟢  Greenfield — Where AI Gives the Biggest Gains</w:t>
            </w:r>
          </w:p>
          <w:p>
            <w:pPr>
              <w:spacing w:after="40" w:before="40" w:line="276"/>
            </w:pPr>
            <w:r>
              <w:rPr>
                <w:color w:val="1A1A2E"/>
                <w:sz w:val="19"/>
                <w:szCs w:val="19"/>
              </w:rPr>
              <w:t xml:space="preserve">→ Configuration: AI can accelerate FSM/setup data entry dramatically — the work is largely template-driven, ideal for AI-augmented execution.</w:t>
            </w:r>
          </w:p>
          <w:p>
            <w:pPr>
              <w:spacing w:after="40" w:before="40" w:line="276"/>
            </w:pPr>
            <w:r>
              <w:rPr>
                <w:color w:val="1A1A2E"/>
                <w:sz w:val="19"/>
                <w:szCs w:val="19"/>
              </w:rPr>
              <w:t xml:space="preserve">→ Integration Build: OIC/REST integrations follow patterns AI handles very well — scaffolding, error handling, mapping.</w:t>
            </w:r>
          </w:p>
          <w:p>
            <w:pPr>
              <w:spacing w:after="40" w:before="40" w:line="276"/>
            </w:pPr>
            <w:r>
              <w:rPr>
                <w:color w:val="1A1A2E"/>
                <w:sz w:val="19"/>
                <w:szCs w:val="19"/>
              </w:rPr>
              <w:t xml:space="preserve">→ Test Automation: No legacy test scripts to convert; AI builds the suite from scratch using process docs.</w:t>
            </w:r>
          </w:p>
          <w:p>
            <w:pPr>
              <w:spacing w:after="40" w:before="40" w:line="276"/>
            </w:pPr>
            <w:r>
              <w:rPr>
                <w:color w:val="1A1A2E"/>
                <w:sz w:val="19"/>
                <w:szCs w:val="19"/>
              </w:rPr>
              <w:t xml:space="preserve">→ Documentation: AI generates FDDs, TDDs, config workbooks from workshop outputs in near real-time.</w:t>
            </w:r>
          </w:p>
          <w:p>
            <w:pPr>
              <w:spacing w:after="40" w:before="40" w:line="276"/>
            </w:pPr>
            <w:r>
              <w:rPr>
                <w:color w:val="1A1A2E"/>
                <w:sz w:val="19"/>
                <w:szCs w:val="19"/>
              </w:rPr>
              <w:t xml:space="preserve">→ Data Load (FBDI/HDL): AI maps source files to load templates and generates validation scripts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Greenfield — Where AI Has Limited Impact</w:t>
            </w:r>
          </w:p>
          <w:p>
            <w:pPr>
              <w:spacing w:after="40" w:before="40" w:line="276"/>
            </w:pPr>
            <w:r>
              <w:rPr>
                <w:color w:val="1A1A2E"/>
                <w:sz w:val="19"/>
                <w:szCs w:val="19"/>
              </w:rPr>
              <w:t xml:space="preserve">→ Business Process Design Workshops: These require human facilitation, organisational knowledge, and stakeholder trust.</w:t>
            </w:r>
          </w:p>
          <w:p>
            <w:pPr>
              <w:spacing w:after="40" w:before="40" w:line="276"/>
            </w:pPr>
            <w:r>
              <w:rPr>
                <w:color w:val="1A1A2E"/>
                <w:sz w:val="19"/>
                <w:szCs w:val="19"/>
              </w:rPr>
              <w:t xml:space="preserve">→ Solution Architecture Decisions: Choosing between standard vs. custom, module sequencing, and integration patterns needs experienced architects.</w:t>
            </w:r>
          </w:p>
          <w:p>
            <w:pPr>
              <w:spacing w:after="40" w:before="40" w:line="276"/>
            </w:pPr>
            <w:r>
              <w:rPr>
                <w:color w:val="1A1A2E"/>
                <w:sz w:val="19"/>
                <w:szCs w:val="19"/>
              </w:rPr>
              <w:t xml:space="preserve">→ Change Management &amp; Training Delivery: Human-centred activities where AI can assist (content creation) but not lead.</w:t>
            </w:r>
          </w:p>
          <w:p>
            <w:pPr>
              <w:spacing w:after="40" w:before="40" w:line="276"/>
            </w:pPr>
            <w:r>
              <w:rPr>
                <w:color w:val="1A1A2E"/>
                <w:sz w:val="19"/>
                <w:szCs w:val="19"/>
              </w:rPr>
              <w:t xml:space="preserve">→ UAT Coordination: Business users driving UAT scenarios, sign-off cycles, and defect prioritisation remain human-led.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shd w:fill="C0392B" w:val="clear"/>
            <w:tcMar>
              <w:top w:type="dxa" w:w="113"/>
              <w:left w:type="dxa" w:w="226"/>
              <w:bottom w:type="dxa" w:w="113"/>
              <w:right w:type="dxa" w:w="226"/>
            </w:tcMar>
          </w:tcPr>
          <w:p>
            <w:pPr>
              <w:jc w:val="center"/>
            </w:pPr>
            <w:r>
              <w:rPr>
                <w:b/>
                <w:bCs/>
                <w:color w:val="FFFFFF"/>
                <w:sz w:val="20"/>
                <w:szCs w:val="20"/>
              </w:rPr>
              <w:t xml:space="preserve">❌ Traditional Greenfield Estimate Structure</w:t>
            </w:r>
          </w:p>
        </w:tc>
        <w:tc>
          <w:tcPr>
            <w:tcW w:type="dxa" w:w="4860"/>
            <w:shd w:fill="1A7F37" w:val="clear"/>
            <w:tcMar>
              <w:top w:type="dxa" w:w="113"/>
              <w:left w:type="dxa" w:w="226"/>
              <w:bottom w:type="dxa" w:w="113"/>
              <w:right w:type="dxa" w:w="226"/>
            </w:tcMar>
          </w:tcPr>
          <w:p>
            <w:pPr>
              <w:jc w:val="center"/>
            </w:pPr>
            <w:r>
              <w:rPr>
                <w:b/>
                <w:bCs/>
                <w:color w:val="FFFFFF"/>
                <w:sz w:val="20"/>
                <w:szCs w:val="20"/>
              </w:rPr>
              <w:t xml:space="preserve">✅ AI-Augmented Greenfield Estimate Structure</w:t>
            </w:r>
          </w:p>
        </w:tc>
      </w:tr>
      <w:tr>
        <w:tc>
          <w:tcPr>
            <w:tcW w:type="dxa" w:w="4500"/>
            <w:shd w:fill="EEF3FB" w:val="clear"/>
            <w:tcMar>
              <w:top w:type="dxa" w:w="113"/>
              <w:left w:type="dxa" w:w="226"/>
              <w:bottom w:type="dxa" w:w="113"/>
              <w:right w:type="dxa" w:w="226"/>
            </w:tcMar>
          </w:tcPr>
          <w:p>
            <w:r>
              <w:rPr>
                <w:color w:val="1A1A2E"/>
                <w:sz w:val="19"/>
                <w:szCs w:val="19"/>
              </w:rPr>
              <w:t xml:space="preserve">Single effort figure per task</w:t>
            </w:r>
          </w:p>
        </w:tc>
        <w:tc>
          <w:tcPr>
            <w:tcW w:type="dxa" w:w="4860"/>
            <w:shd w:fill="EDFBF1" w:val="clear"/>
            <w:tcMar>
              <w:top w:type="dxa" w:w="113"/>
              <w:left w:type="dxa" w:w="226"/>
              <w:bottom w:type="dxa" w:w="113"/>
              <w:right w:type="dxa" w:w="226"/>
            </w:tcMar>
          </w:tcPr>
          <w:p>
            <w:r>
              <w:rPr>
                <w:color w:val="1A1A2E"/>
                <w:sz w:val="19"/>
                <w:szCs w:val="19"/>
              </w:rPr>
              <w:t xml:space="preserve">Base effort × APC productivity factor per task</w:t>
            </w:r>
          </w:p>
        </w:tc>
      </w:tr>
      <w:tr>
        <w:tc>
          <w:tcPr>
            <w:tcW w:type="dxa" w:w="4500"/>
            <w:shd w:fill="EEF3FB" w:val="clear"/>
            <w:tcMar>
              <w:top w:type="dxa" w:w="113"/>
              <w:left w:type="dxa" w:w="226"/>
              <w:bottom w:type="dxa" w:w="113"/>
              <w:right w:type="dxa" w:w="226"/>
            </w:tcMar>
          </w:tcPr>
          <w:p>
            <w:r>
              <w:rPr>
                <w:color w:val="1A1A2E"/>
                <w:sz w:val="19"/>
                <w:szCs w:val="19"/>
              </w:rPr>
              <w:t xml:space="preserve">Same benchmark for all consultants regardless of AI use</w:t>
            </w:r>
          </w:p>
        </w:tc>
        <w:tc>
          <w:tcPr>
            <w:tcW w:type="dxa" w:w="4860"/>
            <w:shd w:fill="EDFBF1" w:val="clear"/>
            <w:tcMar>
              <w:top w:type="dxa" w:w="113"/>
              <w:left w:type="dxa" w:w="226"/>
              <w:bottom w:type="dxa" w:w="113"/>
              <w:right w:type="dxa" w:w="226"/>
            </w:tcMar>
          </w:tcPr>
          <w:p>
            <w:r>
              <w:rPr>
                <w:color w:val="1A1A2E"/>
                <w:sz w:val="19"/>
                <w:szCs w:val="19"/>
              </w:rPr>
              <w:t xml:space="preserve">AI-tier resource rates (AI-enabled consultant = higher rate, lower hours)</w:t>
            </w:r>
          </w:p>
        </w:tc>
      </w:tr>
      <w:tr>
        <w:tc>
          <w:tcPr>
            <w:tcW w:type="dxa" w:w="4500"/>
            <w:shd w:fill="EEF3FB" w:val="clear"/>
            <w:tcMar>
              <w:top w:type="dxa" w:w="113"/>
              <w:left w:type="dxa" w:w="226"/>
              <w:bottom w:type="dxa" w:w="113"/>
              <w:right w:type="dxa" w:w="226"/>
            </w:tcMar>
          </w:tcPr>
          <w:p>
            <w:r>
              <w:rPr>
                <w:color w:val="1A1A2E"/>
                <w:sz w:val="19"/>
                <w:szCs w:val="19"/>
              </w:rPr>
              <w:t xml:space="preserve">No AI tool costs or overhead</w:t>
            </w:r>
          </w:p>
        </w:tc>
        <w:tc>
          <w:tcPr>
            <w:tcW w:type="dxa" w:w="4860"/>
            <w:shd w:fill="EDFBF1" w:val="clear"/>
            <w:tcMar>
              <w:top w:type="dxa" w:w="113"/>
              <w:left w:type="dxa" w:w="226"/>
              <w:bottom w:type="dxa" w:w="113"/>
              <w:right w:type="dxa" w:w="226"/>
            </w:tcMar>
          </w:tcPr>
          <w:p>
            <w:r>
              <w:rPr>
                <w:color w:val="1A1A2E"/>
                <w:sz w:val="19"/>
                <w:szCs w:val="19"/>
              </w:rPr>
              <w:t xml:space="preserve">AI tooling costs + overhead hours explicitly budgeted</w:t>
            </w:r>
          </w:p>
        </w:tc>
      </w:tr>
      <w:tr>
        <w:tc>
          <w:tcPr>
            <w:tcW w:type="dxa" w:w="4500"/>
            <w:shd w:fill="EEF3FB" w:val="clear"/>
            <w:tcMar>
              <w:top w:type="dxa" w:w="113"/>
              <w:left w:type="dxa" w:w="226"/>
              <w:bottom w:type="dxa" w:w="113"/>
              <w:right w:type="dxa" w:w="226"/>
            </w:tcMar>
          </w:tcPr>
          <w:p>
            <w:r>
              <w:rPr>
                <w:color w:val="1A1A2E"/>
                <w:sz w:val="19"/>
                <w:szCs w:val="19"/>
              </w:rPr>
              <w:t xml:space="preserve">Linear: more objects = proportionally more effort</w:t>
            </w:r>
          </w:p>
        </w:tc>
        <w:tc>
          <w:tcPr>
            <w:tcW w:type="dxa" w:w="4860"/>
            <w:shd w:fill="EDFBF1" w:val="clear"/>
            <w:tcMar>
              <w:top w:type="dxa" w:w="113"/>
              <w:left w:type="dxa" w:w="226"/>
              <w:bottom w:type="dxa" w:w="113"/>
              <w:right w:type="dxa" w:w="226"/>
            </w:tcMar>
          </w:tcPr>
          <w:p>
            <w:r>
              <w:rPr>
                <w:color w:val="1A1A2E"/>
                <w:sz w:val="19"/>
                <w:szCs w:val="19"/>
              </w:rPr>
              <w:t xml:space="preserve">Sub-linear: AI creates economies of scale at volume</w:t>
            </w:r>
          </w:p>
        </w:tc>
      </w:tr>
      <w:tr>
        <w:tc>
          <w:tcPr>
            <w:tcW w:type="dxa" w:w="4500"/>
            <w:shd w:fill="EEF3FB" w:val="clear"/>
            <w:tcMar>
              <w:top w:type="dxa" w:w="113"/>
              <w:left w:type="dxa" w:w="226"/>
              <w:bottom w:type="dxa" w:w="113"/>
              <w:right w:type="dxa" w:w="226"/>
            </w:tcMar>
          </w:tcPr>
          <w:p>
            <w:r>
              <w:rPr>
                <w:color w:val="1A1A2E"/>
                <w:sz w:val="19"/>
                <w:szCs w:val="19"/>
              </w:rPr>
              <w:t xml:space="preserve">Testing estimated as % of dev effort (typically 25–30%)</w:t>
            </w:r>
          </w:p>
        </w:tc>
        <w:tc>
          <w:tcPr>
            <w:tcW w:type="dxa" w:w="4860"/>
            <w:shd w:fill="EDFBF1" w:val="clear"/>
            <w:tcMar>
              <w:top w:type="dxa" w:w="113"/>
              <w:left w:type="dxa" w:w="226"/>
              <w:bottom w:type="dxa" w:w="113"/>
              <w:right w:type="dxa" w:w="226"/>
            </w:tcMar>
          </w:tcPr>
          <w:p>
            <w:r>
              <w:rPr>
                <w:color w:val="1A1A2E"/>
                <w:sz w:val="19"/>
                <w:szCs w:val="19"/>
              </w:rPr>
              <w:t xml:space="preserve">Testing estimated independently using AI test velocity benchmarks</w:t>
            </w:r>
          </w:p>
        </w:tc>
      </w:tr>
      <w:tr>
        <w:tc>
          <w:tcPr>
            <w:tcW w:type="dxa" w:w="4500"/>
            <w:shd w:fill="EEF3FB" w:val="clear"/>
            <w:tcMar>
              <w:top w:type="dxa" w:w="113"/>
              <w:left w:type="dxa" w:w="226"/>
              <w:bottom w:type="dxa" w:w="113"/>
              <w:right w:type="dxa" w:w="226"/>
            </w:tcMar>
          </w:tcPr>
          <w:p>
            <w:r>
              <w:rPr>
                <w:color w:val="1A1A2E"/>
                <w:sz w:val="19"/>
                <w:szCs w:val="19"/>
              </w:rPr>
              <w:t xml:space="preserve">Documentation estimated as % of total (typically 10–15%)</w:t>
            </w:r>
          </w:p>
        </w:tc>
        <w:tc>
          <w:tcPr>
            <w:tcW w:type="dxa" w:w="4860"/>
            <w:shd w:fill="EDFBF1" w:val="clear"/>
            <w:tcMar>
              <w:top w:type="dxa" w:w="113"/>
              <w:left w:type="dxa" w:w="226"/>
              <w:bottom w:type="dxa" w:w="113"/>
              <w:right w:type="dxa" w:w="226"/>
            </w:tcMar>
          </w:tcPr>
          <w:p>
            <w:r>
              <w:rPr>
                <w:color w:val="1A1A2E"/>
                <w:sz w:val="19"/>
                <w:szCs w:val="19"/>
              </w:rPr>
              <w:t xml:space="preserve">Documentation largely collapsed into AI overhead category</w:t>
            </w:r>
          </w:p>
        </w:tc>
      </w:tr>
      <w:tr>
        <w:tc>
          <w:tcPr>
            <w:tcW w:type="dxa" w:w="4500"/>
            <w:shd w:fill="EEF3FB" w:val="clear"/>
            <w:tcMar>
              <w:top w:type="dxa" w:w="113"/>
              <w:left w:type="dxa" w:w="226"/>
              <w:bottom w:type="dxa" w:w="113"/>
              <w:right w:type="dxa" w:w="226"/>
            </w:tcMar>
          </w:tcPr>
          <w:p>
            <w:r>
              <w:rPr>
                <w:color w:val="1A1A2E"/>
                <w:sz w:val="19"/>
                <w:szCs w:val="19"/>
              </w:rPr>
              <w:t xml:space="preserve">Fixed team size × fixed duration = estimate</w:t>
            </w:r>
          </w:p>
        </w:tc>
        <w:tc>
          <w:tcPr>
            <w:tcW w:type="dxa" w:w="4860"/>
            <w:shd w:fill="EDFBF1" w:val="clear"/>
            <w:tcMar>
              <w:top w:type="dxa" w:w="113"/>
              <w:left w:type="dxa" w:w="226"/>
              <w:bottom w:type="dxa" w:w="113"/>
              <w:right w:type="dxa" w:w="226"/>
            </w:tcMar>
          </w:tcPr>
          <w:p>
            <w:r>
              <w:rPr>
                <w:color w:val="1A1A2E"/>
                <w:sz w:val="19"/>
                <w:szCs w:val="19"/>
              </w:rPr>
              <w:t xml:space="preserve">Smaller team × faster duration = same or better outcome</w:t>
            </w:r>
          </w:p>
        </w:tc>
      </w:tr>
    </w:tbl>
    <w:p>
      <w:pPr>
        <w:spacing w:after="0" w:before="120"/>
      </w:pPr>
      <w:r>
        <w:t xml:space="preserve"/>
      </w:r>
    </w:p>
    <w:p>
      <w:pPr>
        <w:pStyle w:val="Heading2"/>
        <w:spacing w:after="100" w:before="260"/>
      </w:pPr>
      <w:r>
        <w:rPr>
          <w:b/>
          <w:bCs/>
          <w:color w:val="1F3F8F"/>
          <w:sz w:val="22"/>
          <w:szCs w:val="22"/>
        </w:rPr>
        <w:t xml:space="preserve">Brownfield — Upgrade / Migration Estimation Profile</w:t>
      </w:r>
    </w:p>
    <w:p>
      <w:pPr>
        <w:spacing w:after="100" w:before="80" w:line="280"/>
      </w:pPr>
      <w:r>
        <w:rPr>
          <w:i w:val="false"/>
          <w:iCs w:val="false"/>
          <w:color w:val="1A1A2E"/>
          <w:sz w:val="20"/>
          <w:szCs w:val="20"/>
        </w:rPr>
        <w:t xml:space="preserve">Brownfield programs are fundamentally different because AI has a whole new class of high-value activities it can perform: analysing the existing system. Legacy code analysis, customisation impact assessment, data profiling, and parallel run validation are activities that barely exist in greenfield — and AI transforms all of them in brownfield.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7F37" w:sz="10"/>
              <w:left w:val="thick" w:color="1A7F37" w:sz="10"/>
              <w:bottom w:val="none"/>
              <w:right w:val="none"/>
            </w:tcBorders>
            <w:shd w:fill="EDFBF1" w:val="clear"/>
            <w:tcMar>
              <w:top w:type="dxa" w:w="170"/>
              <w:left w:type="dxa" w:w="283"/>
              <w:bottom w:type="dxa" w:w="170"/>
              <w:right w:type="dxa" w:w="283"/>
            </w:tcMar>
          </w:tcPr>
          <w:p>
            <w:pPr>
              <w:spacing w:after="80"/>
            </w:pPr>
            <w:r>
              <w:rPr>
                <w:b/>
                <w:bCs/>
                <w:color w:val="1A7F37"/>
                <w:sz w:val="20"/>
                <w:szCs w:val="20"/>
              </w:rPr>
              <w:t xml:space="preserve">🟢  Brownfield — Where AI Gives the Biggest Gains (Different from Greenfield)</w:t>
            </w:r>
          </w:p>
          <w:p>
            <w:pPr>
              <w:spacing w:after="40" w:before="40" w:line="276"/>
            </w:pPr>
            <w:r>
              <w:rPr>
                <w:color w:val="1A1A2E"/>
                <w:sz w:val="19"/>
                <w:szCs w:val="19"/>
              </w:rPr>
              <w:t xml:space="preserve">→ Legacy Code / Repository Analysis: AI reads thousands of custom objects and classifies them for upgrade impact in hours, not weeks.</w:t>
            </w:r>
          </w:p>
          <w:p>
            <w:pPr>
              <w:spacing w:after="40" w:before="40" w:line="276"/>
            </w:pPr>
            <w:r>
              <w:rPr>
                <w:color w:val="1A1A2E"/>
                <w:sz w:val="19"/>
                <w:szCs w:val="19"/>
              </w:rPr>
              <w:t xml:space="preserve">→ Upgrade Impact Assessment: AI compares source vs. target release, flags deprecated APIs, changed data models, and incompatible constructs.</w:t>
            </w:r>
          </w:p>
          <w:p>
            <w:pPr>
              <w:spacing w:after="40" w:before="40" w:line="276"/>
            </w:pPr>
            <w:r>
              <w:rPr>
                <w:color w:val="1A1A2E"/>
                <w:sz w:val="19"/>
                <w:szCs w:val="19"/>
              </w:rPr>
              <w:t xml:space="preserve">→ Data Profiling: AI analyses source system data quality, volume, and anomalies before migration planning begins.</w:t>
            </w:r>
          </w:p>
          <w:p>
            <w:pPr>
              <w:spacing w:after="40" w:before="40" w:line="276"/>
            </w:pPr>
            <w:r>
              <w:rPr>
                <w:color w:val="1A1A2E"/>
                <w:sz w:val="19"/>
                <w:szCs w:val="19"/>
              </w:rPr>
              <w:t xml:space="preserve">→ Source-to-Target Mapping: AI learns the source schema and suggests FBDI/HDL/RICE mappings — the most time-intensive brownfield data activity.</w:t>
            </w:r>
          </w:p>
          <w:p>
            <w:pPr>
              <w:spacing w:after="40" w:before="40" w:line="276"/>
            </w:pPr>
            <w:r>
              <w:rPr>
                <w:color w:val="1A1A2E"/>
                <w:sz w:val="19"/>
                <w:szCs w:val="19"/>
              </w:rPr>
              <w:t xml:space="preserve">→ Parallel Run Validation: AI compares results (payroll outputs, financial postings, reports) between old and new system at scale.</w:t>
            </w:r>
          </w:p>
          <w:p>
            <w:pPr>
              <w:spacing w:after="40" w:before="40" w:line="276"/>
            </w:pPr>
            <w:r>
              <w:rPr>
                <w:color w:val="1A1A2E"/>
                <w:sz w:val="19"/>
                <w:szCs w:val="19"/>
              </w:rPr>
              <w:t xml:space="preserve">→ Regression Suite Rebuild: AI rebuilds test scripts for the target system from the existing business process library.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Brownfield — Additional Complexity AI Does NOT Remove</w:t>
            </w:r>
          </w:p>
          <w:p>
            <w:pPr>
              <w:spacing w:after="40" w:before="40" w:line="276"/>
            </w:pPr>
            <w:r>
              <w:rPr>
                <w:color w:val="1A1A2E"/>
                <w:sz w:val="19"/>
                <w:szCs w:val="19"/>
              </w:rPr>
              <w:t xml:space="preserve">→ Business process redesign decisions ("should we fix the bad process or replicate it?")</w:t>
            </w:r>
          </w:p>
          <w:p>
            <w:pPr>
              <w:spacing w:after="40" w:before="40" w:line="276"/>
            </w:pPr>
            <w:r>
              <w:rPr>
                <w:color w:val="1A1A2E"/>
                <w:sz w:val="19"/>
                <w:szCs w:val="19"/>
              </w:rPr>
              <w:t xml:space="preserve">→ Organisational change management — users are moving FROM a known system they trust.</w:t>
            </w:r>
          </w:p>
          <w:p>
            <w:pPr>
              <w:spacing w:after="40" w:before="40" w:line="276"/>
            </w:pPr>
            <w:r>
              <w:rPr>
                <w:color w:val="1A1A2E"/>
                <w:sz w:val="19"/>
                <w:szCs w:val="19"/>
              </w:rPr>
              <w:t xml:space="preserve">→ Data cleanse decision-making: AI identifies the problems, humans decide how to resolve them.</w:t>
            </w:r>
          </w:p>
          <w:p>
            <w:pPr>
              <w:spacing w:after="40" w:before="40" w:line="276"/>
            </w:pPr>
            <w:r>
              <w:rPr>
                <w:color w:val="1A1A2E"/>
                <w:sz w:val="19"/>
                <w:szCs w:val="19"/>
              </w:rPr>
              <w:t xml:space="preserve">→ Complex customisation remediation where deep business logic understanding is required.</w:t>
            </w:r>
          </w:p>
          <w:p>
            <w:pPr>
              <w:spacing w:after="40" w:before="40" w:line="276"/>
            </w:pPr>
            <w:r>
              <w:rPr>
                <w:color w:val="1A1A2E"/>
                <w:sz w:val="19"/>
                <w:szCs w:val="19"/>
              </w:rPr>
              <w:t xml:space="preserve">→ Cutover go/no-go decisions and risk management remain with experienced program leaders.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shd w:fill="C0392B" w:val="clear"/>
            <w:tcMar>
              <w:top w:type="dxa" w:w="113"/>
              <w:left w:type="dxa" w:w="226"/>
              <w:bottom w:type="dxa" w:w="113"/>
              <w:right w:type="dxa" w:w="226"/>
            </w:tcMar>
          </w:tcPr>
          <w:p>
            <w:pPr>
              <w:jc w:val="center"/>
            </w:pPr>
            <w:r>
              <w:rPr>
                <w:b/>
                <w:bCs/>
                <w:color w:val="FFFFFF"/>
                <w:sz w:val="20"/>
                <w:szCs w:val="20"/>
              </w:rPr>
              <w:t xml:space="preserve">❌ Traditional Brownfield Estimate Structure</w:t>
            </w:r>
          </w:p>
        </w:tc>
        <w:tc>
          <w:tcPr>
            <w:tcW w:type="dxa" w:w="4860"/>
            <w:shd w:fill="1A7F37" w:val="clear"/>
            <w:tcMar>
              <w:top w:type="dxa" w:w="113"/>
              <w:left w:type="dxa" w:w="226"/>
              <w:bottom w:type="dxa" w:w="113"/>
              <w:right w:type="dxa" w:w="226"/>
            </w:tcMar>
          </w:tcPr>
          <w:p>
            <w:pPr>
              <w:jc w:val="center"/>
            </w:pPr>
            <w:r>
              <w:rPr>
                <w:b/>
                <w:bCs/>
                <w:color w:val="FFFFFF"/>
                <w:sz w:val="20"/>
                <w:szCs w:val="20"/>
              </w:rPr>
              <w:t xml:space="preserve">✅ AI-Augmented Brownfield Estimate Structure</w:t>
            </w:r>
          </w:p>
        </w:tc>
      </w:tr>
      <w:tr>
        <w:tc>
          <w:tcPr>
            <w:tcW w:type="dxa" w:w="4500"/>
            <w:shd w:fill="EEF3FB" w:val="clear"/>
            <w:tcMar>
              <w:top w:type="dxa" w:w="113"/>
              <w:left w:type="dxa" w:w="226"/>
              <w:bottom w:type="dxa" w:w="113"/>
              <w:right w:type="dxa" w:w="226"/>
            </w:tcMar>
          </w:tcPr>
          <w:p>
            <w:r>
              <w:rPr>
                <w:color w:val="1A1A2E"/>
                <w:sz w:val="19"/>
                <w:szCs w:val="19"/>
              </w:rPr>
              <w:t xml:space="preserve">Discovery phase: 8–12 weeks of manual analysis</w:t>
            </w:r>
          </w:p>
        </w:tc>
        <w:tc>
          <w:tcPr>
            <w:tcW w:type="dxa" w:w="4860"/>
            <w:shd w:fill="EDFBF1" w:val="clear"/>
            <w:tcMar>
              <w:top w:type="dxa" w:w="113"/>
              <w:left w:type="dxa" w:w="226"/>
              <w:bottom w:type="dxa" w:w="113"/>
              <w:right w:type="dxa" w:w="226"/>
            </w:tcMar>
          </w:tcPr>
          <w:p>
            <w:r>
              <w:rPr>
                <w:color w:val="1A1A2E"/>
                <w:sz w:val="19"/>
                <w:szCs w:val="19"/>
              </w:rPr>
              <w:t xml:space="preserve">Discovery phase: 3–5 weeks with AI system analysis</w:t>
            </w:r>
          </w:p>
        </w:tc>
      </w:tr>
      <w:tr>
        <w:tc>
          <w:tcPr>
            <w:tcW w:type="dxa" w:w="4500"/>
            <w:shd w:fill="EEF3FB" w:val="clear"/>
            <w:tcMar>
              <w:top w:type="dxa" w:w="113"/>
              <w:left w:type="dxa" w:w="226"/>
              <w:bottom w:type="dxa" w:w="113"/>
              <w:right w:type="dxa" w:w="226"/>
            </w:tcMar>
          </w:tcPr>
          <w:p>
            <w:r>
              <w:rPr>
                <w:color w:val="1A1A2E"/>
                <w:sz w:val="19"/>
                <w:szCs w:val="19"/>
              </w:rPr>
              <w:t xml:space="preserve">Custom object inventory: manual spreadsheet exercise</w:t>
            </w:r>
          </w:p>
        </w:tc>
        <w:tc>
          <w:tcPr>
            <w:tcW w:type="dxa" w:w="4860"/>
            <w:shd w:fill="EDFBF1" w:val="clear"/>
            <w:tcMar>
              <w:top w:type="dxa" w:w="113"/>
              <w:left w:type="dxa" w:w="226"/>
              <w:bottom w:type="dxa" w:w="113"/>
              <w:right w:type="dxa" w:w="226"/>
            </w:tcMar>
          </w:tcPr>
          <w:p>
            <w:r>
              <w:rPr>
                <w:color w:val="1A1A2E"/>
                <w:sz w:val="19"/>
                <w:szCs w:val="19"/>
              </w:rPr>
              <w:t xml:space="preserve">Custom object inventory: AI-generated in days with risk scoring</w:t>
            </w:r>
          </w:p>
        </w:tc>
      </w:tr>
      <w:tr>
        <w:tc>
          <w:tcPr>
            <w:tcW w:type="dxa" w:w="4500"/>
            <w:shd w:fill="EEF3FB" w:val="clear"/>
            <w:tcMar>
              <w:top w:type="dxa" w:w="113"/>
              <w:left w:type="dxa" w:w="226"/>
              <w:bottom w:type="dxa" w:w="113"/>
              <w:right w:type="dxa" w:w="226"/>
            </w:tcMar>
          </w:tcPr>
          <w:p>
            <w:r>
              <w:rPr>
                <w:color w:val="1A1A2E"/>
                <w:sz w:val="19"/>
                <w:szCs w:val="19"/>
              </w:rPr>
              <w:t xml:space="preserve">Data mapping: human-led workshops + analyst time</w:t>
            </w:r>
          </w:p>
        </w:tc>
        <w:tc>
          <w:tcPr>
            <w:tcW w:type="dxa" w:w="4860"/>
            <w:shd w:fill="EDFBF1" w:val="clear"/>
            <w:tcMar>
              <w:top w:type="dxa" w:w="113"/>
              <w:left w:type="dxa" w:w="226"/>
              <w:bottom w:type="dxa" w:w="113"/>
              <w:right w:type="dxa" w:w="226"/>
            </w:tcMar>
          </w:tcPr>
          <w:p>
            <w:r>
              <w:rPr>
                <w:color w:val="1A1A2E"/>
                <w:sz w:val="19"/>
                <w:szCs w:val="19"/>
              </w:rPr>
              <w:t xml:space="preserve">Data mapping: AI-suggested 80%+ of mappings; human reviews exceptions</w:t>
            </w:r>
          </w:p>
        </w:tc>
      </w:tr>
      <w:tr>
        <w:tc>
          <w:tcPr>
            <w:tcW w:type="dxa" w:w="4500"/>
            <w:shd w:fill="EEF3FB" w:val="clear"/>
            <w:tcMar>
              <w:top w:type="dxa" w:w="113"/>
              <w:left w:type="dxa" w:w="226"/>
              <w:bottom w:type="dxa" w:w="113"/>
              <w:right w:type="dxa" w:w="226"/>
            </w:tcMar>
          </w:tcPr>
          <w:p>
            <w:r>
              <w:rPr>
                <w:color w:val="1A1A2E"/>
                <w:sz w:val="19"/>
                <w:szCs w:val="19"/>
              </w:rPr>
              <w:t xml:space="preserve">Test scripts: rebuilt from scratch or carried forward manually</w:t>
            </w:r>
          </w:p>
        </w:tc>
        <w:tc>
          <w:tcPr>
            <w:tcW w:type="dxa" w:w="4860"/>
            <w:shd w:fill="EDFBF1" w:val="clear"/>
            <w:tcMar>
              <w:top w:type="dxa" w:w="113"/>
              <w:left w:type="dxa" w:w="226"/>
              <w:bottom w:type="dxa" w:w="113"/>
              <w:right w:type="dxa" w:w="226"/>
            </w:tcMar>
          </w:tcPr>
          <w:p>
            <w:r>
              <w:rPr>
                <w:color w:val="1A1A2E"/>
                <w:sz w:val="19"/>
                <w:szCs w:val="19"/>
              </w:rPr>
              <w:t xml:space="preserve">Test scripts: AI rebuilds suite from existing business process docs</w:t>
            </w:r>
          </w:p>
        </w:tc>
      </w:tr>
      <w:tr>
        <w:tc>
          <w:tcPr>
            <w:tcW w:type="dxa" w:w="4500"/>
            <w:shd w:fill="EEF3FB" w:val="clear"/>
            <w:tcMar>
              <w:top w:type="dxa" w:w="113"/>
              <w:left w:type="dxa" w:w="226"/>
              <w:bottom w:type="dxa" w:w="113"/>
              <w:right w:type="dxa" w:w="226"/>
            </w:tcMar>
          </w:tcPr>
          <w:p>
            <w:r>
              <w:rPr>
                <w:color w:val="1A1A2E"/>
                <w:sz w:val="19"/>
                <w:szCs w:val="19"/>
              </w:rPr>
              <w:t xml:space="preserve">Parallel run: weeks of manual reconciliation</w:t>
            </w:r>
          </w:p>
        </w:tc>
        <w:tc>
          <w:tcPr>
            <w:tcW w:type="dxa" w:w="4860"/>
            <w:shd w:fill="EDFBF1" w:val="clear"/>
            <w:tcMar>
              <w:top w:type="dxa" w:w="113"/>
              <w:left w:type="dxa" w:w="226"/>
              <w:bottom w:type="dxa" w:w="113"/>
              <w:right w:type="dxa" w:w="226"/>
            </w:tcMar>
          </w:tcPr>
          <w:p>
            <w:r>
              <w:rPr>
                <w:color w:val="1A1A2E"/>
                <w:sz w:val="19"/>
                <w:szCs w:val="19"/>
              </w:rPr>
              <w:t xml:space="preserve">Parallel run: AI comparison engine; human investigates flagged variances</w:t>
            </w:r>
          </w:p>
        </w:tc>
      </w:tr>
      <w:tr>
        <w:tc>
          <w:tcPr>
            <w:tcW w:type="dxa" w:w="4500"/>
            <w:shd w:fill="EEF3FB" w:val="clear"/>
            <w:tcMar>
              <w:top w:type="dxa" w:w="113"/>
              <w:left w:type="dxa" w:w="226"/>
              <w:bottom w:type="dxa" w:w="113"/>
              <w:right w:type="dxa" w:w="226"/>
            </w:tcMar>
          </w:tcPr>
          <w:p>
            <w:r>
              <w:rPr>
                <w:color w:val="1A1A2E"/>
                <w:sz w:val="19"/>
                <w:szCs w:val="19"/>
              </w:rPr>
              <w:t xml:space="preserve">Upgrade impact: consultant expertise + manual code review</w:t>
            </w:r>
          </w:p>
        </w:tc>
        <w:tc>
          <w:tcPr>
            <w:tcW w:type="dxa" w:w="4860"/>
            <w:shd w:fill="EDFBF1" w:val="clear"/>
            <w:tcMar>
              <w:top w:type="dxa" w:w="113"/>
              <w:left w:type="dxa" w:w="226"/>
              <w:bottom w:type="dxa" w:w="113"/>
              <w:right w:type="dxa" w:w="226"/>
            </w:tcMar>
          </w:tcPr>
          <w:p>
            <w:r>
              <w:rPr>
                <w:color w:val="1A1A2E"/>
                <w:sz w:val="19"/>
                <w:szCs w:val="19"/>
              </w:rPr>
              <w:t xml:space="preserve">Upgrade impact: AI-generated report per object; human validates decisions</w:t>
            </w:r>
          </w:p>
        </w:tc>
      </w:tr>
      <w:tr>
        <w:tc>
          <w:tcPr>
            <w:tcW w:type="dxa" w:w="4500"/>
            <w:shd w:fill="EEF3FB" w:val="clear"/>
            <w:tcMar>
              <w:top w:type="dxa" w:w="113"/>
              <w:left w:type="dxa" w:w="226"/>
              <w:bottom w:type="dxa" w:w="113"/>
              <w:right w:type="dxa" w:w="226"/>
            </w:tcMar>
          </w:tcPr>
          <w:p>
            <w:r>
              <w:rPr>
                <w:color w:val="1A1A2E"/>
                <w:sz w:val="19"/>
                <w:szCs w:val="19"/>
              </w:rPr>
              <w:t xml:space="preserve">Documentation: recreated from scratch</w:t>
            </w:r>
          </w:p>
        </w:tc>
        <w:tc>
          <w:tcPr>
            <w:tcW w:type="dxa" w:w="4860"/>
            <w:shd w:fill="EDFBF1" w:val="clear"/>
            <w:tcMar>
              <w:top w:type="dxa" w:w="113"/>
              <w:left w:type="dxa" w:w="226"/>
              <w:bottom w:type="dxa" w:w="113"/>
              <w:right w:type="dxa" w:w="226"/>
            </w:tcMar>
          </w:tcPr>
          <w:p>
            <w:r>
              <w:rPr>
                <w:color w:val="1A1A2E"/>
                <w:sz w:val="19"/>
                <w:szCs w:val="19"/>
              </w:rPr>
              <w:t xml:space="preserve">Documentation: AI extracts from existing system and reformats</w:t>
            </w:r>
          </w:p>
        </w:tc>
      </w:tr>
    </w:tbl>
    <w:p>
      <w:r>
        <w:br w:type="page"/>
      </w:r>
    </w:p>
    <w:p>
      <w:pPr>
        <w:pStyle w:val="Heading1"/>
        <w:spacing w:after="100" w:before="400"/>
      </w:pPr>
      <w:r>
        <w:rPr>
          <w:b/>
          <w:bCs/>
          <w:color w:val="1F3F8F"/>
          <w:sz w:val="22"/>
          <w:szCs w:val="22"/>
        </w:rPr>
        <w:t xml:space="preserve">Component 5 — Updated Sizing Approaches for Oracle Programs</w:t>
      </w:r>
    </w:p>
    <w:p>
      <w:pPr>
        <w:spacing w:after="100" w:before="80" w:line="280"/>
      </w:pPr>
      <w:r>
        <w:rPr>
          <w:i w:val="false"/>
          <w:iCs w:val="false"/>
          <w:color w:val="1A1A2E"/>
          <w:sz w:val="20"/>
          <w:szCs w:val="20"/>
        </w:rPr>
        <w:t xml:space="preserve">Traditional sizing methods must be updated for AI delivery. The table below shows how each traditional sizing technique evolves in an AI-augmented model.</w:t>
      </w:r>
    </w:p>
    <w:p>
      <w:pPr>
        <w:spacing w:after="0" w:before="100"/>
      </w:pPr>
      <w:r>
        <w:t xml:space="preserve"/>
      </w:r>
    </w:p>
    <w:p>
      <w:pPr>
        <w:pStyle w:val="Heading2"/>
        <w:spacing w:after="100" w:before="260"/>
      </w:pPr>
      <w:r>
        <w:rPr>
          <w:b/>
          <w:bCs/>
          <w:color w:val="1F3F8F"/>
          <w:sz w:val="22"/>
          <w:szCs w:val="22"/>
        </w:rPr>
        <w:t xml:space="preserve">5.1  Object-Based Sizing (WRICEF / RICE / CEMLI) — Updated</w:t>
      </w:r>
    </w:p>
    <w:p>
      <w:pPr>
        <w:spacing w:after="100" w:before="80" w:line="280"/>
      </w:pPr>
      <w:r>
        <w:rPr>
          <w:i w:val="false"/>
          <w:iCs w:val="false"/>
          <w:color w:val="1A1A2E"/>
          <w:sz w:val="20"/>
          <w:szCs w:val="20"/>
        </w:rPr>
        <w:t xml:space="preserve">This is the most common Oracle sizing technique. The object count logic is unchanged — what changes is the effort benchmark per object type, and how complexity is classified.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1800"/>
      </w:tblGrid>
      <w:tr>
        <w:trPr>
          <w:tblHeader/>
        </w:trPr>
        <w:tc>
          <w:tcPr>
            <w:tcW w:type="dxa" w:w="2200"/>
            <w:shd w:fill="1F3F8F" w:val="clear"/>
            <w:tcMar>
              <w:top w:type="dxa" w:w="113"/>
              <w:left w:type="dxa" w:w="170"/>
              <w:bottom w:type="dxa" w:w="113"/>
              <w:right w:type="dxa" w:w="170"/>
            </w:tcMar>
          </w:tcPr>
          <w:p>
            <w:pPr>
              <w:jc w:val="center"/>
            </w:pPr>
            <w:r>
              <w:rPr>
                <w:b/>
                <w:bCs/>
                <w:color w:val="FFFFFF"/>
                <w:sz w:val="18"/>
                <w:szCs w:val="18"/>
              </w:rPr>
              <w:t xml:space="preserve">Object Type</w:t>
            </w:r>
          </w:p>
        </w:tc>
        <w:tc>
          <w:tcPr>
            <w:tcW w:type="dxa" w:w="2200"/>
            <w:shd w:fill="1F3F8F" w:val="clear"/>
            <w:tcMar>
              <w:top w:type="dxa" w:w="113"/>
              <w:left w:type="dxa" w:w="170"/>
              <w:bottom w:type="dxa" w:w="113"/>
              <w:right w:type="dxa" w:w="170"/>
            </w:tcMar>
          </w:tcPr>
          <w:p>
            <w:pPr>
              <w:jc w:val="center"/>
            </w:pPr>
            <w:r>
              <w:rPr>
                <w:b/>
                <w:bCs/>
                <w:color w:val="FFFFFF"/>
                <w:sz w:val="18"/>
                <w:szCs w:val="18"/>
              </w:rPr>
              <w:t xml:space="preserve">Traditional Hours
(H / M / L)</w:t>
            </w:r>
          </w:p>
        </w:tc>
        <w:tc>
          <w:tcPr>
            <w:tcW w:type="dxa" w:w="2300"/>
            <w:shd w:fill="1F3F8F" w:val="clear"/>
            <w:tcMar>
              <w:top w:type="dxa" w:w="113"/>
              <w:left w:type="dxa" w:w="170"/>
              <w:bottom w:type="dxa" w:w="113"/>
              <w:right w:type="dxa" w:w="170"/>
            </w:tcMar>
          </w:tcPr>
          <w:p>
            <w:pPr>
              <w:jc w:val="center"/>
            </w:pPr>
            <w:r>
              <w:rPr>
                <w:b/>
                <w:bCs/>
                <w:color w:val="FFFFFF"/>
                <w:sz w:val="18"/>
                <w:szCs w:val="18"/>
              </w:rPr>
              <w:t xml:space="preserve">AI-Adjusted Hours
(H / M / L)</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AI Participation</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Report (BI Publisher / OTBI / SQR)</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40 / 24 / 12 hrs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18 / 10 / 5 hrs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Interface (Inbound / OIC)</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80 / 50 / 24 hrs</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35 / 22 / 10 hrs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Conversion / Data Load (FBDI / HDL)</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120 / 80 / 40 hrs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48 / 30 / 14 hrs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APC-3 to 4</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Extension (VBCS / OAF / eScript)</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100 / 60 / 30 hrs</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45 / 25 / 12 hrs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APC-2 to 3</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Form / Workflow Configuration</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40 / 24 / 10 hrs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20 / 12 / 5 hrs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PL/SQL Package / Procedure</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60 / 36 / 18 hrs</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24 / 14 / 7 hrs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PeopleCode / App Engine</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60 / 36 / 18 hrs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26 / 15 / 8 hrs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OIC Integration Flow</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70 / 44 / 22 hrs</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28 / 16 / 8 hrs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APC-3</w:t>
            </w:r>
          </w:p>
        </w:tc>
      </w:tr>
      <w:tr>
        <w:tc>
          <w:tcPr>
            <w:tcW w:type="dxa" w:w="2200"/>
            <w:shd w:fill="EEF3FB" w:val="clear"/>
            <w:tcMar>
              <w:top w:type="dxa" w:w="113"/>
              <w:left w:type="dxa" w:w="170"/>
              <w:bottom w:type="dxa" w:w="113"/>
              <w:right w:type="dxa" w:w="170"/>
            </w:tcMar>
          </w:tcPr>
          <w:p>
            <w:r>
              <w:rPr>
                <w:b w:val="false"/>
                <w:bCs w:val="false"/>
                <w:color w:val="1A1A2E"/>
                <w:sz w:val="18"/>
                <w:szCs w:val="18"/>
              </w:rPr>
              <w:t xml:space="preserve">Test Script (per test case)</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4 / 2.5 / 1.5 hrs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1.5 / 0.8 / 0.4 hrs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APC-3 to 4</w:t>
            </w:r>
          </w:p>
        </w:tc>
      </w:tr>
      <w:tr>
        <w:tc>
          <w:tcPr>
            <w:tcW w:type="dxa" w:w="2200"/>
            <w:shd w:fill="FFFFFF" w:val="clear"/>
            <w:tcMar>
              <w:top w:type="dxa" w:w="113"/>
              <w:left w:type="dxa" w:w="170"/>
              <w:bottom w:type="dxa" w:w="113"/>
              <w:right w:type="dxa" w:w="170"/>
            </w:tcMar>
          </w:tcPr>
          <w:p>
            <w:r>
              <w:rPr>
                <w:b w:val="false"/>
                <w:bCs w:val="false"/>
                <w:color w:val="1A1A2E"/>
                <w:sz w:val="18"/>
                <w:szCs w:val="18"/>
              </w:rPr>
              <w:t xml:space="preserve">FDD / TDD (per document)</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12 / 8 / 4 hrs</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4 / 2.5 / 1.5 hrs</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APC-3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Important Caveat on Object Benchmarks</w:t>
            </w:r>
          </w:p>
          <w:p>
            <w:pPr>
              <w:spacing w:after="40" w:before="40" w:line="276"/>
            </w:pPr>
            <w:r>
              <w:rPr>
                <w:color w:val="1A1A2E"/>
                <w:sz w:val="19"/>
                <w:szCs w:val="19"/>
              </w:rPr>
              <w:t xml:space="preserve">The AI-adjusted hours above assume a consultant with 3+ months of AI tooling experience and a well-maintained prompt library.</w:t>
            </w:r>
          </w:p>
          <w:p>
            <w:pPr>
              <w:spacing w:after="40" w:before="40" w:line="276"/>
            </w:pPr>
            <w:r>
              <w:rPr>
                <w:color w:val="1A1A2E"/>
                <w:sz w:val="19"/>
                <w:szCs w:val="19"/>
              </w:rPr>
              <w:t xml:space="preserve">Apply a Learning Curve Multiplier of 1.15–1.25 for the first program a team delivers with AI.</w:t>
            </w:r>
          </w:p>
          <w:p>
            <w:pPr>
              <w:spacing w:after="40" w:before="40" w:line="276"/>
            </w:pPr>
            <w:r>
              <w:rPr>
                <w:color w:val="1A1A2E"/>
                <w:sz w:val="19"/>
                <w:szCs w:val="19"/>
              </w:rPr>
              <w:t xml:space="preserve">Complexity classification itself remains unchanged — AI does not change WHAT is complex, only HOW FAST it can be built.</w:t>
            </w:r>
          </w:p>
        </w:tc>
      </w:tr>
    </w:tbl>
    <w:p>
      <w:pPr>
        <w:spacing w:after="0" w:before="100"/>
      </w:pPr>
      <w:r>
        <w:t xml:space="preserve"/>
      </w:r>
    </w:p>
    <w:p>
      <w:pPr>
        <w:pStyle w:val="Heading2"/>
        <w:spacing w:after="100" w:before="260"/>
      </w:pPr>
      <w:r>
        <w:rPr>
          <w:b/>
          <w:bCs/>
          <w:color w:val="1F3F8F"/>
          <w:sz w:val="22"/>
          <w:szCs w:val="22"/>
        </w:rPr>
        <w:t xml:space="preserve">5.2  Phase-Level Effort Distribution — How It Shifts</w:t>
      </w:r>
    </w:p>
    <w:p>
      <w:pPr>
        <w:spacing w:after="100" w:before="80" w:line="280"/>
      </w:pPr>
      <w:r>
        <w:rPr>
          <w:i w:val="false"/>
          <w:iCs w:val="false"/>
          <w:color w:val="1A1A2E"/>
          <w:sz w:val="20"/>
          <w:szCs w:val="20"/>
        </w:rPr>
        <w:t xml:space="preserve">AI does not reduce all phases equally. The effort distribution across phases shifts significantly. This has important implications for program planning and resource loading.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660"/>
      </w:tblGrid>
      <w:tr>
        <w:trPr>
          <w:tblHeader/>
        </w:trPr>
        <w:tc>
          <w:tcPr>
            <w:tcW w:type="dxa" w:w="2500"/>
            <w:shd w:fill="1F3F8F" w:val="clear"/>
            <w:tcMar>
              <w:top w:type="dxa" w:w="113"/>
              <w:left w:type="dxa" w:w="170"/>
              <w:bottom w:type="dxa" w:w="113"/>
              <w:right w:type="dxa" w:w="170"/>
            </w:tcMar>
          </w:tcPr>
          <w:p>
            <w:pPr>
              <w:jc w:val="center"/>
            </w:pPr>
            <w:r>
              <w:rPr>
                <w:b/>
                <w:bCs/>
                <w:color w:val="FFFFFF"/>
                <w:sz w:val="18"/>
                <w:szCs w:val="18"/>
              </w:rPr>
              <w:t xml:space="preserve">Program Phase</w:t>
            </w:r>
          </w:p>
        </w:tc>
        <w:tc>
          <w:tcPr>
            <w:tcW w:type="dxa" w:w="2100"/>
            <w:shd w:fill="1F3F8F" w:val="clear"/>
            <w:tcMar>
              <w:top w:type="dxa" w:w="113"/>
              <w:left w:type="dxa" w:w="170"/>
              <w:bottom w:type="dxa" w:w="113"/>
              <w:right w:type="dxa" w:w="170"/>
            </w:tcMar>
          </w:tcPr>
          <w:p>
            <w:pPr>
              <w:jc w:val="center"/>
            </w:pPr>
            <w:r>
              <w:rPr>
                <w:b/>
                <w:bCs/>
                <w:color w:val="FFFFFF"/>
                <w:sz w:val="18"/>
                <w:szCs w:val="18"/>
              </w:rPr>
              <w:t xml:space="preserve">Traditional % of Total</w:t>
            </w:r>
          </w:p>
        </w:tc>
        <w:tc>
          <w:tcPr>
            <w:tcW w:type="dxa" w:w="2100"/>
            <w:shd w:fill="1F3F8F" w:val="clear"/>
            <w:tcMar>
              <w:top w:type="dxa" w:w="113"/>
              <w:left w:type="dxa" w:w="170"/>
              <w:bottom w:type="dxa" w:w="113"/>
              <w:right w:type="dxa" w:w="170"/>
            </w:tcMar>
          </w:tcPr>
          <w:p>
            <w:pPr>
              <w:jc w:val="center"/>
            </w:pPr>
            <w:r>
              <w:rPr>
                <w:b/>
                <w:bCs/>
                <w:color w:val="FFFFFF"/>
                <w:sz w:val="18"/>
                <w:szCs w:val="18"/>
              </w:rPr>
              <w:t xml:space="preserve">AI-Era % of Total</w:t>
            </w:r>
          </w:p>
        </w:tc>
        <w:tc>
          <w:tcPr>
            <w:tcW w:type="dxa" w:w="2660"/>
            <w:shd w:fill="1F3F8F" w:val="clear"/>
            <w:tcMar>
              <w:top w:type="dxa" w:w="113"/>
              <w:left w:type="dxa" w:w="170"/>
              <w:bottom w:type="dxa" w:w="113"/>
              <w:right w:type="dxa" w:w="170"/>
            </w:tcMar>
          </w:tcPr>
          <w:p>
            <w:pPr>
              <w:jc w:val="center"/>
            </w:pPr>
            <w:r>
              <w:rPr>
                <w:b/>
                <w:bCs/>
                <w:color w:val="FFFFFF"/>
                <w:sz w:val="18"/>
                <w:szCs w:val="18"/>
              </w:rPr>
              <w:t xml:space="preserve">Direction of Change</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Discovery / Fit-Gap / Blueprint</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12–16%</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10–14%</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 Slight reduction (AI accelerates analysis)</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Solution Architecture &amp; Design</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8–12%</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10–14%</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 Slight increase (more time on design decisions)</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Configuration &amp; Build</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30–40%</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25–32%</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 Significant reduction (AI in build execution)</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Data Migration</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15–20%</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10–14%</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 Large reduction (AI-led mapping/validation)</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Testing (SIT / Regression / UAT)</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18–25%</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14–18%</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 Significant reduction (AI test execution)</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AI Tooling, Overhead &amp; Governance</w:t>
            </w:r>
          </w:p>
        </w:tc>
        <w:tc>
          <w:tcPr>
            <w:tcW w:type="dxa" w:w="2100"/>
            <w:shd w:fill="FFFFFF" w:val="clear"/>
            <w:tcMar>
              <w:top w:type="dxa" w:w="113"/>
              <w:left w:type="dxa" w:w="170"/>
              <w:bottom w:type="dxa" w:w="113"/>
              <w:right w:type="dxa" w:w="170"/>
            </w:tcMar>
          </w:tcPr>
          <w:p>
            <w:r>
              <w:rPr>
                <w:b/>
                <w:bCs/>
                <w:color w:val="1A7F37"/>
                <w:sz w:val="18"/>
                <w:szCs w:val="18"/>
              </w:rPr>
              <w:t xml:space="preserve">0%</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5–8%</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 Net new category (did not exist before)</w:t>
            </w:r>
          </w:p>
        </w:tc>
      </w:tr>
      <w:tr>
        <w:tc>
          <w:tcPr>
            <w:tcW w:type="dxa" w:w="2500"/>
            <w:shd w:fill="EEF3FB" w:val="clear"/>
            <w:tcMar>
              <w:top w:type="dxa" w:w="113"/>
              <w:left w:type="dxa" w:w="170"/>
              <w:bottom w:type="dxa" w:w="113"/>
              <w:right w:type="dxa" w:w="170"/>
            </w:tcMar>
          </w:tcPr>
          <w:p>
            <w:r>
              <w:rPr>
                <w:b w:val="false"/>
                <w:bCs w:val="false"/>
                <w:color w:val="1A1A2E"/>
                <w:sz w:val="18"/>
                <w:szCs w:val="18"/>
              </w:rPr>
              <w:t xml:space="preserve">Change Management &amp; Training</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6–10%</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8–12%</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 Increase (more emphasis needed with AI-change)</w:t>
            </w:r>
          </w:p>
        </w:tc>
      </w:tr>
      <w:tr>
        <w:tc>
          <w:tcPr>
            <w:tcW w:type="dxa" w:w="2500"/>
            <w:shd w:fill="FFFFFF" w:val="clear"/>
            <w:tcMar>
              <w:top w:type="dxa" w:w="113"/>
              <w:left w:type="dxa" w:w="170"/>
              <w:bottom w:type="dxa" w:w="113"/>
              <w:right w:type="dxa" w:w="170"/>
            </w:tcMar>
          </w:tcPr>
          <w:p>
            <w:r>
              <w:rPr>
                <w:b w:val="false"/>
                <w:bCs w:val="false"/>
                <w:color w:val="1A1A2E"/>
                <w:sz w:val="18"/>
                <w:szCs w:val="18"/>
              </w:rPr>
              <w:t xml:space="preserve">Cutover &amp; Go-Live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4–6%</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4–6%</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 Largely unchanged</w:t>
            </w:r>
          </w:p>
        </w:tc>
      </w:tr>
    </w:tbl>
    <w:p>
      <w:pPr>
        <w:spacing w:after="0" w:before="80"/>
      </w:pPr>
      <w:r>
        <w:t xml:space="preserve"/>
      </w:r>
    </w:p>
    <w:p>
      <w:pPr>
        <w:spacing w:after="100" w:before="80" w:line="280"/>
      </w:pPr>
      <w:r>
        <w:rPr>
          <w:i w:val="false"/>
          <w:iCs w:val="false"/>
          <w:color w:val="1A1A2E"/>
          <w:sz w:val="20"/>
          <w:szCs w:val="20"/>
        </w:rPr>
        <w:t xml:space="preserve">Key insight: Design and Change Management phases grow in relative importance in the AI era. AI compresses execution but humans still need to make the right decisions and bring the organisation along. Under-investing in these phases is the #1 risk in AI-accelerated Oracle programs.</w:t>
      </w:r>
    </w:p>
    <w:p>
      <w:r>
        <w:br w:type="page"/>
      </w:r>
    </w:p>
    <w:p>
      <w:pPr>
        <w:pStyle w:val="Heading1"/>
        <w:spacing w:after="100" w:before="400"/>
      </w:pPr>
      <w:r>
        <w:rPr>
          <w:b/>
          <w:bCs/>
          <w:color w:val="1F3F8F"/>
          <w:sz w:val="22"/>
          <w:szCs w:val="22"/>
        </w:rPr>
        <w:t xml:space="preserve">The AI-Augmented Estimation Process — Step by Step</w:t>
      </w:r>
    </w:p>
    <w:p>
      <w:pPr>
        <w:spacing w:after="100" w:before="80" w:line="280"/>
      </w:pPr>
      <w:r>
        <w:rPr>
          <w:i w:val="false"/>
          <w:iCs w:val="false"/>
          <w:color w:val="1A1A2E"/>
          <w:sz w:val="20"/>
          <w:szCs w:val="20"/>
        </w:rPr>
        <w:t xml:space="preserve">How to actually build the estimate in practice, for both Greenfield and Brownfield Oracle programs.</w:t>
      </w:r>
    </w:p>
    <w:p>
      <w:pPr>
        <w:spacing w:after="0" w:before="80"/>
      </w:pPr>
      <w:r>
        <w:t xml:space="preserve"/>
      </w:r>
    </w:p>
    <w:p>
      <w:pPr>
        <w:pStyle w:val="Heading2"/>
        <w:spacing w:after="100" w:before="260"/>
      </w:pPr>
      <w:r>
        <w:rPr>
          <w:b/>
          <w:bCs/>
          <w:color w:val="1F3F8F"/>
          <w:sz w:val="22"/>
          <w:szCs w:val="22"/>
        </w:rPr>
        <w:t xml:space="preserve">Step 1 — Establish the Scope Inventory</w:t>
      </w:r>
    </w:p>
    <w:p>
      <w:pPr>
        <w:pStyle w:val="ListParagraph"/>
        <w:numPr>
          <w:ilvl w:val="0"/>
          <w:numId w:val="1"/>
        </w:numPr>
        <w:spacing w:after="60" w:before="60"/>
      </w:pPr>
      <w:r>
        <w:rPr>
          <w:b/>
          <w:bCs/>
          <w:color w:val="2E86AB"/>
          <w:sz w:val="20"/>
          <w:szCs w:val="20"/>
        </w:rPr>
        <w:t xml:space="preserve">Greenfield:  </w:t>
      </w:r>
      <w:r>
        <w:rPr>
          <w:color w:val="1A1A2E"/>
          <w:sz w:val="20"/>
          <w:szCs w:val="20"/>
        </w:rPr>
        <w:t xml:space="preserve">Count modules in scope, configuration objects, integrations, reports, extensions, and data migration entities.</w:t>
      </w:r>
    </w:p>
    <w:p>
      <w:pPr>
        <w:pStyle w:val="ListParagraph"/>
        <w:numPr>
          <w:ilvl w:val="0"/>
          <w:numId w:val="1"/>
        </w:numPr>
        <w:spacing w:after="60" w:before="60"/>
      </w:pPr>
      <w:r>
        <w:rPr>
          <w:b/>
          <w:bCs/>
          <w:color w:val="2E86AB"/>
          <w:sz w:val="20"/>
          <w:szCs w:val="20"/>
        </w:rPr>
        <w:t xml:space="preserve">Brownfield:  </w:t>
      </w:r>
      <w:r>
        <w:rPr>
          <w:color w:val="1A1A2E"/>
          <w:sz w:val="20"/>
          <w:szCs w:val="20"/>
        </w:rPr>
        <w:t xml:space="preserve">Run AI-assisted discovery to auto-inventory existing customisations, data entities, interfaces, and reports in the source system.</w:t>
      </w:r>
    </w:p>
    <w:p>
      <w:pPr>
        <w:pStyle w:val="ListParagraph"/>
        <w:numPr>
          <w:ilvl w:val="1"/>
          <w:numId w:val="1"/>
        </w:numPr>
        <w:spacing w:after="40" w:before="40"/>
      </w:pPr>
      <w:r>
        <w:rPr>
          <w:i/>
          <w:iCs/>
          <w:color w:val="555577"/>
          <w:sz w:val="19"/>
          <w:szCs w:val="19"/>
        </w:rPr>
        <w:t xml:space="preserve">Use AI tools for brownfield discovery — this step itself is AI-enabled and takes 30–50% less time than traditional manual discovery.</w:t>
      </w:r>
    </w:p>
    <w:p>
      <w:pPr>
        <w:spacing w:after="0" w:before="80"/>
      </w:pPr>
      <w:r>
        <w:t xml:space="preserve"/>
      </w:r>
    </w:p>
    <w:p>
      <w:pPr>
        <w:pStyle w:val="Heading2"/>
        <w:spacing w:after="100" w:before="260"/>
      </w:pPr>
      <w:r>
        <w:rPr>
          <w:b/>
          <w:bCs/>
          <w:color w:val="1F3F8F"/>
          <w:sz w:val="22"/>
          <w:szCs w:val="22"/>
        </w:rPr>
        <w:t xml:space="preserve">Step 2 — Classify Every Activity by APC Level</w:t>
      </w:r>
    </w:p>
    <w:p>
      <w:pPr>
        <w:pStyle w:val="ListParagraph"/>
        <w:numPr>
          <w:ilvl w:val="0"/>
          <w:numId w:val="1"/>
        </w:numPr>
        <w:spacing w:after="60" w:before="60"/>
      </w:pPr>
      <w:r>
        <w:rPr>
          <w:b/>
          <w:bCs/>
          <w:color w:val="2E86AB"/>
          <w:sz w:val="20"/>
          <w:szCs w:val="20"/>
        </w:rPr>
        <w:t xml:space="preserve">Apply the APC 1–4 classification to every SDLC activity and object type.  </w:t>
      </w:r>
      <w:r>
        <w:rPr>
          <w:color w:val="1A1A2E"/>
          <w:sz w:val="20"/>
          <w:szCs w:val="20"/>
        </w:rPr>
        <w:t xml:space="preserve"/>
      </w:r>
    </w:p>
    <w:p>
      <w:pPr>
        <w:pStyle w:val="ListParagraph"/>
        <w:numPr>
          <w:ilvl w:val="0"/>
          <w:numId w:val="1"/>
        </w:numPr>
        <w:spacing w:after="60" w:before="60"/>
      </w:pPr>
      <w:r>
        <w:rPr>
          <w:b/>
          <w:bCs/>
          <w:color w:val="2E86AB"/>
          <w:sz w:val="20"/>
          <w:szCs w:val="20"/>
        </w:rPr>
        <w:t xml:space="preserve">Mark APC-1 activities as "Protected" — these do not get AI productivity adjustments and must retain full traditional benchmark hours.  </w:t>
      </w:r>
      <w:r>
        <w:rPr>
          <w:color w:val="1A1A2E"/>
          <w:sz w:val="20"/>
          <w:szCs w:val="20"/>
        </w:rPr>
        <w:t xml:space="preserve"/>
      </w:r>
    </w:p>
    <w:p>
      <w:pPr>
        <w:pStyle w:val="ListParagraph"/>
        <w:numPr>
          <w:ilvl w:val="0"/>
          <w:numId w:val="1"/>
        </w:numPr>
        <w:spacing w:after="60" w:before="60"/>
      </w:pPr>
      <w:r>
        <w:rPr>
          <w:b/>
          <w:bCs/>
          <w:color w:val="2E86AB"/>
          <w:sz w:val="20"/>
          <w:szCs w:val="20"/>
        </w:rPr>
        <w:t xml:space="preserve">This is the most important estimating decision — misclassifying a business process design workshop as APC-3 will cause delivery failure.  </w:t>
      </w:r>
      <w:r>
        <w:rPr>
          <w:color w:val="1A1A2E"/>
          <w:sz w:val="20"/>
          <w:szCs w:val="20"/>
        </w:rPr>
        <w:t xml:space="preserve"/>
      </w:r>
    </w:p>
    <w:p>
      <w:pPr>
        <w:spacing w:after="0" w:before="80"/>
      </w:pPr>
      <w:r>
        <w:t xml:space="preserve"/>
      </w:r>
    </w:p>
    <w:p>
      <w:pPr>
        <w:pStyle w:val="Heading2"/>
        <w:spacing w:after="100" w:before="260"/>
      </w:pPr>
      <w:r>
        <w:rPr>
          <w:b/>
          <w:bCs/>
          <w:color w:val="1F3F8F"/>
          <w:sz w:val="22"/>
          <w:szCs w:val="22"/>
        </w:rPr>
        <w:t xml:space="preserve">Step 3 — Apply AI Productivity Factors to Base Benchmarks</w:t>
      </w:r>
    </w:p>
    <w:p>
      <w:pPr>
        <w:pStyle w:val="ListParagraph"/>
        <w:numPr>
          <w:ilvl w:val="0"/>
          <w:numId w:val="1"/>
        </w:numPr>
        <w:spacing w:after="60" w:before="60"/>
      </w:pPr>
      <w:r>
        <w:rPr>
          <w:b/>
          <w:bCs/>
          <w:color w:val="2E86AB"/>
          <w:sz w:val="20"/>
          <w:szCs w:val="20"/>
        </w:rPr>
        <w:t xml:space="preserve">Start with your organisation's existing benchmark table (RICE hours, phase % splits).  </w:t>
      </w:r>
      <w:r>
        <w:rPr>
          <w:color w:val="1A1A2E"/>
          <w:sz w:val="20"/>
          <w:szCs w:val="20"/>
        </w:rPr>
        <w:t xml:space="preserve"/>
      </w:r>
    </w:p>
    <w:p>
      <w:pPr>
        <w:pStyle w:val="ListParagraph"/>
        <w:numPr>
          <w:ilvl w:val="0"/>
          <w:numId w:val="1"/>
        </w:numPr>
        <w:spacing w:after="60" w:before="60"/>
      </w:pPr>
      <w:r>
        <w:rPr>
          <w:b/>
          <w:bCs/>
          <w:color w:val="2E86AB"/>
          <w:sz w:val="20"/>
          <w:szCs w:val="20"/>
        </w:rPr>
        <w:t xml:space="preserve">Apply the APC productivity factor to each line item.  </w:t>
      </w:r>
      <w:r>
        <w:rPr>
          <w:color w:val="1A1A2E"/>
          <w:sz w:val="20"/>
          <w:szCs w:val="20"/>
        </w:rPr>
        <w:t xml:space="preserve"/>
      </w:r>
    </w:p>
    <w:p>
      <w:pPr>
        <w:pStyle w:val="ListParagraph"/>
        <w:numPr>
          <w:ilvl w:val="0"/>
          <w:numId w:val="1"/>
        </w:numPr>
        <w:spacing w:after="60" w:before="60"/>
      </w:pPr>
      <w:r>
        <w:rPr>
          <w:b/>
          <w:bCs/>
          <w:color w:val="2E86AB"/>
          <w:sz w:val="20"/>
          <w:szCs w:val="20"/>
        </w:rPr>
        <w:t xml:space="preserve">Do NOT apply a blanket factor across the whole estimate — AI impact is not uniform.  </w:t>
      </w:r>
      <w:r>
        <w:rPr>
          <w:color w:val="1A1A2E"/>
          <w:sz w:val="20"/>
          <w:szCs w:val="20"/>
        </w:rPr>
        <w:t xml:space="preserve"/>
      </w:r>
    </w:p>
    <w:p>
      <w:pPr>
        <w:spacing w:after="0" w:before="80"/>
      </w:pPr>
      <w:r>
        <w:t xml:space="preserve"/>
      </w:r>
    </w:p>
    <w:p>
      <w:pPr>
        <w:pStyle w:val="Heading2"/>
        <w:spacing w:after="100" w:before="260"/>
      </w:pPr>
      <w:r>
        <w:rPr>
          <w:b/>
          <w:bCs/>
          <w:color w:val="1F3F8F"/>
          <w:sz w:val="22"/>
          <w:szCs w:val="22"/>
        </w:rPr>
        <w:t xml:space="preserve">Step 4 — Add AI Overhead</w:t>
      </w:r>
    </w:p>
    <w:p>
      <w:pPr>
        <w:pStyle w:val="ListParagraph"/>
        <w:numPr>
          <w:ilvl w:val="0"/>
          <w:numId w:val="1"/>
        </w:numPr>
        <w:spacing w:after="60" w:before="60"/>
      </w:pPr>
      <w:r>
        <w:rPr>
          <w:b/>
          <w:bCs/>
          <w:color w:val="2E86AB"/>
          <w:sz w:val="20"/>
          <w:szCs w:val="20"/>
        </w:rPr>
        <w:t xml:space="preserve">Add AI tooling setup hours (one-time, first 6–8 weeks of program).  </w:t>
      </w:r>
      <w:r>
        <w:rPr>
          <w:color w:val="1A1A2E"/>
          <w:sz w:val="20"/>
          <w:szCs w:val="20"/>
        </w:rPr>
        <w:t xml:space="preserve"/>
      </w:r>
    </w:p>
    <w:p>
      <w:pPr>
        <w:pStyle w:val="ListParagraph"/>
        <w:numPr>
          <w:ilvl w:val="0"/>
          <w:numId w:val="1"/>
        </w:numPr>
        <w:spacing w:after="60" w:before="60"/>
      </w:pPr>
      <w:r>
        <w:rPr>
          <w:b/>
          <w:bCs/>
          <w:color w:val="2E86AB"/>
          <w:sz w:val="20"/>
          <w:szCs w:val="20"/>
        </w:rPr>
        <w:t xml:space="preserve">Add team AI enablement hours per resource.  </w:t>
      </w:r>
      <w:r>
        <w:rPr>
          <w:color w:val="1A1A2E"/>
          <w:sz w:val="20"/>
          <w:szCs w:val="20"/>
        </w:rPr>
        <w:t xml:space="preserve"/>
      </w:r>
    </w:p>
    <w:p>
      <w:pPr>
        <w:pStyle w:val="ListParagraph"/>
        <w:numPr>
          <w:ilvl w:val="0"/>
          <w:numId w:val="1"/>
        </w:numPr>
        <w:spacing w:after="60" w:before="60"/>
      </w:pPr>
      <w:r>
        <w:rPr>
          <w:b/>
          <w:bCs/>
          <w:color w:val="2E86AB"/>
          <w:sz w:val="20"/>
          <w:szCs w:val="20"/>
        </w:rPr>
        <w:t xml:space="preserve">Add output validation hours (15–20% of hours saved by AI per workstream).  </w:t>
      </w:r>
      <w:r>
        <w:rPr>
          <w:color w:val="1A1A2E"/>
          <w:sz w:val="20"/>
          <w:szCs w:val="20"/>
        </w:rPr>
        <w:t xml:space="preserve"/>
      </w:r>
    </w:p>
    <w:p>
      <w:pPr>
        <w:pStyle w:val="ListParagraph"/>
        <w:numPr>
          <w:ilvl w:val="0"/>
          <w:numId w:val="1"/>
        </w:numPr>
        <w:spacing w:after="60" w:before="60"/>
      </w:pPr>
      <w:r>
        <w:rPr>
          <w:b/>
          <w:bCs/>
          <w:color w:val="2E86AB"/>
          <w:sz w:val="20"/>
          <w:szCs w:val="20"/>
        </w:rPr>
        <w:t xml:space="preserve">Add prompt engineering time per major workstream.  </w:t>
      </w:r>
      <w:r>
        <w:rPr>
          <w:color w:val="1A1A2E"/>
          <w:sz w:val="20"/>
          <w:szCs w:val="20"/>
        </w:rPr>
        <w:t xml:space="preserve"/>
      </w:r>
    </w:p>
    <w:p>
      <w:pPr>
        <w:pStyle w:val="ListParagraph"/>
        <w:numPr>
          <w:ilvl w:val="0"/>
          <w:numId w:val="1"/>
        </w:numPr>
        <w:spacing w:after="60" w:before="60"/>
      </w:pPr>
      <w:r>
        <w:rPr>
          <w:b/>
          <w:bCs/>
          <w:color w:val="2E86AB"/>
          <w:sz w:val="20"/>
          <w:szCs w:val="20"/>
        </w:rPr>
        <w:t xml:space="preserve">Add ongoing AI governance hours for the program duration.  </w:t>
      </w:r>
      <w:r>
        <w:rPr>
          <w:color w:val="1A1A2E"/>
          <w:sz w:val="20"/>
          <w:szCs w:val="20"/>
        </w:rPr>
        <w:t xml:space="preserve"/>
      </w:r>
    </w:p>
    <w:p>
      <w:pPr>
        <w:spacing w:after="0" w:before="80"/>
      </w:pPr>
      <w:r>
        <w:t xml:space="preserve"/>
      </w:r>
    </w:p>
    <w:p>
      <w:pPr>
        <w:pStyle w:val="Heading2"/>
        <w:spacing w:after="100" w:before="260"/>
      </w:pPr>
      <w:r>
        <w:rPr>
          <w:b/>
          <w:bCs/>
          <w:color w:val="1F3F8F"/>
          <w:sz w:val="22"/>
          <w:szCs w:val="22"/>
        </w:rPr>
        <w:t xml:space="preserve">Step 5 — Apply Programme-Level Adjusters</w:t>
      </w:r>
    </w:p>
    <w:p>
      <w:pPr>
        <w:spacing w:after="100" w:before="80" w:line="280"/>
      </w:pPr>
      <w:r>
        <w:rPr>
          <w:i w:val="false"/>
          <w:iCs w:val="false"/>
          <w:color w:val="1A1A2E"/>
          <w:sz w:val="20"/>
          <w:szCs w:val="20"/>
        </w:rPr>
        <w:t xml:space="preserve">These are multipliers applied to the total AI-adjusted estimate before presenting: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shd w:fill="1F3F8F" w:val="clear"/>
            <w:tcMar>
              <w:top w:type="dxa" w:w="113"/>
              <w:left w:type="dxa" w:w="170"/>
              <w:bottom w:type="dxa" w:w="113"/>
              <w:right w:type="dxa" w:w="170"/>
            </w:tcMar>
          </w:tcPr>
          <w:p>
            <w:pPr>
              <w:jc w:val="center"/>
            </w:pPr>
            <w:r>
              <w:rPr>
                <w:b/>
                <w:bCs/>
                <w:color w:val="FFFFFF"/>
                <w:sz w:val="18"/>
                <w:szCs w:val="18"/>
              </w:rPr>
              <w:t xml:space="preserve">Adjuster</w:t>
            </w:r>
          </w:p>
        </w:tc>
        <w:tc>
          <w:tcPr>
            <w:tcW w:type="dxa" w:w="3500"/>
            <w:shd w:fill="1F3F8F" w:val="clear"/>
            <w:tcMar>
              <w:top w:type="dxa" w:w="113"/>
              <w:left w:type="dxa" w:w="170"/>
              <w:bottom w:type="dxa" w:w="113"/>
              <w:right w:type="dxa" w:w="170"/>
            </w:tcMar>
          </w:tcPr>
          <w:p>
            <w:pPr>
              <w:jc w:val="center"/>
            </w:pPr>
            <w:r>
              <w:rPr>
                <w:b/>
                <w:bCs/>
                <w:color w:val="FFFFFF"/>
                <w:sz w:val="18"/>
                <w:szCs w:val="18"/>
              </w:rPr>
              <w:t xml:space="preserve">Condition</w:t>
            </w:r>
          </w:p>
        </w:tc>
        <w:tc>
          <w:tcPr>
            <w:tcW w:type="dxa" w:w="3460"/>
            <w:shd w:fill="1F3F8F" w:val="clear"/>
            <w:tcMar>
              <w:top w:type="dxa" w:w="113"/>
              <w:left w:type="dxa" w:w="170"/>
              <w:bottom w:type="dxa" w:w="113"/>
              <w:right w:type="dxa" w:w="170"/>
            </w:tcMar>
          </w:tcPr>
          <w:p>
            <w:pPr>
              <w:jc w:val="center"/>
            </w:pPr>
            <w:r>
              <w:rPr>
                <w:b/>
                <w:bCs/>
                <w:color w:val="FFFFFF"/>
                <w:sz w:val="18"/>
                <w:szCs w:val="18"/>
              </w:rPr>
              <w:t xml:space="preserve">Multiplier</w:t>
            </w:r>
          </w:p>
        </w:tc>
      </w:tr>
      <w:tr>
        <w:tc>
          <w:tcPr>
            <w:tcW w:type="dxa" w:w="2400"/>
            <w:shd w:fill="EEF3FB" w:val="clear"/>
            <w:tcMar>
              <w:top w:type="dxa" w:w="113"/>
              <w:left w:type="dxa" w:w="170"/>
              <w:bottom w:type="dxa" w:w="113"/>
              <w:right w:type="dxa" w:w="170"/>
            </w:tcMar>
          </w:tcPr>
          <w:p>
            <w:r>
              <w:rPr>
                <w:b w:val="false"/>
                <w:bCs w:val="false"/>
                <w:color w:val="1A1A2E"/>
                <w:sz w:val="18"/>
                <w:szCs w:val="18"/>
              </w:rPr>
              <w:t xml:space="preserve">AI Learning Curve</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Team has &lt; 3 months experience with AI delivery tooling</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 1.15 – 1.25 (first 8 weeks only)</w:t>
            </w:r>
          </w:p>
        </w:tc>
      </w:tr>
      <w:tr>
        <w:tc>
          <w:tcPr>
            <w:tcW w:type="dxa" w:w="2400"/>
            <w:shd w:fill="FFFFFF" w:val="clear"/>
            <w:tcMar>
              <w:top w:type="dxa" w:w="113"/>
              <w:left w:type="dxa" w:w="170"/>
              <w:bottom w:type="dxa" w:w="113"/>
              <w:right w:type="dxa" w:w="170"/>
            </w:tcMar>
          </w:tcPr>
          <w:p>
            <w:r>
              <w:rPr>
                <w:b w:val="false"/>
                <w:bCs w:val="false"/>
                <w:color w:val="1A1A2E"/>
                <w:sz w:val="18"/>
                <w:szCs w:val="18"/>
              </w:rPr>
              <w:t xml:space="preserve">AI Tool Maturity</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Using unproven or recently released AI tools</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 1.10 – 1.15 (risk buffer)</w:t>
            </w:r>
          </w:p>
        </w:tc>
      </w:tr>
      <w:tr>
        <w:tc>
          <w:tcPr>
            <w:tcW w:type="dxa" w:w="2400"/>
            <w:shd w:fill="EEF3FB" w:val="clear"/>
            <w:tcMar>
              <w:top w:type="dxa" w:w="113"/>
              <w:left w:type="dxa" w:w="170"/>
              <w:bottom w:type="dxa" w:w="113"/>
              <w:right w:type="dxa" w:w="170"/>
            </w:tcMar>
          </w:tcPr>
          <w:p>
            <w:r>
              <w:rPr>
                <w:b w:val="false"/>
                <w:bCs w:val="false"/>
                <w:color w:val="1A1A2E"/>
                <w:sz w:val="18"/>
                <w:szCs w:val="18"/>
              </w:rPr>
              <w:t xml:space="preserve">Data Complexity Premium</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Source system data quality is poor / unknown</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 1.20 – 1.35 on data migration workstream</w:t>
            </w:r>
          </w:p>
        </w:tc>
      </w:tr>
      <w:tr>
        <w:tc>
          <w:tcPr>
            <w:tcW w:type="dxa" w:w="2400"/>
            <w:shd w:fill="FFFFFF" w:val="clear"/>
            <w:tcMar>
              <w:top w:type="dxa" w:w="113"/>
              <w:left w:type="dxa" w:w="170"/>
              <w:bottom w:type="dxa" w:w="113"/>
              <w:right w:type="dxa" w:w="170"/>
            </w:tcMar>
          </w:tcPr>
          <w:p>
            <w:r>
              <w:rPr>
                <w:b w:val="false"/>
                <w:bCs w:val="false"/>
                <w:color w:val="1A1A2E"/>
                <w:sz w:val="18"/>
                <w:szCs w:val="18"/>
              </w:rPr>
              <w:t xml:space="preserve">Regulatory / Security Constraint</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AI tools restricted by client data policy (e.g. on-premise only, no cloud AI)</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 1.20 – 1.30 (reduces AI participation)</w:t>
            </w:r>
          </w:p>
        </w:tc>
      </w:tr>
      <w:tr>
        <w:tc>
          <w:tcPr>
            <w:tcW w:type="dxa" w:w="2400"/>
            <w:shd w:fill="EEF3FB" w:val="clear"/>
            <w:tcMar>
              <w:top w:type="dxa" w:w="113"/>
              <w:left w:type="dxa" w:w="170"/>
              <w:bottom w:type="dxa" w:w="113"/>
              <w:right w:type="dxa" w:w="170"/>
            </w:tcMar>
          </w:tcPr>
          <w:p>
            <w:r>
              <w:rPr>
                <w:b w:val="false"/>
                <w:bCs w:val="false"/>
                <w:color w:val="1A1A2E"/>
                <w:sz w:val="18"/>
                <w:szCs w:val="18"/>
              </w:rPr>
              <w:t xml:space="preserve">Highly Bespoke Customisations</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Deep, unique business logic with no pattern AI can recognise</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 1.00 (APC-1 — no AI factor applied)</w:t>
            </w:r>
          </w:p>
        </w:tc>
      </w:tr>
      <w:tr>
        <w:tc>
          <w:tcPr>
            <w:tcW w:type="dxa" w:w="2400"/>
            <w:shd w:fill="FFFFFF" w:val="clear"/>
            <w:tcMar>
              <w:top w:type="dxa" w:w="113"/>
              <w:left w:type="dxa" w:w="170"/>
              <w:bottom w:type="dxa" w:w="113"/>
              <w:right w:type="dxa" w:w="170"/>
            </w:tcMar>
          </w:tcPr>
          <w:p>
            <w:r>
              <w:rPr>
                <w:b w:val="false"/>
                <w:bCs w:val="false"/>
                <w:color w:val="1A1A2E"/>
                <w:sz w:val="18"/>
                <w:szCs w:val="18"/>
              </w:rPr>
              <w:t xml:space="preserve">Offshore AI Delivery</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AI-enabled offshore team with strong tooling</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 0.85 – 0.90 (AI + offshore compound)</w:t>
            </w:r>
          </w:p>
        </w:tc>
      </w:tr>
    </w:tbl>
    <w:p>
      <w:pPr>
        <w:spacing w:after="0" w:before="80"/>
      </w:pPr>
      <w:r>
        <w:t xml:space="preserve"/>
      </w:r>
    </w:p>
    <w:p>
      <w:pPr>
        <w:pStyle w:val="Heading2"/>
        <w:spacing w:after="100" w:before="260"/>
      </w:pPr>
      <w:r>
        <w:rPr>
          <w:b/>
          <w:bCs/>
          <w:color w:val="1F3F8F"/>
          <w:sz w:val="22"/>
          <w:szCs w:val="22"/>
        </w:rPr>
        <w:t xml:space="preserve">Step 6 — Sanity Check Against Outcome-Based Benchmarks</w:t>
      </w:r>
    </w:p>
    <w:p>
      <w:pPr>
        <w:spacing w:after="100" w:before="80" w:line="280"/>
      </w:pPr>
      <w:r>
        <w:rPr>
          <w:i w:val="false"/>
          <w:iCs w:val="false"/>
          <w:color w:val="1A1A2E"/>
          <w:sz w:val="20"/>
          <w:szCs w:val="20"/>
        </w:rPr>
        <w:t xml:space="preserve">In the AI era, a new cross-check is available: outcome benchmarks. Instead of only checking "are my hours per task reasonable?", also check:</w:t>
      </w:r>
    </w:p>
    <w:p>
      <w:pPr>
        <w:pStyle w:val="ListParagraph"/>
        <w:numPr>
          <w:ilvl w:val="0"/>
          <w:numId w:val="1"/>
        </w:numPr>
        <w:spacing w:after="60" w:before="60"/>
      </w:pPr>
      <w:r>
        <w:rPr>
          <w:b/>
          <w:bCs/>
          <w:color w:val="2E86AB"/>
          <w:sz w:val="20"/>
          <w:szCs w:val="20"/>
        </w:rPr>
        <w:t xml:space="preserve">Conversion entities per data migration consultant per week: traditionally 1–2 entities; AI-era benchmark is 3–5 entities per week.  </w:t>
      </w:r>
      <w:r>
        <w:rPr>
          <w:color w:val="1A1A2E"/>
          <w:sz w:val="20"/>
          <w:szCs w:val="20"/>
        </w:rPr>
        <w:t xml:space="preserve">→</w:t>
      </w:r>
    </w:p>
    <w:p>
      <w:pPr>
        <w:pStyle w:val="ListParagraph"/>
        <w:numPr>
          <w:ilvl w:val="0"/>
          <w:numId w:val="1"/>
        </w:numPr>
        <w:spacing w:after="60" w:before="60"/>
      </w:pPr>
      <w:r>
        <w:rPr>
          <w:b/>
          <w:bCs/>
          <w:color w:val="2E86AB"/>
          <w:sz w:val="20"/>
          <w:szCs w:val="20"/>
        </w:rPr>
        <w:t xml:space="preserve">RICE objects per developer per sprint: traditionally 2–3 objects; AI-era benchmark is 5–8 objects per sprint.  </w:t>
      </w:r>
      <w:r>
        <w:rPr>
          <w:color w:val="1A1A2E"/>
          <w:sz w:val="20"/>
          <w:szCs w:val="20"/>
        </w:rPr>
        <w:t xml:space="preserve">→</w:t>
      </w:r>
    </w:p>
    <w:p>
      <w:pPr>
        <w:pStyle w:val="ListParagraph"/>
        <w:numPr>
          <w:ilvl w:val="0"/>
          <w:numId w:val="1"/>
        </w:numPr>
        <w:spacing w:after="60" w:before="60"/>
      </w:pPr>
      <w:r>
        <w:rPr>
          <w:b/>
          <w:bCs/>
          <w:color w:val="2E86AB"/>
          <w:sz w:val="20"/>
          <w:szCs w:val="20"/>
        </w:rPr>
        <w:t xml:space="preserve">Test cases created per test analyst per day: traditionally 8–12; AI-era benchmark is 25–40 (with AI generation).  </w:t>
      </w:r>
      <w:r>
        <w:rPr>
          <w:color w:val="1A1A2E"/>
          <w:sz w:val="20"/>
          <w:szCs w:val="20"/>
        </w:rPr>
        <w:t xml:space="preserve">→</w:t>
      </w:r>
    </w:p>
    <w:p>
      <w:pPr>
        <w:pStyle w:val="ListParagraph"/>
        <w:numPr>
          <w:ilvl w:val="0"/>
          <w:numId w:val="1"/>
        </w:numPr>
        <w:spacing w:after="60" w:before="60"/>
      </w:pPr>
      <w:r>
        <w:rPr>
          <w:b/>
          <w:bCs/>
          <w:color w:val="2E86AB"/>
          <w:sz w:val="20"/>
          <w:szCs w:val="20"/>
        </w:rPr>
        <w:t xml:space="preserve">Test cases executed per day (automated): no human limit — AI runs thousands overnight.  </w:t>
      </w:r>
      <w:r>
        <w:rPr>
          <w:color w:val="1A1A2E"/>
          <w:sz w:val="20"/>
          <w:szCs w:val="20"/>
        </w:rPr>
        <w:t xml:space="preserve">→</w:t>
      </w:r>
    </w:p>
    <w:p>
      <w:pPr>
        <w:spacing w:after="100" w:before="80" w:line="280"/>
      </w:pPr>
      <w:r>
        <w:rPr>
          <w:i w:val="false"/>
          <w:iCs w:val="false"/>
          <w:color w:val="1A1A2E"/>
          <w:sz w:val="20"/>
          <w:szCs w:val="20"/>
        </w:rPr>
        <w:t xml:space="preserve"/>
      </w:r>
    </w:p>
    <w:p>
      <w:pPr>
        <w:spacing w:after="100" w:before="80" w:line="280"/>
      </w:pPr>
      <w:r>
        <w:rPr>
          <w:i w:val="false"/>
          <w:iCs w:val="false"/>
          <w:color w:val="1A1A2E"/>
          <w:sz w:val="20"/>
          <w:szCs w:val="20"/>
        </w:rPr>
        <w:t xml:space="preserve">If your estimate implies velocity lower than these benchmarks, you are over-estimating. If it implies velocity significantly higher, you may be under-estimating AI overhead.</w:t>
      </w:r>
    </w:p>
    <w:p>
      <w:r>
        <w:br w:type="page"/>
      </w:r>
    </w:p>
    <w:p>
      <w:pPr>
        <w:pStyle w:val="Heading1"/>
        <w:spacing w:after="100" w:before="400"/>
      </w:pPr>
      <w:r>
        <w:rPr>
          <w:b/>
          <w:bCs/>
          <w:color w:val="1F3F8F"/>
          <w:sz w:val="22"/>
          <w:szCs w:val="22"/>
        </w:rPr>
        <w:t xml:space="preserve">Estimation Models by Program Type</w:t>
      </w:r>
    </w:p>
    <w:p>
      <w:pPr>
        <w:spacing w:after="100" w:before="80" w:line="280"/>
      </w:pPr>
      <w:r>
        <w:rPr>
          <w:i w:val="false"/>
          <w:iCs w:val="false"/>
          <w:color w:val="1A1A2E"/>
          <w:sz w:val="20"/>
          <w:szCs w:val="20"/>
        </w:rPr>
        <w:t xml:space="preserve">The following shows how the model applies differently to each Oracle program type across Greenfield and Brownfield scenarios.</w:t>
      </w:r>
    </w:p>
    <w:p>
      <w:pPr>
        <w:spacing w:after="0" w:before="80"/>
      </w:pPr>
      <w:r>
        <w:t xml:space="preserve"/>
      </w:r>
    </w:p>
    <w:p>
      <w:pPr>
        <w:pStyle w:val="Heading2"/>
        <w:spacing w:after="100" w:before="260"/>
      </w:pPr>
      <w:r>
        <w:rPr>
          <w:b/>
          <w:bCs/>
          <w:color w:val="1F3F8F"/>
          <w:sz w:val="22"/>
          <w:szCs w:val="22"/>
        </w:rPr>
        <w:t xml:space="preserve">Oracle Fusion Cloud — Greenfield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900"/>
        <w:gridCol w:w="2000"/>
        <w:gridCol w:w="2760"/>
      </w:tblGrid>
      <w:tr>
        <w:trPr>
          <w:tblHeader/>
        </w:trPr>
        <w:tc>
          <w:tcPr>
            <w:tcW w:type="dxa" w:w="2100"/>
            <w:shd w:fill="1F3F8F" w:val="clear"/>
            <w:tcMar>
              <w:top w:type="dxa" w:w="113"/>
              <w:left w:type="dxa" w:w="170"/>
              <w:bottom w:type="dxa" w:w="113"/>
              <w:right w:type="dxa" w:w="170"/>
            </w:tcMar>
          </w:tcPr>
          <w:p>
            <w:pPr>
              <w:jc w:val="center"/>
            </w:pPr>
            <w:r>
              <w:rPr>
                <w:b/>
                <w:bCs/>
                <w:color w:val="FFFFFF"/>
                <w:sz w:val="18"/>
                <w:szCs w:val="18"/>
              </w:rPr>
              <w:t xml:space="preserve">Work Package</w:t>
            </w:r>
          </w:p>
        </w:tc>
        <w:tc>
          <w:tcPr>
            <w:tcW w:type="dxa" w:w="1600"/>
            <w:shd w:fill="1F3F8F" w:val="clear"/>
            <w:tcMar>
              <w:top w:type="dxa" w:w="113"/>
              <w:left w:type="dxa" w:w="170"/>
              <w:bottom w:type="dxa" w:w="113"/>
              <w:right w:type="dxa" w:w="170"/>
            </w:tcMar>
          </w:tcPr>
          <w:p>
            <w:pPr>
              <w:jc w:val="center"/>
            </w:pPr>
            <w:r>
              <w:rPr>
                <w:b/>
                <w:bCs/>
                <w:color w:val="FFFFFF"/>
                <w:sz w:val="18"/>
                <w:szCs w:val="18"/>
              </w:rPr>
              <w:t xml:space="preserve">Basis of Estimate</w:t>
            </w:r>
          </w:p>
        </w:tc>
        <w:tc>
          <w:tcPr>
            <w:tcW w:type="dxa" w:w="900"/>
            <w:shd w:fill="1F3F8F" w:val="clear"/>
            <w:tcMar>
              <w:top w:type="dxa" w:w="113"/>
              <w:left w:type="dxa" w:w="170"/>
              <w:bottom w:type="dxa" w:w="113"/>
              <w:right w:type="dxa" w:w="170"/>
            </w:tcMar>
          </w:tcPr>
          <w:p>
            <w:pPr>
              <w:jc w:val="center"/>
            </w:pPr>
            <w:r>
              <w:rPr>
                <w:b/>
                <w:bCs/>
                <w:color w:val="FFFFFF"/>
                <w:sz w:val="18"/>
                <w:szCs w:val="18"/>
              </w:rPr>
              <w:t xml:space="preserve">APC Level</w:t>
            </w:r>
          </w:p>
        </w:tc>
        <w:tc>
          <w:tcPr>
            <w:tcW w:type="dxa" w:w="2000"/>
            <w:shd w:fill="1F3F8F" w:val="clear"/>
            <w:tcMar>
              <w:top w:type="dxa" w:w="113"/>
              <w:left w:type="dxa" w:w="170"/>
              <w:bottom w:type="dxa" w:w="113"/>
              <w:right w:type="dxa" w:w="170"/>
            </w:tcMar>
          </w:tcPr>
          <w:p>
            <w:pPr>
              <w:jc w:val="center"/>
            </w:pPr>
            <w:r>
              <w:rPr>
                <w:b/>
                <w:bCs/>
                <w:color w:val="FFFFFF"/>
                <w:sz w:val="18"/>
                <w:szCs w:val="18"/>
              </w:rPr>
              <w:t xml:space="preserve">Key AI Lever</w:t>
            </w:r>
          </w:p>
        </w:tc>
        <w:tc>
          <w:tcPr>
            <w:tcW w:type="dxa" w:w="2760"/>
            <w:shd w:fill="1F3F8F" w:val="clear"/>
            <w:tcMar>
              <w:top w:type="dxa" w:w="113"/>
              <w:left w:type="dxa" w:w="170"/>
              <w:bottom w:type="dxa" w:w="113"/>
              <w:right w:type="dxa" w:w="170"/>
            </w:tcMar>
          </w:tcPr>
          <w:p>
            <w:pPr>
              <w:jc w:val="center"/>
            </w:pPr>
            <w:r>
              <w:rPr>
                <w:b/>
                <w:bCs/>
                <w:color w:val="FFFFFF"/>
                <w:sz w:val="18"/>
                <w:szCs w:val="18"/>
              </w:rPr>
              <w:t xml:space="preserve">Example: 5-module Finance Program</w:t>
            </w:r>
          </w:p>
        </w:tc>
      </w:tr>
      <w:tr>
        <w:tc>
          <w:tcPr>
            <w:tcW w:type="dxa" w:w="2100"/>
            <w:shd w:fill="EEF3FB" w:val="clear"/>
            <w:tcMar>
              <w:top w:type="dxa" w:w="113"/>
              <w:left w:type="dxa" w:w="170"/>
              <w:bottom w:type="dxa" w:w="113"/>
              <w:right w:type="dxa" w:w="170"/>
            </w:tcMar>
          </w:tcPr>
          <w:p>
            <w:r>
              <w:rPr>
                <w:b w:val="false"/>
                <w:bCs w:val="false"/>
                <w:color w:val="1A1A2E"/>
                <w:sz w:val="18"/>
                <w:szCs w:val="18"/>
              </w:rPr>
              <w:t xml:space="preserve">Discovery &amp; Blueprinting</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Fixed phase + workshops</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APC-1 / 2</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meeting notes → process maps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300–500 hrs</w:t>
            </w:r>
          </w:p>
        </w:tc>
      </w:tr>
      <w:tr>
        <w:tc>
          <w:tcPr>
            <w:tcW w:type="dxa" w:w="2100"/>
            <w:shd w:fill="FFFFFF" w:val="clear"/>
            <w:tcMar>
              <w:top w:type="dxa" w:w="113"/>
              <w:left w:type="dxa" w:w="170"/>
              <w:bottom w:type="dxa" w:w="113"/>
              <w:right w:type="dxa" w:w="170"/>
            </w:tcMar>
          </w:tcPr>
          <w:p>
            <w:r>
              <w:rPr>
                <w:b w:val="false"/>
                <w:bCs w:val="false"/>
                <w:color w:val="1A1A2E"/>
                <w:sz w:val="18"/>
                <w:szCs w:val="18"/>
              </w:rPr>
              <w:t xml:space="preserve">FSM Configuration</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Per module × config density</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APC-3</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AI pre-populates FSM from workbook</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400–700 hrs</w:t>
            </w:r>
          </w:p>
        </w:tc>
      </w:tr>
      <w:tr>
        <w:tc>
          <w:tcPr>
            <w:tcW w:type="dxa" w:w="2100"/>
            <w:shd w:fill="EEF3FB" w:val="clear"/>
            <w:tcMar>
              <w:top w:type="dxa" w:w="113"/>
              <w:left w:type="dxa" w:w="170"/>
              <w:bottom w:type="dxa" w:w="113"/>
              <w:right w:type="dxa" w:w="170"/>
            </w:tcMar>
          </w:tcPr>
          <w:p>
            <w:r>
              <w:rPr>
                <w:b w:val="false"/>
                <w:bCs w:val="false"/>
                <w:color w:val="1A1A2E"/>
                <w:sz w:val="18"/>
                <w:szCs w:val="18"/>
              </w:rPr>
              <w:t xml:space="preserve">OTBI / BIP Reports</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Per report × complexity</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APC-3</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generates from data model + spec</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200–400 hrs</w:t>
            </w:r>
          </w:p>
        </w:tc>
      </w:tr>
      <w:tr>
        <w:tc>
          <w:tcPr>
            <w:tcW w:type="dxa" w:w="2100"/>
            <w:shd w:fill="FFFFFF" w:val="clear"/>
            <w:tcMar>
              <w:top w:type="dxa" w:w="113"/>
              <w:left w:type="dxa" w:w="170"/>
              <w:bottom w:type="dxa" w:w="113"/>
              <w:right w:type="dxa" w:w="170"/>
            </w:tcMar>
          </w:tcPr>
          <w:p>
            <w:r>
              <w:rPr>
                <w:b w:val="false"/>
                <w:bCs w:val="false"/>
                <w:color w:val="1A1A2E"/>
                <w:sz w:val="18"/>
                <w:szCs w:val="18"/>
              </w:rPr>
              <w:t xml:space="preserve">OIC Integrations</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Per integration × complexity</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APC-3</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AI scaffolds flows + error handling</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400–800 hrs</w:t>
            </w:r>
          </w:p>
        </w:tc>
      </w:tr>
      <w:tr>
        <w:tc>
          <w:tcPr>
            <w:tcW w:type="dxa" w:w="2100"/>
            <w:shd w:fill="EEF3FB" w:val="clear"/>
            <w:tcMar>
              <w:top w:type="dxa" w:w="113"/>
              <w:left w:type="dxa" w:w="170"/>
              <w:bottom w:type="dxa" w:w="113"/>
              <w:right w:type="dxa" w:w="170"/>
            </w:tcMar>
          </w:tcPr>
          <w:p>
            <w:r>
              <w:rPr>
                <w:b w:val="false"/>
                <w:bCs w:val="false"/>
                <w:color w:val="1A1A2E"/>
                <w:sz w:val="18"/>
                <w:szCs w:val="18"/>
              </w:rPr>
              <w:t xml:space="preserve">FBDI Data Load</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Per entity × volume × quality</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APC-3/4</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maps, transforms, validates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500–900 hrs</w:t>
            </w:r>
          </w:p>
        </w:tc>
      </w:tr>
      <w:tr>
        <w:tc>
          <w:tcPr>
            <w:tcW w:type="dxa" w:w="2100"/>
            <w:shd w:fill="FFFFFF" w:val="clear"/>
            <w:tcMar>
              <w:top w:type="dxa" w:w="113"/>
              <w:left w:type="dxa" w:w="170"/>
              <w:bottom w:type="dxa" w:w="113"/>
              <w:right w:type="dxa" w:w="170"/>
            </w:tcMar>
          </w:tcPr>
          <w:p>
            <w:r>
              <w:rPr>
                <w:b w:val="false"/>
                <w:bCs w:val="false"/>
                <w:color w:val="1A1A2E"/>
                <w:sz w:val="18"/>
                <w:szCs w:val="18"/>
              </w:rPr>
              <w:t xml:space="preserve">SIT / Regression Testing</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Per test case (AI velocity)</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APC-4</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AI generates + executes + triages</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300–500 hrs</w:t>
            </w:r>
          </w:p>
        </w:tc>
      </w:tr>
      <w:tr>
        <w:tc>
          <w:tcPr>
            <w:tcW w:type="dxa" w:w="2100"/>
            <w:shd w:fill="EEF3FB" w:val="clear"/>
            <w:tcMar>
              <w:top w:type="dxa" w:w="113"/>
              <w:left w:type="dxa" w:w="170"/>
              <w:bottom w:type="dxa" w:w="113"/>
              <w:right w:type="dxa" w:w="170"/>
            </w:tcMar>
          </w:tcPr>
          <w:p>
            <w:r>
              <w:rPr>
                <w:b w:val="false"/>
                <w:bCs w:val="false"/>
                <w:color w:val="1A1A2E"/>
                <w:sz w:val="18"/>
                <w:szCs w:val="18"/>
              </w:rPr>
              <w:t xml:space="preserve">UAT Support</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Fixed phase</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APC-2</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defect categorisation + retests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200–350 hrs</w:t>
            </w:r>
          </w:p>
        </w:tc>
      </w:tr>
      <w:tr>
        <w:tc>
          <w:tcPr>
            <w:tcW w:type="dxa" w:w="2100"/>
            <w:shd w:fill="FFFFFF" w:val="clear"/>
            <w:tcMar>
              <w:top w:type="dxa" w:w="113"/>
              <w:left w:type="dxa" w:w="170"/>
              <w:bottom w:type="dxa" w:w="113"/>
              <w:right w:type="dxa" w:w="170"/>
            </w:tcMar>
          </w:tcPr>
          <w:p>
            <w:r>
              <w:rPr>
                <w:b w:val="false"/>
                <w:bCs w:val="false"/>
                <w:color w:val="1A1A2E"/>
                <w:sz w:val="18"/>
                <w:szCs w:val="18"/>
              </w:rPr>
              <w:t xml:space="preserve">AI Tooling &amp; Overhead</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Fixed (per program)</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Overhead</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Setup, prompts, validation, governance</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150–250 hrs</w:t>
            </w:r>
          </w:p>
        </w:tc>
      </w:tr>
      <w:tr>
        <w:tc>
          <w:tcPr>
            <w:tcW w:type="dxa" w:w="2100"/>
            <w:shd w:fill="EEF3FB" w:val="clear"/>
            <w:tcMar>
              <w:top w:type="dxa" w:w="113"/>
              <w:left w:type="dxa" w:w="170"/>
              <w:bottom w:type="dxa" w:w="113"/>
              <w:right w:type="dxa" w:w="170"/>
            </w:tcMar>
          </w:tcPr>
          <w:p>
            <w:r>
              <w:rPr>
                <w:b w:val="false"/>
                <w:bCs w:val="false"/>
                <w:color w:val="1A1A2E"/>
                <w:sz w:val="18"/>
                <w:szCs w:val="18"/>
              </w:rPr>
              <w:t xml:space="preserve">Change Mgmt &amp; Training</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Fixed + training units</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APC-1/2</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AI content generation; human delivery</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300–500 hrs</w:t>
            </w:r>
          </w:p>
        </w:tc>
      </w:tr>
      <w:tr>
        <w:tc>
          <w:tcPr>
            <w:tcW w:type="dxa" w:w="2100"/>
            <w:shd w:fill="FFFFFF" w:val="clear"/>
            <w:tcMar>
              <w:top w:type="dxa" w:w="113"/>
              <w:left w:type="dxa" w:w="170"/>
              <w:bottom w:type="dxa" w:w="113"/>
              <w:right w:type="dxa" w:w="170"/>
            </w:tcMar>
          </w:tcPr>
          <w:p>
            <w:r>
              <w:rPr>
                <w:b w:val="false"/>
                <w:bCs w:val="false"/>
                <w:color w:val="1A1A2E"/>
                <w:sz w:val="18"/>
                <w:szCs w:val="18"/>
              </w:rPr>
              <w:t xml:space="preserve">TOTAL (Indicative)</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
            </w:r>
          </w:p>
        </w:tc>
        <w:tc>
          <w:tcPr>
            <w:tcW w:type="dxa" w:w="900"/>
            <w:shd w:fill="FFFFFF" w:val="clear"/>
            <w:tcMar>
              <w:top w:type="dxa" w:w="113"/>
              <w:left w:type="dxa" w:w="170"/>
              <w:bottom w:type="dxa" w:w="113"/>
              <w:right w:type="dxa" w:w="170"/>
            </w:tcMar>
          </w:tcPr>
          <w:p>
            <w:r>
              <w:rPr>
                <w:b w:val="false"/>
                <w:bCs w:val="false"/>
                <w:color w:val="1A1A2E"/>
                <w:sz w:val="18"/>
                <w:szCs w:val="18"/>
              </w:rPr>
              <w:t xml:space="preserve"/>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2,750 – 4,900 hrs</w:t>
            </w:r>
          </w:p>
        </w:tc>
      </w:tr>
    </w:tbl>
    <w:p>
      <w:pPr>
        <w:spacing w:after="0" w:before="80"/>
      </w:pPr>
      <w:r>
        <w:t xml:space="preserve"/>
      </w:r>
    </w:p>
    <w:p>
      <w:pPr>
        <w:spacing w:after="100" w:before="80" w:line="280"/>
      </w:pPr>
      <w:r>
        <w:rPr>
          <w:i w:val="false"/>
          <w:iCs w:val="false"/>
          <w:color w:val="1A1A2E"/>
          <w:sz w:val="20"/>
          <w:szCs w:val="20"/>
        </w:rPr>
        <w:t xml:space="preserve">Traditional estimate for the same scope: approximately 5,500 – 9,000 hrs. AI-adjusted estimate represents a 42–50% reduction.</w:t>
      </w:r>
    </w:p>
    <w:p>
      <w:pPr>
        <w:spacing w:after="0" w:before="100"/>
      </w:pPr>
      <w:r>
        <w:t xml:space="preserve"/>
      </w:r>
    </w:p>
    <w:p>
      <w:pPr>
        <w:pStyle w:val="Heading2"/>
        <w:spacing w:after="100" w:before="260"/>
      </w:pPr>
      <w:r>
        <w:rPr>
          <w:b/>
          <w:bCs/>
          <w:color w:val="1F3F8F"/>
          <w:sz w:val="22"/>
          <w:szCs w:val="22"/>
        </w:rPr>
        <w:t xml:space="preserve">Oracle EBS/PeopleSoft — Brownfield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1900"/>
        <w:gridCol w:w="2760"/>
      </w:tblGrid>
      <w:tr>
        <w:trPr>
          <w:tblHeader/>
        </w:trPr>
        <w:tc>
          <w:tcPr>
            <w:tcW w:type="dxa" w:w="2000"/>
            <w:shd w:fill="1F3F8F" w:val="clear"/>
            <w:tcMar>
              <w:top w:type="dxa" w:w="113"/>
              <w:left w:type="dxa" w:w="170"/>
              <w:bottom w:type="dxa" w:w="113"/>
              <w:right w:type="dxa" w:w="170"/>
            </w:tcMar>
          </w:tcPr>
          <w:p>
            <w:pPr>
              <w:jc w:val="center"/>
            </w:pPr>
            <w:r>
              <w:rPr>
                <w:b/>
                <w:bCs/>
                <w:color w:val="FFFFFF"/>
                <w:sz w:val="18"/>
                <w:szCs w:val="18"/>
              </w:rPr>
              <w:t xml:space="preserve">Work Package</w:t>
            </w:r>
          </w:p>
        </w:tc>
        <w:tc>
          <w:tcPr>
            <w:tcW w:type="dxa" w:w="1800"/>
            <w:shd w:fill="1F3F8F" w:val="clear"/>
            <w:tcMar>
              <w:top w:type="dxa" w:w="113"/>
              <w:left w:type="dxa" w:w="170"/>
              <w:bottom w:type="dxa" w:w="113"/>
              <w:right w:type="dxa" w:w="170"/>
            </w:tcMar>
          </w:tcPr>
          <w:p>
            <w:pPr>
              <w:jc w:val="center"/>
            </w:pPr>
            <w:r>
              <w:rPr>
                <w:b/>
                <w:bCs/>
                <w:color w:val="FFFFFF"/>
                <w:sz w:val="18"/>
                <w:szCs w:val="18"/>
              </w:rPr>
              <w:t xml:space="preserve">Basis of Estimate</w:t>
            </w:r>
          </w:p>
        </w:tc>
        <w:tc>
          <w:tcPr>
            <w:tcW w:type="dxa" w:w="900"/>
            <w:shd w:fill="1F3F8F" w:val="clear"/>
            <w:tcMar>
              <w:top w:type="dxa" w:w="113"/>
              <w:left w:type="dxa" w:w="170"/>
              <w:bottom w:type="dxa" w:w="113"/>
              <w:right w:type="dxa" w:w="170"/>
            </w:tcMar>
          </w:tcPr>
          <w:p>
            <w:pPr>
              <w:jc w:val="center"/>
            </w:pPr>
            <w:r>
              <w:rPr>
                <w:b/>
                <w:bCs/>
                <w:color w:val="FFFFFF"/>
                <w:sz w:val="18"/>
                <w:szCs w:val="18"/>
              </w:rPr>
              <w:t xml:space="preserve">APC Level</w:t>
            </w:r>
          </w:p>
        </w:tc>
        <w:tc>
          <w:tcPr>
            <w:tcW w:type="dxa" w:w="1900"/>
            <w:shd w:fill="1F3F8F" w:val="clear"/>
            <w:tcMar>
              <w:top w:type="dxa" w:w="113"/>
              <w:left w:type="dxa" w:w="170"/>
              <w:bottom w:type="dxa" w:w="113"/>
              <w:right w:type="dxa" w:w="170"/>
            </w:tcMar>
          </w:tcPr>
          <w:p>
            <w:pPr>
              <w:jc w:val="center"/>
            </w:pPr>
            <w:r>
              <w:rPr>
                <w:b/>
                <w:bCs/>
                <w:color w:val="FFFFFF"/>
                <w:sz w:val="18"/>
                <w:szCs w:val="18"/>
              </w:rPr>
              <w:t xml:space="preserve">Key AI Lever</w:t>
            </w:r>
          </w:p>
        </w:tc>
        <w:tc>
          <w:tcPr>
            <w:tcW w:type="dxa" w:w="2760"/>
            <w:shd w:fill="1F3F8F" w:val="clear"/>
            <w:tcMar>
              <w:top w:type="dxa" w:w="113"/>
              <w:left w:type="dxa" w:w="170"/>
              <w:bottom w:type="dxa" w:w="113"/>
              <w:right w:type="dxa" w:w="170"/>
            </w:tcMar>
          </w:tcPr>
          <w:p>
            <w:pPr>
              <w:jc w:val="center"/>
            </w:pPr>
            <w:r>
              <w:rPr>
                <w:b/>
                <w:bCs/>
                <w:color w:val="FFFFFF"/>
                <w:sz w:val="18"/>
                <w:szCs w:val="18"/>
              </w:rPr>
              <w:t xml:space="preserve">Example: R12 → 12.2.x Upgrade</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Discovery &amp; Impact Analysis</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AI-automated system scan + human review</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APC-3</w:t>
            </w:r>
          </w:p>
        </w:tc>
        <w:tc>
          <w:tcPr>
            <w:tcW w:type="dxa" w:w="1900"/>
            <w:shd w:fill="EEF3FB" w:val="clear"/>
            <w:tcMar>
              <w:top w:type="dxa" w:w="113"/>
              <w:left w:type="dxa" w:w="170"/>
              <w:bottom w:type="dxa" w:w="113"/>
              <w:right w:type="dxa" w:w="170"/>
            </w:tcMar>
          </w:tcPr>
          <w:p>
            <w:r>
              <w:rPr>
                <w:b w:val="false"/>
                <w:bCs w:val="false"/>
                <w:color w:val="1A1A2E"/>
                <w:sz w:val="18"/>
                <w:szCs w:val="18"/>
              </w:rPr>
              <w:t xml:space="preserve">AI inventories custom objects + risk scores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150–250 hrs (was 400–600)</w:t>
            </w:r>
          </w:p>
        </w:tc>
      </w:tr>
      <w:tr>
        <w:tc>
          <w:tcPr>
            <w:tcW w:type="dxa" w:w="2000"/>
            <w:shd w:fill="FFFFFF" w:val="clear"/>
            <w:tcMar>
              <w:top w:type="dxa" w:w="113"/>
              <w:left w:type="dxa" w:w="170"/>
              <w:bottom w:type="dxa" w:w="113"/>
              <w:right w:type="dxa" w:w="170"/>
            </w:tcMar>
          </w:tcPr>
          <w:p>
            <w:r>
              <w:rPr>
                <w:b w:val="false"/>
                <w:bCs w:val="false"/>
                <w:color w:val="1A1A2E"/>
                <w:sz w:val="18"/>
                <w:szCs w:val="18"/>
              </w:rPr>
              <w:t xml:space="preserve">Upgrade Impact Report</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Per custom object (AI-generated)</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APC-3</w:t>
            </w:r>
          </w:p>
        </w:tc>
        <w:tc>
          <w:tcPr>
            <w:tcW w:type="dxa" w:w="1900"/>
            <w:shd w:fill="FFFFFF" w:val="clear"/>
            <w:tcMar>
              <w:top w:type="dxa" w:w="113"/>
              <w:left w:type="dxa" w:w="170"/>
              <w:bottom w:type="dxa" w:w="113"/>
              <w:right w:type="dxa" w:w="170"/>
            </w:tcMar>
          </w:tcPr>
          <w:p>
            <w:r>
              <w:rPr>
                <w:b w:val="false"/>
                <w:bCs w:val="false"/>
                <w:color w:val="1A1A2E"/>
                <w:sz w:val="18"/>
                <w:szCs w:val="18"/>
              </w:rPr>
              <w:t xml:space="preserve">AI compares source vs target APIs/schema</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80–150 hrs (was 250–400)</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RICE Remediation</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Per object × impact level</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APC-2/3</w:t>
            </w:r>
          </w:p>
        </w:tc>
        <w:tc>
          <w:tcPr>
            <w:tcW w:type="dxa" w:w="1900"/>
            <w:shd w:fill="EEF3FB" w:val="clear"/>
            <w:tcMar>
              <w:top w:type="dxa" w:w="113"/>
              <w:left w:type="dxa" w:w="170"/>
              <w:bottom w:type="dxa" w:w="113"/>
              <w:right w:type="dxa" w:w="170"/>
            </w:tcMar>
          </w:tcPr>
          <w:p>
            <w:r>
              <w:rPr>
                <w:b w:val="false"/>
                <w:bCs w:val="false"/>
                <w:color w:val="1A1A2E"/>
                <w:sz w:val="18"/>
                <w:szCs w:val="18"/>
              </w:rPr>
              <w:t xml:space="preserve">AI refactors code to new APIs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500–900 hrs (was 1,200–2,000)</w:t>
            </w:r>
          </w:p>
        </w:tc>
      </w:tr>
      <w:tr>
        <w:tc>
          <w:tcPr>
            <w:tcW w:type="dxa" w:w="2000"/>
            <w:shd w:fill="FFFFFF" w:val="clear"/>
            <w:tcMar>
              <w:top w:type="dxa" w:w="113"/>
              <w:left w:type="dxa" w:w="170"/>
              <w:bottom w:type="dxa" w:w="113"/>
              <w:right w:type="dxa" w:w="170"/>
            </w:tcMar>
          </w:tcPr>
          <w:p>
            <w:r>
              <w:rPr>
                <w:b w:val="false"/>
                <w:bCs w:val="false"/>
                <w:color w:val="1A1A2E"/>
                <w:sz w:val="18"/>
                <w:szCs w:val="18"/>
              </w:rPr>
              <w:t xml:space="preserve">Configuration Delta</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AI comparison + human sign-off</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APC-3</w:t>
            </w:r>
          </w:p>
        </w:tc>
        <w:tc>
          <w:tcPr>
            <w:tcW w:type="dxa" w:w="1900"/>
            <w:shd w:fill="FFFFFF" w:val="clear"/>
            <w:tcMar>
              <w:top w:type="dxa" w:w="113"/>
              <w:left w:type="dxa" w:w="170"/>
              <w:bottom w:type="dxa" w:w="113"/>
              <w:right w:type="dxa" w:w="170"/>
            </w:tcMar>
          </w:tcPr>
          <w:p>
            <w:r>
              <w:rPr>
                <w:b w:val="false"/>
                <w:bCs w:val="false"/>
                <w:color w:val="1A1A2E"/>
                <w:sz w:val="18"/>
                <w:szCs w:val="18"/>
              </w:rPr>
              <w:t xml:space="preserve">AI compares config tables source vs target</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100–180 hrs (was 200–350)</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Data Migration / Cleanse</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Per entity × quality score</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APC-3/4</w:t>
            </w:r>
          </w:p>
        </w:tc>
        <w:tc>
          <w:tcPr>
            <w:tcW w:type="dxa" w:w="1900"/>
            <w:shd w:fill="EEF3FB" w:val="clear"/>
            <w:tcMar>
              <w:top w:type="dxa" w:w="113"/>
              <w:left w:type="dxa" w:w="170"/>
              <w:bottom w:type="dxa" w:w="113"/>
              <w:right w:type="dxa" w:w="170"/>
            </w:tcMar>
          </w:tcPr>
          <w:p>
            <w:r>
              <w:rPr>
                <w:b w:val="false"/>
                <w:bCs w:val="false"/>
                <w:color w:val="1A1A2E"/>
                <w:sz w:val="18"/>
                <w:szCs w:val="18"/>
              </w:rPr>
              <w:t xml:space="preserve">AI profiles, maps, validates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300–500 hrs (was 600–900)</w:t>
            </w:r>
          </w:p>
        </w:tc>
      </w:tr>
      <w:tr>
        <w:tc>
          <w:tcPr>
            <w:tcW w:type="dxa" w:w="2000"/>
            <w:shd w:fill="FFFFFF" w:val="clear"/>
            <w:tcMar>
              <w:top w:type="dxa" w:w="113"/>
              <w:left w:type="dxa" w:w="170"/>
              <w:bottom w:type="dxa" w:w="113"/>
              <w:right w:type="dxa" w:w="170"/>
            </w:tcMar>
          </w:tcPr>
          <w:p>
            <w:r>
              <w:rPr>
                <w:b w:val="false"/>
                <w:bCs w:val="false"/>
                <w:color w:val="1A1A2E"/>
                <w:sz w:val="18"/>
                <w:szCs w:val="18"/>
              </w:rPr>
              <w:t xml:space="preserve">Regression Test Suite Rebuild</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AI rebuilds from process library</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APC-3/4</w:t>
            </w:r>
          </w:p>
        </w:tc>
        <w:tc>
          <w:tcPr>
            <w:tcW w:type="dxa" w:w="1900"/>
            <w:shd w:fill="FFFFFF" w:val="clear"/>
            <w:tcMar>
              <w:top w:type="dxa" w:w="113"/>
              <w:left w:type="dxa" w:w="170"/>
              <w:bottom w:type="dxa" w:w="113"/>
              <w:right w:type="dxa" w:w="170"/>
            </w:tcMar>
          </w:tcPr>
          <w:p>
            <w:r>
              <w:rPr>
                <w:b w:val="false"/>
                <w:bCs w:val="false"/>
                <w:color w:val="1A1A2E"/>
                <w:sz w:val="18"/>
                <w:szCs w:val="18"/>
              </w:rPr>
              <w:t xml:space="preserve">AI generates + executes full regression</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200–350 hrs (was 600–1,000)</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UAT + Parallel Run</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Fixed phase + AI comparison</w:t>
            </w:r>
          </w:p>
        </w:tc>
        <w:tc>
          <w:tcPr>
            <w:tcW w:type="dxa" w:w="900"/>
            <w:shd w:fill="EEF3FB" w:val="clear"/>
            <w:tcMar>
              <w:top w:type="dxa" w:w="113"/>
              <w:left w:type="dxa" w:w="170"/>
              <w:bottom w:type="dxa" w:w="113"/>
              <w:right w:type="dxa" w:w="170"/>
            </w:tcMar>
          </w:tcPr>
          <w:p>
            <w:r>
              <w:rPr>
                <w:b w:val="false"/>
                <w:bCs w:val="false"/>
                <w:color w:val="1A1A2E"/>
                <w:sz w:val="18"/>
                <w:szCs w:val="18"/>
              </w:rPr>
              <w:t xml:space="preserve">APC-2/4</w:t>
            </w:r>
          </w:p>
        </w:tc>
        <w:tc>
          <w:tcPr>
            <w:tcW w:type="dxa" w:w="1900"/>
            <w:shd w:fill="EEF3FB" w:val="clear"/>
            <w:tcMar>
              <w:top w:type="dxa" w:w="113"/>
              <w:left w:type="dxa" w:w="170"/>
              <w:bottom w:type="dxa" w:w="113"/>
              <w:right w:type="dxa" w:w="170"/>
            </w:tcMar>
          </w:tcPr>
          <w:p>
            <w:r>
              <w:rPr>
                <w:b w:val="false"/>
                <w:bCs w:val="false"/>
                <w:color w:val="1A1A2E"/>
                <w:sz w:val="18"/>
                <w:szCs w:val="18"/>
              </w:rPr>
              <w:t xml:space="preserve">AI runs parallel comparison at scale</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300–500 hrs (was 500–800)</w:t>
            </w:r>
          </w:p>
        </w:tc>
      </w:tr>
      <w:tr>
        <w:tc>
          <w:tcPr>
            <w:tcW w:type="dxa" w:w="2000"/>
            <w:shd w:fill="FFFFFF" w:val="clear"/>
            <w:tcMar>
              <w:top w:type="dxa" w:w="113"/>
              <w:left w:type="dxa" w:w="170"/>
              <w:bottom w:type="dxa" w:w="113"/>
              <w:right w:type="dxa" w:w="170"/>
            </w:tcMar>
          </w:tcPr>
          <w:p>
            <w:r>
              <w:rPr>
                <w:b w:val="false"/>
                <w:bCs w:val="false"/>
                <w:color w:val="1A1A2E"/>
                <w:sz w:val="18"/>
                <w:szCs w:val="18"/>
              </w:rPr>
              <w:t xml:space="preserve">AI Tooling &amp; Overhead</w:t>
            </w:r>
          </w:p>
        </w:tc>
        <w:tc>
          <w:tcPr>
            <w:tcW w:type="dxa" w:w="1800"/>
            <w:shd w:fill="FFFFFF" w:val="clear"/>
            <w:tcMar>
              <w:top w:type="dxa" w:w="113"/>
              <w:left w:type="dxa" w:w="170"/>
              <w:bottom w:type="dxa" w:w="113"/>
              <w:right w:type="dxa" w:w="170"/>
            </w:tcMar>
          </w:tcPr>
          <w:p>
            <w:r>
              <w:rPr>
                <w:b w:val="false"/>
                <w:bCs w:val="false"/>
                <w:color w:val="1A1A2E"/>
                <w:sz w:val="18"/>
                <w:szCs w:val="18"/>
              </w:rPr>
              <w:t xml:space="preserve">Fixed per program</w:t>
            </w:r>
          </w:p>
        </w:tc>
        <w:tc>
          <w:tcPr>
            <w:tcW w:type="dxa" w:w="900"/>
            <w:shd w:fill="FFFFFF" w:val="clear"/>
            <w:tcMar>
              <w:top w:type="dxa" w:w="113"/>
              <w:left w:type="dxa" w:w="170"/>
              <w:bottom w:type="dxa" w:w="113"/>
              <w:right w:type="dxa" w:w="170"/>
            </w:tcMar>
          </w:tcPr>
          <w:p>
            <w:r>
              <w:rPr>
                <w:b w:val="false"/>
                <w:bCs w:val="false"/>
                <w:color w:val="1A1A2E"/>
                <w:sz w:val="18"/>
                <w:szCs w:val="18"/>
              </w:rPr>
              <w:t xml:space="preserve">Overhead</w:t>
            </w:r>
          </w:p>
        </w:tc>
        <w:tc>
          <w:tcPr>
            <w:tcW w:type="dxa" w:w="1900"/>
            <w:shd w:fill="FFFFFF" w:val="clear"/>
            <w:tcMar>
              <w:top w:type="dxa" w:w="113"/>
              <w:left w:type="dxa" w:w="170"/>
              <w:bottom w:type="dxa" w:w="113"/>
              <w:right w:type="dxa" w:w="170"/>
            </w:tcMar>
          </w:tcPr>
          <w:p>
            <w:r>
              <w:rPr>
                <w:b w:val="false"/>
                <w:bCs w:val="false"/>
                <w:color w:val="1A1A2E"/>
                <w:sz w:val="18"/>
                <w:szCs w:val="18"/>
              </w:rPr>
              <w:t xml:space="preserve">Setup, validation, governance</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120–200 hrs</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TOTAL (Indicative)</w:t>
            </w:r>
          </w:p>
        </w:tc>
        <w:tc>
          <w:tcPr>
            <w:tcW w:type="dxa" w:w="1800"/>
            <w:shd w:fill="EEF3FB" w:val="clear"/>
            <w:tcMar>
              <w:top w:type="dxa" w:w="113"/>
              <w:left w:type="dxa" w:w="170"/>
              <w:bottom w:type="dxa" w:w="113"/>
              <w:right w:type="dxa" w:w="170"/>
            </w:tcMar>
          </w:tcPr>
          <w:p>
            <w:r>
              <w:rPr>
                <w:b w:val="false"/>
                <w:bCs w:val="false"/>
                <w:color w:val="1A1A2E"/>
                <w:sz w:val="18"/>
                <w:szCs w:val="18"/>
              </w:rPr>
              <w:t xml:space="preserve"/>
            </w:r>
          </w:p>
        </w:tc>
        <w:tc>
          <w:tcPr>
            <w:tcW w:type="dxa" w:w="900"/>
            <w:shd w:fill="EEF3FB" w:val="clear"/>
            <w:tcMar>
              <w:top w:type="dxa" w:w="113"/>
              <w:left w:type="dxa" w:w="170"/>
              <w:bottom w:type="dxa" w:w="113"/>
              <w:right w:type="dxa" w:w="170"/>
            </w:tcMar>
          </w:tcPr>
          <w:p>
            <w:r>
              <w:rPr>
                <w:b w:val="false"/>
                <w:bCs w:val="false"/>
                <w:color w:val="1A1A2E"/>
                <w:sz w:val="18"/>
                <w:szCs w:val="18"/>
              </w:rPr>
              <w:t xml:space="preserve"/>
            </w:r>
          </w:p>
        </w:tc>
        <w:tc>
          <w:tcPr>
            <w:tcW w:type="dxa" w:w="1900"/>
            <w:shd w:fill="EEF3FB" w:val="clear"/>
            <w:tcMar>
              <w:top w:type="dxa" w:w="113"/>
              <w:left w:type="dxa" w:w="170"/>
              <w:bottom w:type="dxa" w:w="113"/>
              <w:right w:type="dxa" w:w="170"/>
            </w:tcMar>
          </w:tcPr>
          <w:p>
            <w:r>
              <w:rPr>
                <w:b w:val="false"/>
                <w:bCs w:val="false"/>
                <w:color w:val="1A1A2E"/>
                <w:sz w:val="18"/>
                <w:szCs w:val="18"/>
              </w:rPr>
              <w:t xml:space="preserve"/>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1,750 – 3,030 hrs</w:t>
            </w:r>
          </w:p>
        </w:tc>
      </w:tr>
    </w:tbl>
    <w:p>
      <w:pPr>
        <w:spacing w:after="0" w:before="80"/>
      </w:pPr>
      <w:r>
        <w:t xml:space="preserve"/>
      </w:r>
    </w:p>
    <w:p>
      <w:pPr>
        <w:spacing w:after="100" w:before="80" w:line="280"/>
      </w:pPr>
      <w:r>
        <w:rPr>
          <w:i w:val="false"/>
          <w:iCs w:val="false"/>
          <w:color w:val="1A1A2E"/>
          <w:sz w:val="20"/>
          <w:szCs w:val="20"/>
        </w:rPr>
        <w:t xml:space="preserve">Traditional estimate for the same scope: approximately 4,000 – 7,000 hrs. AI-adjusted estimate represents a 45–55% reduction.</w:t>
      </w:r>
    </w:p>
    <w:p>
      <w:r>
        <w:br w:type="page"/>
      </w:r>
    </w:p>
    <w:p>
      <w:pPr>
        <w:pStyle w:val="Heading1"/>
        <w:spacing w:after="100" w:before="400"/>
      </w:pPr>
      <w:r>
        <w:rPr>
          <w:b/>
          <w:bCs/>
          <w:color w:val="1F3F8F"/>
          <w:sz w:val="22"/>
          <w:szCs w:val="22"/>
        </w:rPr>
        <w:t xml:space="preserve">How Estimation Feeds Commercial Models in the AI Era</w:t>
      </w:r>
    </w:p>
    <w:p>
      <w:pPr>
        <w:spacing w:after="100" w:before="80" w:line="280"/>
      </w:pPr>
      <w:r>
        <w:rPr>
          <w:i w:val="false"/>
          <w:iCs w:val="false"/>
          <w:color w:val="1A1A2E"/>
          <w:sz w:val="20"/>
          <w:szCs w:val="20"/>
        </w:rPr>
        <w:t xml:space="preserve">Estimating fewer hours creates a commercial tension: clients expect lower prices (because AI saves effort), while delivery partners want to retain margin (because AI tooling costs money). The new estimation approach must address this head-on.</w:t>
      </w:r>
    </w:p>
    <w:p>
      <w:pPr>
        <w:spacing w:after="0" w:before="80"/>
      </w:pPr>
      <w:r>
        <w:t xml:space="preserve"/>
      </w:r>
    </w:p>
    <w:p>
      <w:pPr>
        <w:pStyle w:val="Heading2"/>
        <w:spacing w:after="100" w:before="260"/>
      </w:pPr>
      <w:r>
        <w:rPr>
          <w:b/>
          <w:bCs/>
          <w:color w:val="1F3F8F"/>
          <w:sz w:val="22"/>
          <w:szCs w:val="22"/>
        </w:rPr>
        <w:t xml:space="preserve">The Three Commercial Model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rPr>
          <w:tblHeader/>
        </w:trPr>
        <w:tc>
          <w:tcPr>
            <w:tcW w:type="dxa" w:w="2000"/>
            <w:shd w:fill="1F3F8F" w:val="clear"/>
            <w:tcMar>
              <w:top w:type="dxa" w:w="113"/>
              <w:left w:type="dxa" w:w="170"/>
              <w:bottom w:type="dxa" w:w="113"/>
              <w:right w:type="dxa" w:w="170"/>
            </w:tcMar>
          </w:tcPr>
          <w:p>
            <w:pPr>
              <w:jc w:val="center"/>
            </w:pPr>
            <w:r>
              <w:rPr>
                <w:b/>
                <w:bCs/>
                <w:color w:val="FFFFFF"/>
                <w:sz w:val="18"/>
                <w:szCs w:val="18"/>
              </w:rPr>
              <w:t xml:space="preserve">Commercial Model</w:t>
            </w:r>
          </w:p>
        </w:tc>
        <w:tc>
          <w:tcPr>
            <w:tcW w:type="dxa" w:w="2800"/>
            <w:shd w:fill="1F3F8F" w:val="clear"/>
            <w:tcMar>
              <w:top w:type="dxa" w:w="113"/>
              <w:left w:type="dxa" w:w="170"/>
              <w:bottom w:type="dxa" w:w="113"/>
              <w:right w:type="dxa" w:w="170"/>
            </w:tcMar>
          </w:tcPr>
          <w:p>
            <w:pPr>
              <w:jc w:val="center"/>
            </w:pPr>
            <w:r>
              <w:rPr>
                <w:b/>
                <w:bCs/>
                <w:color w:val="FFFFFF"/>
                <w:sz w:val="18"/>
                <w:szCs w:val="18"/>
              </w:rPr>
              <w:t xml:space="preserve">How Estimate Is Used</w:t>
            </w:r>
          </w:p>
        </w:tc>
        <w:tc>
          <w:tcPr>
            <w:tcW w:type="dxa" w:w="2300"/>
            <w:shd w:fill="1F3F8F" w:val="clear"/>
            <w:tcMar>
              <w:top w:type="dxa" w:w="113"/>
              <w:left w:type="dxa" w:w="170"/>
              <w:bottom w:type="dxa" w:w="113"/>
              <w:right w:type="dxa" w:w="170"/>
            </w:tcMar>
          </w:tcPr>
          <w:p>
            <w:pPr>
              <w:jc w:val="center"/>
            </w:pPr>
            <w:r>
              <w:rPr>
                <w:b/>
                <w:bCs/>
                <w:color w:val="FFFFFF"/>
                <w:sz w:val="18"/>
                <w:szCs w:val="18"/>
              </w:rPr>
              <w:t xml:space="preserve">Who Benefits from AI Savings</w:t>
            </w:r>
          </w:p>
        </w:tc>
        <w:tc>
          <w:tcPr>
            <w:tcW w:type="dxa" w:w="2260"/>
            <w:shd w:fill="1F3F8F" w:val="clear"/>
            <w:tcMar>
              <w:top w:type="dxa" w:w="113"/>
              <w:left w:type="dxa" w:w="170"/>
              <w:bottom w:type="dxa" w:w="113"/>
              <w:right w:type="dxa" w:w="170"/>
            </w:tcMar>
          </w:tcPr>
          <w:p>
            <w:pPr>
              <w:jc w:val="center"/>
            </w:pPr>
            <w:r>
              <w:rPr>
                <w:b/>
                <w:bCs/>
                <w:color w:val="FFFFFF"/>
                <w:sz w:val="18"/>
                <w:szCs w:val="18"/>
              </w:rPr>
              <w:t xml:space="preserve">Best Fit</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Time &amp; Materials (T&amp;M)</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Estimate sets resource plan; actuals billed. Client pays for actual AI-adjusted hours.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Client gets lower bill if AI performs well</w:t>
            </w:r>
          </w:p>
        </w:tc>
        <w:tc>
          <w:tcPr>
            <w:tcW w:type="dxa" w:w="2260"/>
            <w:shd w:fill="EEF3FB" w:val="clear"/>
            <w:tcMar>
              <w:top w:type="dxa" w:w="113"/>
              <w:left w:type="dxa" w:w="170"/>
              <w:bottom w:type="dxa" w:w="113"/>
              <w:right w:type="dxa" w:w="170"/>
            </w:tcMar>
          </w:tcPr>
          <w:p>
            <w:r>
              <w:rPr>
                <w:b w:val="false"/>
                <w:bCs w:val="false"/>
                <w:color w:val="1A1A2E"/>
                <w:sz w:val="18"/>
                <w:szCs w:val="18"/>
              </w:rPr>
              <w:t xml:space="preserve">Low-complexity programs; clients who want transparency</w:t>
            </w:r>
          </w:p>
        </w:tc>
      </w:tr>
      <w:tr>
        <w:tc>
          <w:tcPr>
            <w:tcW w:type="dxa" w:w="2000"/>
            <w:shd w:fill="FFFFFF" w:val="clear"/>
            <w:tcMar>
              <w:top w:type="dxa" w:w="113"/>
              <w:left w:type="dxa" w:w="170"/>
              <w:bottom w:type="dxa" w:w="113"/>
              <w:right w:type="dxa" w:w="170"/>
            </w:tcMar>
          </w:tcPr>
          <w:p>
            <w:r>
              <w:rPr>
                <w:b w:val="false"/>
                <w:bCs w:val="false"/>
                <w:color w:val="1A1A2E"/>
                <w:sz w:val="18"/>
                <w:szCs w:val="18"/>
              </w:rPr>
              <w:t xml:space="preserve">Fixed Price</w:t>
            </w:r>
          </w:p>
        </w:tc>
        <w:tc>
          <w:tcPr>
            <w:tcW w:type="dxa" w:w="2800"/>
            <w:shd w:fill="FFFFFF" w:val="clear"/>
            <w:tcMar>
              <w:top w:type="dxa" w:w="113"/>
              <w:left w:type="dxa" w:w="170"/>
              <w:bottom w:type="dxa" w:w="113"/>
              <w:right w:type="dxa" w:w="170"/>
            </w:tcMar>
          </w:tcPr>
          <w:p>
            <w:r>
              <w:rPr>
                <w:b w:val="false"/>
                <w:bCs w:val="false"/>
                <w:color w:val="1A1A2E"/>
                <w:sz w:val="18"/>
                <w:szCs w:val="18"/>
              </w:rPr>
              <w:t xml:space="preserve">AI-adjusted estimate sets the price. Delivery partner absorbs risk and upside of AI performance.</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Delivery partner captures upside of AI outperforming estimate</w:t>
            </w:r>
          </w:p>
        </w:tc>
        <w:tc>
          <w:tcPr>
            <w:tcW w:type="dxa" w:w="2260"/>
            <w:shd w:fill="FFFFFF" w:val="clear"/>
            <w:tcMar>
              <w:top w:type="dxa" w:w="113"/>
              <w:left w:type="dxa" w:w="170"/>
              <w:bottom w:type="dxa" w:w="113"/>
              <w:right w:type="dxa" w:w="170"/>
            </w:tcMar>
          </w:tcPr>
          <w:p>
            <w:r>
              <w:rPr>
                <w:b w:val="false"/>
                <w:bCs w:val="false"/>
                <w:color w:val="1A1A2E"/>
                <w:sz w:val="18"/>
                <w:szCs w:val="18"/>
              </w:rPr>
              <w:t xml:space="preserve">Well-defined scope; mature AI tooling; strong templates</w:t>
            </w:r>
          </w:p>
        </w:tc>
      </w:tr>
      <w:tr>
        <w:tc>
          <w:tcPr>
            <w:tcW w:type="dxa" w:w="2000"/>
            <w:shd w:fill="EEF3FB" w:val="clear"/>
            <w:tcMar>
              <w:top w:type="dxa" w:w="113"/>
              <w:left w:type="dxa" w:w="170"/>
              <w:bottom w:type="dxa" w:w="113"/>
              <w:right w:type="dxa" w:w="170"/>
            </w:tcMar>
          </w:tcPr>
          <w:p>
            <w:r>
              <w:rPr>
                <w:b w:val="false"/>
                <w:bCs w:val="false"/>
                <w:color w:val="1A1A2E"/>
                <w:sz w:val="18"/>
                <w:szCs w:val="18"/>
              </w:rPr>
              <w:t xml:space="preserve">Outcome / Value-Based</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Price tied to delivered outcomes (system live, SLA achieved, defect rate). Effort is internal.</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Both parties share value created</w:t>
            </w:r>
          </w:p>
        </w:tc>
        <w:tc>
          <w:tcPr>
            <w:tcW w:type="dxa" w:w="2260"/>
            <w:shd w:fill="EEF3FB" w:val="clear"/>
            <w:tcMar>
              <w:top w:type="dxa" w:w="113"/>
              <w:left w:type="dxa" w:w="170"/>
              <w:bottom w:type="dxa" w:w="113"/>
              <w:right w:type="dxa" w:w="170"/>
            </w:tcMar>
          </w:tcPr>
          <w:p>
            <w:r>
              <w:rPr>
                <w:b w:val="false"/>
                <w:bCs w:val="false"/>
                <w:color w:val="1A1A2E"/>
                <w:sz w:val="18"/>
                <w:szCs w:val="18"/>
              </w:rPr>
              <w:t xml:space="preserve">Large programs; strong partnership; willingness to co-invest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7F37" w:sz="10"/>
              <w:left w:val="thick" w:color="1A7F37" w:sz="10"/>
              <w:bottom w:val="none"/>
              <w:right w:val="none"/>
            </w:tcBorders>
            <w:shd w:fill="EDFBF1" w:val="clear"/>
            <w:tcMar>
              <w:top w:type="dxa" w:w="170"/>
              <w:left w:type="dxa" w:w="283"/>
              <w:bottom w:type="dxa" w:w="170"/>
              <w:right w:type="dxa" w:w="283"/>
            </w:tcMar>
          </w:tcPr>
          <w:p>
            <w:pPr>
              <w:spacing w:after="80"/>
            </w:pPr>
            <w:r>
              <w:rPr>
                <w:b/>
                <w:bCs/>
                <w:color w:val="1A7F37"/>
                <w:sz w:val="20"/>
                <w:szCs w:val="20"/>
              </w:rPr>
              <w:t xml:space="preserve">💡  Recommended Approach</w:t>
            </w:r>
          </w:p>
          <w:p>
            <w:pPr>
              <w:spacing w:after="40" w:before="40" w:line="276"/>
            </w:pPr>
            <w:r>
              <w:rPr>
                <w:color w:val="1A1A2E"/>
                <w:sz w:val="19"/>
                <w:szCs w:val="19"/>
              </w:rPr>
              <w:t xml:space="preserve">For most Oracle programs in 2025–2027, recommend a Hybrid model:</w:t>
            </w:r>
          </w:p>
          <w:p>
            <w:pPr>
              <w:spacing w:after="40" w:before="40" w:line="276"/>
            </w:pPr>
            <w:r>
              <w:rPr>
                <w:color w:val="1A1A2E"/>
                <w:sz w:val="19"/>
                <w:szCs w:val="19"/>
              </w:rPr>
              <w:t xml:space="preserve"/>
            </w:r>
          </w:p>
          <w:p>
            <w:pPr>
              <w:spacing w:after="40" w:before="40" w:line="276"/>
            </w:pPr>
            <w:r>
              <w:rPr>
                <w:color w:val="1A1A2E"/>
                <w:sz w:val="19"/>
                <w:szCs w:val="19"/>
              </w:rPr>
              <w:t xml:space="preserve">→ Fixed price for AI-led workstreams (data migration, regression testing, documentation)</w:t>
            </w:r>
          </w:p>
          <w:p>
            <w:pPr>
              <w:spacing w:after="40" w:before="40" w:line="276"/>
            </w:pPr>
            <w:r>
              <w:rPr>
                <w:color w:val="1A1A2E"/>
                <w:sz w:val="19"/>
                <w:szCs w:val="19"/>
              </w:rPr>
              <w:t xml:space="preserve">   — these are well-defined, AI handles predictably, you can absorb the risk and capture upside.</w:t>
            </w:r>
          </w:p>
          <w:p>
            <w:pPr>
              <w:spacing w:after="40" w:before="40" w:line="276"/>
            </w:pPr>
            <w:r>
              <w:rPr>
                <w:color w:val="1A1A2E"/>
                <w:sz w:val="19"/>
                <w:szCs w:val="19"/>
              </w:rPr>
              <w:t xml:space="preserve"/>
            </w:r>
          </w:p>
          <w:p>
            <w:pPr>
              <w:spacing w:after="40" w:before="40" w:line="276"/>
            </w:pPr>
            <w:r>
              <w:rPr>
                <w:color w:val="1A1A2E"/>
                <w:sz w:val="19"/>
                <w:szCs w:val="19"/>
              </w:rPr>
              <w:t xml:space="preserve">→ T&amp;M with a capped estimate for human-led workstreams (blueprinting, change management, UAT)</w:t>
            </w:r>
          </w:p>
          <w:p>
            <w:pPr>
              <w:spacing w:after="40" w:before="40" w:line="276"/>
            </w:pPr>
            <w:r>
              <w:rPr>
                <w:color w:val="1A1A2E"/>
                <w:sz w:val="19"/>
                <w:szCs w:val="19"/>
              </w:rPr>
              <w:t xml:space="preserve">   — these vary by client behaviour and cannot be fixed-priced responsibly.</w:t>
            </w:r>
          </w:p>
          <w:p>
            <w:pPr>
              <w:spacing w:after="40" w:before="40" w:line="276"/>
            </w:pPr>
            <w:r>
              <w:rPr>
                <w:color w:val="1A1A2E"/>
                <w:sz w:val="19"/>
                <w:szCs w:val="19"/>
              </w:rPr>
              <w:t xml:space="preserve"/>
            </w:r>
          </w:p>
          <w:p>
            <w:pPr>
              <w:spacing w:after="40" w:before="40" w:line="276"/>
            </w:pPr>
            <w:r>
              <w:rPr>
                <w:color w:val="1A1A2E"/>
                <w:sz w:val="19"/>
                <w:szCs w:val="19"/>
              </w:rPr>
              <w:t xml:space="preserve">Offer the client a single blended price that reflects this structure without revealing the internal split.</w:t>
            </w:r>
          </w:p>
        </w:tc>
      </w:tr>
    </w:tbl>
    <w:p>
      <w:pPr>
        <w:spacing w:after="0" w:before="100"/>
      </w:pPr>
      <w:r>
        <w:t xml:space="preserve"/>
      </w:r>
    </w:p>
    <w:p>
      <w:pPr>
        <w:pStyle w:val="Heading2"/>
        <w:spacing w:after="100" w:before="260"/>
      </w:pPr>
      <w:r>
        <w:rPr>
          <w:b/>
          <w:bCs/>
          <w:color w:val="1F3F8F"/>
          <w:sz w:val="22"/>
          <w:szCs w:val="22"/>
        </w:rPr>
        <w:t xml:space="preserve">How to Present AI-Adjusted Estimates to Clients</w:t>
      </w:r>
    </w:p>
    <w:p>
      <w:pPr>
        <w:spacing w:after="100" w:before="80" w:line="280"/>
      </w:pPr>
      <w:r>
        <w:rPr>
          <w:i w:val="false"/>
          <w:iCs w:val="false"/>
          <w:color w:val="1A1A2E"/>
          <w:sz w:val="20"/>
          <w:szCs w:val="20"/>
        </w:rPr>
        <w:t xml:space="preserve">Do NOT present estimates as simply "we are using AI so it costs less." Clients want to understand where the savings come from and be assured that quality is maintained. Use this structure:</w:t>
      </w:r>
    </w:p>
    <w:p>
      <w:pPr>
        <w:spacing w:after="0" w:before="60"/>
      </w:pPr>
      <w:r>
        <w:t xml:space="preserve"/>
      </w:r>
    </w:p>
    <w:p>
      <w:pPr>
        <w:pStyle w:val="ListParagraph"/>
        <w:numPr>
          <w:ilvl w:val="0"/>
          <w:numId w:val="1"/>
        </w:numPr>
        <w:spacing w:after="60" w:before="60"/>
      </w:pPr>
      <w:r>
        <w:rPr>
          <w:b/>
          <w:bCs/>
          <w:color w:val="2E86AB"/>
          <w:sz w:val="20"/>
          <w:szCs w:val="20"/>
        </w:rPr>
        <w:t xml:space="preserve">Lead with the outcome:  </w:t>
      </w:r>
      <w:r>
        <w:rPr>
          <w:color w:val="1A1A2E"/>
          <w:sz w:val="20"/>
          <w:szCs w:val="20"/>
        </w:rPr>
        <w:t xml:space="preserve">Show the client what they get (working system, migrated data, test coverage) — not just how many hours it takes.</w:t>
      </w:r>
    </w:p>
    <w:p>
      <w:pPr>
        <w:pStyle w:val="ListParagraph"/>
        <w:numPr>
          <w:ilvl w:val="0"/>
          <w:numId w:val="1"/>
        </w:numPr>
        <w:spacing w:after="60" w:before="60"/>
      </w:pPr>
      <w:r>
        <w:rPr>
          <w:b/>
          <w:bCs/>
          <w:color w:val="2E86AB"/>
          <w:sz w:val="20"/>
          <w:szCs w:val="20"/>
        </w:rPr>
        <w:t xml:space="preserve">Show the AI layer:  </w:t>
      </w:r>
      <w:r>
        <w:rPr>
          <w:color w:val="1A1A2E"/>
          <w:sz w:val="20"/>
          <w:szCs w:val="20"/>
        </w:rPr>
        <w:t xml:space="preserve">Explicitly call out which activities are AI-augmented, and what validation ensures quality (e.g. "all AI-generated code is reviewed by a senior architect").</w:t>
      </w:r>
    </w:p>
    <w:p>
      <w:pPr>
        <w:pStyle w:val="ListParagraph"/>
        <w:numPr>
          <w:ilvl w:val="0"/>
          <w:numId w:val="1"/>
        </w:numPr>
        <w:spacing w:after="60" w:before="60"/>
      </w:pPr>
      <w:r>
        <w:rPr>
          <w:b/>
          <w:bCs/>
          <w:color w:val="2E86AB"/>
          <w:sz w:val="20"/>
          <w:szCs w:val="20"/>
        </w:rPr>
        <w:t xml:space="preserve">Present the AI overhead:  </w:t>
      </w:r>
      <w:r>
        <w:rPr>
          <w:color w:val="1A1A2E"/>
          <w:sz w:val="20"/>
          <w:szCs w:val="20"/>
        </w:rPr>
        <w:t xml:space="preserve">Do not hide the tooling, setup, and validation costs. Clients trust transparent estimates more than suspiciously low ones.</w:t>
      </w:r>
    </w:p>
    <w:p>
      <w:pPr>
        <w:pStyle w:val="ListParagraph"/>
        <w:numPr>
          <w:ilvl w:val="0"/>
          <w:numId w:val="1"/>
        </w:numPr>
        <w:spacing w:after="60" w:before="60"/>
      </w:pPr>
      <w:r>
        <w:rPr>
          <w:b/>
          <w:bCs/>
          <w:color w:val="2E86AB"/>
          <w:sz w:val="20"/>
          <w:szCs w:val="20"/>
        </w:rPr>
        <w:t xml:space="preserve">Offer a comparison:  </w:t>
      </w:r>
      <w:r>
        <w:rPr>
          <w:color w:val="1A1A2E"/>
          <w:sz w:val="20"/>
          <w:szCs w:val="20"/>
        </w:rPr>
        <w:t xml:space="preserve">Show the traditional estimate vs. the AI-adjusted estimate side-by-side. Let the client see they are getting the same scope for less.</w:t>
      </w:r>
    </w:p>
    <w:p>
      <w:pPr>
        <w:pStyle w:val="ListParagraph"/>
        <w:numPr>
          <w:ilvl w:val="0"/>
          <w:numId w:val="1"/>
        </w:numPr>
        <w:spacing w:after="60" w:before="60"/>
      </w:pPr>
      <w:r>
        <w:rPr>
          <w:b/>
          <w:bCs/>
          <w:color w:val="2E86AB"/>
          <w:sz w:val="20"/>
          <w:szCs w:val="20"/>
        </w:rPr>
        <w:t xml:space="preserve">Provide a contingency:  </w:t>
      </w:r>
      <w:r>
        <w:rPr>
          <w:color w:val="1A1A2E"/>
          <w:sz w:val="20"/>
          <w:szCs w:val="20"/>
        </w:rPr>
        <w:t xml:space="preserve">Include an AI performance contingency of 5–10% — if AI tools underperform expectations, this absorbs the impact without a change request.</w:t>
      </w:r>
    </w:p>
    <w:p>
      <w:r>
        <w:br w:type="page"/>
      </w:r>
    </w:p>
    <w:p>
      <w:pPr>
        <w:pStyle w:val="Heading1"/>
        <w:spacing w:after="100" w:before="400"/>
      </w:pPr>
      <w:r>
        <w:rPr>
          <w:b/>
          <w:bCs/>
          <w:color w:val="1F3F8F"/>
          <w:sz w:val="22"/>
          <w:szCs w:val="22"/>
        </w:rPr>
        <w:t xml:space="preserve">Estimation Quick Reference — AI-Augmented Oracle Programs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F8F" w:val="clear"/>
            <w:tcMar>
              <w:top w:type="dxa" w:w="170"/>
              <w:left w:type="dxa" w:w="283"/>
              <w:bottom w:type="dxa" w:w="170"/>
              <w:right w:type="dxa" w:w="283"/>
            </w:tcMar>
          </w:tcPr>
          <w:p>
            <w:pPr>
              <w:jc w:val="center"/>
            </w:pPr>
            <w:r>
              <w:rPr>
                <w:b/>
                <w:bCs/>
                <w:color w:val="FFFFFF"/>
                <w:sz w:val="24"/>
                <w:szCs w:val="24"/>
              </w:rPr>
              <w:t xml:space="preserve">GREENFIELD IMPLEMENTATION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rPr>
          <w:tblHeader/>
        </w:trPr>
        <w:tc>
          <w:tcPr>
            <w:tcW w:type="dxa" w:w="400"/>
            <w:shd w:fill="1F3F8F" w:val="clear"/>
            <w:tcMar>
              <w:top w:type="dxa" w:w="113"/>
              <w:left w:type="dxa" w:w="170"/>
              <w:bottom w:type="dxa" w:w="113"/>
              <w:right w:type="dxa" w:w="170"/>
            </w:tcMar>
          </w:tcPr>
          <w:p>
            <w:pPr>
              <w:jc w:val="center"/>
            </w:pPr>
            <w:r>
              <w:rPr>
                <w:b/>
                <w:bCs/>
                <w:color w:val="FFFFFF"/>
                <w:sz w:val="18"/>
                <w:szCs w:val="18"/>
              </w:rPr>
              <w:t xml:space="preserve">Step</w:t>
            </w:r>
          </w:p>
        </w:tc>
        <w:tc>
          <w:tcPr>
            <w:tcW w:type="dxa" w:w="3500"/>
            <w:shd w:fill="1F3F8F" w:val="clear"/>
            <w:tcMar>
              <w:top w:type="dxa" w:w="113"/>
              <w:left w:type="dxa" w:w="170"/>
              <w:bottom w:type="dxa" w:w="113"/>
              <w:right w:type="dxa" w:w="170"/>
            </w:tcMar>
          </w:tcPr>
          <w:p>
            <w:pPr>
              <w:jc w:val="center"/>
            </w:pPr>
            <w:r>
              <w:rPr>
                <w:b/>
                <w:bCs/>
                <w:color w:val="FFFFFF"/>
                <w:sz w:val="18"/>
                <w:szCs w:val="18"/>
              </w:rPr>
              <w:t xml:space="preserve">Action</w:t>
            </w:r>
          </w:p>
        </w:tc>
        <w:tc>
          <w:tcPr>
            <w:tcW w:type="dxa" w:w="5460"/>
            <w:shd w:fill="1F3F8F" w:val="clear"/>
            <w:tcMar>
              <w:top w:type="dxa" w:w="113"/>
              <w:left w:type="dxa" w:w="170"/>
              <w:bottom w:type="dxa" w:w="113"/>
              <w:right w:type="dxa" w:w="170"/>
            </w:tcMar>
          </w:tcPr>
          <w:p>
            <w:pPr>
              <w:jc w:val="center"/>
            </w:pPr>
            <w:r>
              <w:rPr>
                <w:b/>
                <w:bCs/>
                <w:color w:val="FFFFFF"/>
                <w:sz w:val="18"/>
                <w:szCs w:val="18"/>
              </w:rPr>
              <w:t xml:space="preserve">Greenfield Specific Note</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1</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Inventory scope (modules, objects, integrations, data entities)</w:t>
            </w:r>
          </w:p>
        </w:tc>
        <w:tc>
          <w:tcPr>
            <w:tcW w:type="dxa" w:w="5460"/>
            <w:shd w:fill="EEF3FB" w:val="clear"/>
            <w:tcMar>
              <w:top w:type="dxa" w:w="113"/>
              <w:left w:type="dxa" w:w="170"/>
              <w:bottom w:type="dxa" w:w="113"/>
              <w:right w:type="dxa" w:w="170"/>
            </w:tcMar>
          </w:tcPr>
          <w:p>
            <w:r>
              <w:rPr>
                <w:b w:val="false"/>
                <w:bCs w:val="false"/>
                <w:color w:val="1A1A2E"/>
                <w:sz w:val="18"/>
                <w:szCs w:val="18"/>
              </w:rPr>
              <w:t xml:space="preserve">Use Oracle Cloud readiness tools + AI to auto-size configuration depth</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2</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Apply APC classification per activity type</w:t>
            </w:r>
          </w:p>
        </w:tc>
        <w:tc>
          <w:tcPr>
            <w:tcW w:type="dxa" w:w="5460"/>
            <w:shd w:fill="FFFFFF" w:val="clear"/>
            <w:tcMar>
              <w:top w:type="dxa" w:w="113"/>
              <w:left w:type="dxa" w:w="170"/>
              <w:bottom w:type="dxa" w:w="113"/>
              <w:right w:type="dxa" w:w="170"/>
            </w:tcMar>
          </w:tcPr>
          <w:p>
            <w:r>
              <w:rPr>
                <w:b w:val="false"/>
                <w:bCs w:val="false"/>
                <w:color w:val="1A1A2E"/>
                <w:sz w:val="18"/>
                <w:szCs w:val="18"/>
              </w:rPr>
              <w:t xml:space="preserve">Config, reports, integrations, data load → mostly APC-3; design, UAT → APC-1/2</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3</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Apply productivity factors to base benchmarks</w:t>
            </w:r>
          </w:p>
        </w:tc>
        <w:tc>
          <w:tcPr>
            <w:tcW w:type="dxa" w:w="5460"/>
            <w:shd w:fill="EEF3FB" w:val="clear"/>
            <w:tcMar>
              <w:top w:type="dxa" w:w="113"/>
              <w:left w:type="dxa" w:w="170"/>
              <w:bottom w:type="dxa" w:w="113"/>
              <w:right w:type="dxa" w:w="170"/>
            </w:tcMar>
          </w:tcPr>
          <w:p>
            <w:r>
              <w:rPr>
                <w:b w:val="false"/>
                <w:bCs w:val="false"/>
                <w:color w:val="1A1A2E"/>
                <w:sz w:val="18"/>
                <w:szCs w:val="18"/>
              </w:rPr>
              <w:t xml:space="preserve">See updated RICE/CEMLI benchmark table in Section 5.1</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4</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Add AI overhead (fixed + per-workstream)</w:t>
            </w:r>
          </w:p>
        </w:tc>
        <w:tc>
          <w:tcPr>
            <w:tcW w:type="dxa" w:w="5460"/>
            <w:shd w:fill="FFFFFF" w:val="clear"/>
            <w:tcMar>
              <w:top w:type="dxa" w:w="113"/>
              <w:left w:type="dxa" w:w="170"/>
              <w:bottom w:type="dxa" w:w="113"/>
              <w:right w:type="dxa" w:w="170"/>
            </w:tcMar>
          </w:tcPr>
          <w:p>
            <w:r>
              <w:rPr>
                <w:b w:val="false"/>
                <w:bCs w:val="false"/>
                <w:color w:val="1A1A2E"/>
                <w:sz w:val="18"/>
                <w:szCs w:val="18"/>
              </w:rPr>
              <w:t xml:space="preserve">Budget ~150–250 hrs for a medium-sized greenfield program</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5</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Apply learning curve multiplier if team is new to AI delivery</w:t>
            </w:r>
          </w:p>
        </w:tc>
        <w:tc>
          <w:tcPr>
            <w:tcW w:type="dxa" w:w="5460"/>
            <w:shd w:fill="EEF3FB" w:val="clear"/>
            <w:tcMar>
              <w:top w:type="dxa" w:w="113"/>
              <w:left w:type="dxa" w:w="170"/>
              <w:bottom w:type="dxa" w:w="113"/>
              <w:right w:type="dxa" w:w="170"/>
            </w:tcMar>
          </w:tcPr>
          <w:p>
            <w:r>
              <w:rPr>
                <w:b w:val="false"/>
                <w:bCs w:val="false"/>
                <w:color w:val="1A1A2E"/>
                <w:sz w:val="18"/>
                <w:szCs w:val="18"/>
              </w:rPr>
              <w:t xml:space="preserve">× 1.15 for first 8 weeks; no multiplier from week 9 onwards</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6</w:t>
            </w:r>
          </w:p>
        </w:tc>
        <w:tc>
          <w:tcPr>
            <w:tcW w:type="dxa" w:w="3500"/>
            <w:shd w:fill="FFFFFF" w:val="clear"/>
            <w:tcMar>
              <w:top w:type="dxa" w:w="113"/>
              <w:left w:type="dxa" w:w="170"/>
              <w:bottom w:type="dxa" w:w="113"/>
              <w:right w:type="dxa" w:w="170"/>
            </w:tcMar>
          </w:tcPr>
          <w:p>
            <w:r>
              <w:rPr>
                <w:b w:val="false"/>
                <w:bCs w:val="false"/>
                <w:color w:val="1A1A2E"/>
                <w:sz w:val="18"/>
                <w:szCs w:val="18"/>
              </w:rPr>
              <w:t xml:space="preserve">Sanity check against AI velocity benchmarks</w:t>
            </w:r>
          </w:p>
        </w:tc>
        <w:tc>
          <w:tcPr>
            <w:tcW w:type="dxa" w:w="5460"/>
            <w:shd w:fill="FFFFFF" w:val="clear"/>
            <w:tcMar>
              <w:top w:type="dxa" w:w="113"/>
              <w:left w:type="dxa" w:w="170"/>
              <w:bottom w:type="dxa" w:w="113"/>
              <w:right w:type="dxa" w:w="170"/>
            </w:tcMar>
          </w:tcPr>
          <w:p>
            <w:r>
              <w:rPr>
                <w:b w:val="false"/>
                <w:bCs w:val="false"/>
                <w:color w:val="1A1A2E"/>
                <w:sz w:val="18"/>
                <w:szCs w:val="18"/>
              </w:rPr>
              <w:t xml:space="preserve">Target 5–8 RICE/sprint; 3–5 data entities/week; 25–40 test cases/analyst/day</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7</w:t>
            </w:r>
          </w:p>
        </w:tc>
        <w:tc>
          <w:tcPr>
            <w:tcW w:type="dxa" w:w="3500"/>
            <w:shd w:fill="EEF3FB" w:val="clear"/>
            <w:tcMar>
              <w:top w:type="dxa" w:w="113"/>
              <w:left w:type="dxa" w:w="170"/>
              <w:bottom w:type="dxa" w:w="113"/>
              <w:right w:type="dxa" w:w="170"/>
            </w:tcMar>
          </w:tcPr>
          <w:p>
            <w:r>
              <w:rPr>
                <w:b w:val="false"/>
                <w:bCs w:val="false"/>
                <w:color w:val="1A1A2E"/>
                <w:sz w:val="18"/>
                <w:szCs w:val="18"/>
              </w:rPr>
              <w:t xml:space="preserve">Adjust commercial model (Fixed / T&amp;M / Hybrid)</w:t>
            </w:r>
          </w:p>
        </w:tc>
        <w:tc>
          <w:tcPr>
            <w:tcW w:type="dxa" w:w="5460"/>
            <w:shd w:fill="EEF3FB" w:val="clear"/>
            <w:tcMar>
              <w:top w:type="dxa" w:w="113"/>
              <w:left w:type="dxa" w:w="170"/>
              <w:bottom w:type="dxa" w:w="113"/>
              <w:right w:type="dxa" w:w="170"/>
            </w:tcMar>
          </w:tcPr>
          <w:p>
            <w:r>
              <w:rPr>
                <w:b w:val="false"/>
                <w:bCs w:val="false"/>
                <w:color w:val="1A1A2E"/>
                <w:sz w:val="18"/>
                <w:szCs w:val="18"/>
              </w:rPr>
              <w:t xml:space="preserve">Hybrid recommended: fix AI-led workstreams, T&amp;M cap human-led workstreams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2E86AB" w:val="clear"/>
            <w:tcMar>
              <w:top w:type="dxa" w:w="170"/>
              <w:left w:type="dxa" w:w="283"/>
              <w:bottom w:type="dxa" w:w="170"/>
              <w:right w:type="dxa" w:w="283"/>
            </w:tcMar>
          </w:tcPr>
          <w:p>
            <w:pPr>
              <w:jc w:val="center"/>
            </w:pPr>
            <w:r>
              <w:rPr>
                <w:b/>
                <w:bCs/>
                <w:color w:val="FFFFFF"/>
                <w:sz w:val="24"/>
                <w:szCs w:val="24"/>
              </w:rPr>
              <w:t xml:space="preserve">BROWNFIELD — UPGRADE / MIGRATION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shd w:fill="1F3F8F" w:val="clear"/>
            <w:tcMar>
              <w:top w:type="dxa" w:w="113"/>
              <w:left w:type="dxa" w:w="170"/>
              <w:bottom w:type="dxa" w:w="113"/>
              <w:right w:type="dxa" w:w="170"/>
            </w:tcMar>
          </w:tcPr>
          <w:p>
            <w:pPr>
              <w:jc w:val="center"/>
            </w:pPr>
            <w:r>
              <w:rPr>
                <w:b/>
                <w:bCs/>
                <w:color w:val="FFFFFF"/>
                <w:sz w:val="18"/>
                <w:szCs w:val="18"/>
              </w:rPr>
              <w:t xml:space="preserve">Step</w:t>
            </w:r>
          </w:p>
        </w:tc>
        <w:tc>
          <w:tcPr>
            <w:tcW w:type="dxa" w:w="3200"/>
            <w:shd w:fill="1F3F8F" w:val="clear"/>
            <w:tcMar>
              <w:top w:type="dxa" w:w="113"/>
              <w:left w:type="dxa" w:w="170"/>
              <w:bottom w:type="dxa" w:w="113"/>
              <w:right w:type="dxa" w:w="170"/>
            </w:tcMar>
          </w:tcPr>
          <w:p>
            <w:pPr>
              <w:jc w:val="center"/>
            </w:pPr>
            <w:r>
              <w:rPr>
                <w:b/>
                <w:bCs/>
                <w:color w:val="FFFFFF"/>
                <w:sz w:val="18"/>
                <w:szCs w:val="18"/>
              </w:rPr>
              <w:t xml:space="preserve">Action</w:t>
            </w:r>
          </w:p>
        </w:tc>
        <w:tc>
          <w:tcPr>
            <w:tcW w:type="dxa" w:w="5760"/>
            <w:shd w:fill="1F3F8F" w:val="clear"/>
            <w:tcMar>
              <w:top w:type="dxa" w:w="113"/>
              <w:left w:type="dxa" w:w="170"/>
              <w:bottom w:type="dxa" w:w="113"/>
              <w:right w:type="dxa" w:w="170"/>
            </w:tcMar>
          </w:tcPr>
          <w:p>
            <w:pPr>
              <w:jc w:val="center"/>
            </w:pPr>
            <w:r>
              <w:rPr>
                <w:b/>
                <w:bCs/>
                <w:color w:val="FFFFFF"/>
                <w:sz w:val="18"/>
                <w:szCs w:val="18"/>
              </w:rPr>
              <w:t xml:space="preserve">Brownfield Specific Note</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1</w:t>
            </w:r>
          </w:p>
        </w:tc>
        <w:tc>
          <w:tcPr>
            <w:tcW w:type="dxa" w:w="3200"/>
            <w:shd w:fill="EEF3FB" w:val="clear"/>
            <w:tcMar>
              <w:top w:type="dxa" w:w="113"/>
              <w:left w:type="dxa" w:w="170"/>
              <w:bottom w:type="dxa" w:w="113"/>
              <w:right w:type="dxa" w:w="170"/>
            </w:tcMar>
          </w:tcPr>
          <w:p>
            <w:r>
              <w:rPr>
                <w:b w:val="false"/>
                <w:bCs w:val="false"/>
                <w:color w:val="1A1A2E"/>
                <w:sz w:val="18"/>
                <w:szCs w:val="18"/>
              </w:rPr>
              <w:t xml:space="preserve">Run AI-assisted discovery on source system</w:t>
            </w:r>
          </w:p>
        </w:tc>
        <w:tc>
          <w:tcPr>
            <w:tcW w:type="dxa" w:w="5760"/>
            <w:shd w:fill="EEF3FB" w:val="clear"/>
            <w:tcMar>
              <w:top w:type="dxa" w:w="113"/>
              <w:left w:type="dxa" w:w="170"/>
              <w:bottom w:type="dxa" w:w="113"/>
              <w:right w:type="dxa" w:w="170"/>
            </w:tcMar>
          </w:tcPr>
          <w:p>
            <w:r>
              <w:rPr>
                <w:b w:val="false"/>
                <w:bCs w:val="false"/>
                <w:color w:val="1A1A2E"/>
                <w:sz w:val="18"/>
                <w:szCs w:val="18"/>
              </w:rPr>
              <w:t xml:space="preserve">This step itself is AI-enabled — budget 150–250 hrs (vs 400–600 traditional)</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2</w:t>
            </w:r>
          </w:p>
        </w:tc>
        <w:tc>
          <w:tcPr>
            <w:tcW w:type="dxa" w:w="3200"/>
            <w:shd w:fill="FFFFFF" w:val="clear"/>
            <w:tcMar>
              <w:top w:type="dxa" w:w="113"/>
              <w:left w:type="dxa" w:w="170"/>
              <w:bottom w:type="dxa" w:w="113"/>
              <w:right w:type="dxa" w:w="170"/>
            </w:tcMar>
          </w:tcPr>
          <w:p>
            <w:r>
              <w:rPr>
                <w:b w:val="false"/>
                <w:bCs w:val="false"/>
                <w:color w:val="1A1A2E"/>
                <w:sz w:val="18"/>
                <w:szCs w:val="18"/>
              </w:rPr>
              <w:t xml:space="preserve">Classify custom objects by upgrade impact (AI-generated)</w:t>
            </w:r>
          </w:p>
        </w:tc>
        <w:tc>
          <w:tcPr>
            <w:tcW w:type="dxa" w:w="5760"/>
            <w:shd w:fill="FFFFFF" w:val="clear"/>
            <w:tcMar>
              <w:top w:type="dxa" w:w="113"/>
              <w:left w:type="dxa" w:w="170"/>
              <w:bottom w:type="dxa" w:w="113"/>
              <w:right w:type="dxa" w:w="170"/>
            </w:tcMar>
          </w:tcPr>
          <w:p>
            <w:r>
              <w:rPr>
                <w:b w:val="false"/>
                <w:bCs w:val="false"/>
                <w:color w:val="1A1A2E"/>
                <w:sz w:val="18"/>
                <w:szCs w:val="18"/>
              </w:rPr>
              <w:t xml:space="preserve">High / Medium / Low / Retire — AI does the classification, human validates</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3</w:t>
            </w:r>
          </w:p>
        </w:tc>
        <w:tc>
          <w:tcPr>
            <w:tcW w:type="dxa" w:w="3200"/>
            <w:shd w:fill="EEF3FB" w:val="clear"/>
            <w:tcMar>
              <w:top w:type="dxa" w:w="113"/>
              <w:left w:type="dxa" w:w="170"/>
              <w:bottom w:type="dxa" w:w="113"/>
              <w:right w:type="dxa" w:w="170"/>
            </w:tcMar>
          </w:tcPr>
          <w:p>
            <w:r>
              <w:rPr>
                <w:b w:val="false"/>
                <w:bCs w:val="false"/>
                <w:color w:val="1A1A2E"/>
                <w:sz w:val="18"/>
                <w:szCs w:val="18"/>
              </w:rPr>
              <w:t xml:space="preserve">Apply APC to remediation, not just development</w:t>
            </w:r>
          </w:p>
        </w:tc>
        <w:tc>
          <w:tcPr>
            <w:tcW w:type="dxa" w:w="5760"/>
            <w:shd w:fill="EEF3FB" w:val="clear"/>
            <w:tcMar>
              <w:top w:type="dxa" w:w="113"/>
              <w:left w:type="dxa" w:w="170"/>
              <w:bottom w:type="dxa" w:w="113"/>
              <w:right w:type="dxa" w:w="170"/>
            </w:tcMar>
          </w:tcPr>
          <w:p>
            <w:r>
              <w:rPr>
                <w:b w:val="false"/>
                <w:bCs w:val="false"/>
                <w:color w:val="1A1A2E"/>
                <w:sz w:val="18"/>
                <w:szCs w:val="18"/>
              </w:rPr>
              <w:t xml:space="preserve">Legacy code analysis and impact assessment are APC-3 activities</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4</w:t>
            </w:r>
          </w:p>
        </w:tc>
        <w:tc>
          <w:tcPr>
            <w:tcW w:type="dxa" w:w="3200"/>
            <w:shd w:fill="FFFFFF" w:val="clear"/>
            <w:tcMar>
              <w:top w:type="dxa" w:w="113"/>
              <w:left w:type="dxa" w:w="170"/>
              <w:bottom w:type="dxa" w:w="113"/>
              <w:right w:type="dxa" w:w="170"/>
            </w:tcMar>
          </w:tcPr>
          <w:p>
            <w:r>
              <w:rPr>
                <w:b w:val="false"/>
                <w:bCs w:val="false"/>
                <w:color w:val="1A1A2E"/>
                <w:sz w:val="18"/>
                <w:szCs w:val="18"/>
              </w:rPr>
              <w:t xml:space="preserve">Size data migration based on AI-profiled source data quality</w:t>
            </w:r>
          </w:p>
        </w:tc>
        <w:tc>
          <w:tcPr>
            <w:tcW w:type="dxa" w:w="5760"/>
            <w:shd w:fill="FFFFFF" w:val="clear"/>
            <w:tcMar>
              <w:top w:type="dxa" w:w="113"/>
              <w:left w:type="dxa" w:w="170"/>
              <w:bottom w:type="dxa" w:w="113"/>
              <w:right w:type="dxa" w:w="170"/>
            </w:tcMar>
          </w:tcPr>
          <w:p>
            <w:r>
              <w:rPr>
                <w:b w:val="false"/>
                <w:bCs w:val="false"/>
                <w:color w:val="1A1A2E"/>
                <w:sz w:val="18"/>
                <w:szCs w:val="18"/>
              </w:rPr>
              <w:t xml:space="preserve">Poor quality data = higher effort even with AI; budget data quality contingency</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5</w:t>
            </w:r>
          </w:p>
        </w:tc>
        <w:tc>
          <w:tcPr>
            <w:tcW w:type="dxa" w:w="3200"/>
            <w:shd w:fill="EEF3FB" w:val="clear"/>
            <w:tcMar>
              <w:top w:type="dxa" w:w="113"/>
              <w:left w:type="dxa" w:w="170"/>
              <w:bottom w:type="dxa" w:w="113"/>
              <w:right w:type="dxa" w:w="170"/>
            </w:tcMar>
          </w:tcPr>
          <w:p>
            <w:r>
              <w:rPr>
                <w:b w:val="false"/>
                <w:bCs w:val="false"/>
                <w:color w:val="1A1A2E"/>
                <w:sz w:val="18"/>
                <w:szCs w:val="18"/>
              </w:rPr>
              <w:t xml:space="preserve">Build regression suite cost using AI test velocity benchmarks</w:t>
            </w:r>
          </w:p>
        </w:tc>
        <w:tc>
          <w:tcPr>
            <w:tcW w:type="dxa" w:w="5760"/>
            <w:shd w:fill="EEF3FB" w:val="clear"/>
            <w:tcMar>
              <w:top w:type="dxa" w:w="113"/>
              <w:left w:type="dxa" w:w="170"/>
              <w:bottom w:type="dxa" w:w="113"/>
              <w:right w:type="dxa" w:w="170"/>
            </w:tcMar>
          </w:tcPr>
          <w:p>
            <w:r>
              <w:rPr>
                <w:b w:val="false"/>
                <w:bCs w:val="false"/>
                <w:color w:val="1A1A2E"/>
                <w:sz w:val="18"/>
                <w:szCs w:val="18"/>
              </w:rPr>
              <w:t xml:space="preserve">AI regenerates test suite faster than inheriting old manual scripts</w:t>
            </w:r>
          </w:p>
        </w:tc>
      </w:tr>
      <w:tr>
        <w:tc>
          <w:tcPr>
            <w:tcW w:type="dxa" w:w="400"/>
            <w:shd w:fill="FFFFFF" w:val="clear"/>
            <w:tcMar>
              <w:top w:type="dxa" w:w="113"/>
              <w:left w:type="dxa" w:w="170"/>
              <w:bottom w:type="dxa" w:w="113"/>
              <w:right w:type="dxa" w:w="170"/>
            </w:tcMar>
          </w:tcPr>
          <w:p>
            <w:r>
              <w:rPr>
                <w:b w:val="false"/>
                <w:bCs w:val="false"/>
                <w:color w:val="1A1A2E"/>
                <w:sz w:val="18"/>
                <w:szCs w:val="18"/>
              </w:rPr>
              <w:t xml:space="preserve">6</w:t>
            </w:r>
          </w:p>
        </w:tc>
        <w:tc>
          <w:tcPr>
            <w:tcW w:type="dxa" w:w="3200"/>
            <w:shd w:fill="FFFFFF" w:val="clear"/>
            <w:tcMar>
              <w:top w:type="dxa" w:w="113"/>
              <w:left w:type="dxa" w:w="170"/>
              <w:bottom w:type="dxa" w:w="113"/>
              <w:right w:type="dxa" w:w="170"/>
            </w:tcMar>
          </w:tcPr>
          <w:p>
            <w:r>
              <w:rPr>
                <w:b w:val="false"/>
                <w:bCs w:val="false"/>
                <w:color w:val="1A1A2E"/>
                <w:sz w:val="18"/>
                <w:szCs w:val="18"/>
              </w:rPr>
              <w:t xml:space="preserve">Add parallel run / reconciliation effort using AI comparison model</w:t>
            </w:r>
          </w:p>
        </w:tc>
        <w:tc>
          <w:tcPr>
            <w:tcW w:type="dxa" w:w="5760"/>
            <w:shd w:fill="FFFFFF" w:val="clear"/>
            <w:tcMar>
              <w:top w:type="dxa" w:w="113"/>
              <w:left w:type="dxa" w:w="170"/>
              <w:bottom w:type="dxa" w:w="113"/>
              <w:right w:type="dxa" w:w="170"/>
            </w:tcMar>
          </w:tcPr>
          <w:p>
            <w:r>
              <w:rPr>
                <w:b w:val="false"/>
                <w:bCs w:val="false"/>
                <w:color w:val="1A1A2E"/>
                <w:sz w:val="18"/>
                <w:szCs w:val="18"/>
              </w:rPr>
              <w:t xml:space="preserve">AI comparison engine reduces parallel run from weeks to days</w:t>
            </w:r>
          </w:p>
        </w:tc>
      </w:tr>
      <w:tr>
        <w:tc>
          <w:tcPr>
            <w:tcW w:type="dxa" w:w="400"/>
            <w:shd w:fill="EEF3FB" w:val="clear"/>
            <w:tcMar>
              <w:top w:type="dxa" w:w="113"/>
              <w:left w:type="dxa" w:w="170"/>
              <w:bottom w:type="dxa" w:w="113"/>
              <w:right w:type="dxa" w:w="170"/>
            </w:tcMar>
          </w:tcPr>
          <w:p>
            <w:r>
              <w:rPr>
                <w:b w:val="false"/>
                <w:bCs w:val="false"/>
                <w:color w:val="1A1A2E"/>
                <w:sz w:val="18"/>
                <w:szCs w:val="18"/>
              </w:rPr>
              <w:t xml:space="preserve">7</w:t>
            </w:r>
          </w:p>
        </w:tc>
        <w:tc>
          <w:tcPr>
            <w:tcW w:type="dxa" w:w="3200"/>
            <w:shd w:fill="EEF3FB" w:val="clear"/>
            <w:tcMar>
              <w:top w:type="dxa" w:w="113"/>
              <w:left w:type="dxa" w:w="170"/>
              <w:bottom w:type="dxa" w:w="113"/>
              <w:right w:type="dxa" w:w="170"/>
            </w:tcMar>
          </w:tcPr>
          <w:p>
            <w:r>
              <w:rPr>
                <w:b w:val="false"/>
                <w:bCs w:val="false"/>
                <w:color w:val="1A1A2E"/>
                <w:sz w:val="18"/>
                <w:szCs w:val="18"/>
              </w:rPr>
              <w:t xml:space="preserve">Apply Data Complexity Premium if source quality is unknown</w:t>
            </w:r>
          </w:p>
        </w:tc>
        <w:tc>
          <w:tcPr>
            <w:tcW w:type="dxa" w:w="5760"/>
            <w:shd w:fill="EEF3FB" w:val="clear"/>
            <w:tcMar>
              <w:top w:type="dxa" w:w="113"/>
              <w:left w:type="dxa" w:w="170"/>
              <w:bottom w:type="dxa" w:w="113"/>
              <w:right w:type="dxa" w:w="170"/>
            </w:tcMar>
          </w:tcPr>
          <w:p>
            <w:r>
              <w:rPr>
                <w:b w:val="false"/>
                <w:bCs w:val="false"/>
                <w:color w:val="1A1A2E"/>
                <w:sz w:val="18"/>
                <w:szCs w:val="18"/>
              </w:rPr>
              <w:t xml:space="preserve">× 1.20–1.35 on data workstream until profiling confirms quality level</w:t>
            </w:r>
          </w:p>
        </w:tc>
      </w:tr>
    </w:tbl>
    <w:p>
      <w:pPr>
        <w:spacing w:after="0" w:before="120"/>
      </w:pPr>
      <w:r>
        <w:t xml:space="preserve"/>
      </w:r>
    </w:p>
    <w:p>
      <w:pPr>
        <w:pBdr>
          <w:bottom w:val="single" w:color="E8A020" w:sz="6"/>
        </w:pBdr>
        <w:spacing w:after="180" w:before="180"/>
      </w:pPr>
    </w:p>
    <w:p>
      <w:pPr>
        <w:spacing w:before="200"/>
        <w:jc w:val="center"/>
      </w:pPr>
      <w:r>
        <w:rPr>
          <w:i/>
          <w:iCs/>
          <w:color w:val="555577"/>
          <w:sz w:val="18"/>
          <w:szCs w:val="18"/>
        </w:rPr>
        <w:t xml:space="preserve">AI-Augmented Estimation POV — Oracle Programs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2026-07-12T14:42:15.010Z</dcterms:created>
  <dcterms:modified xsi:type="dcterms:W3CDTF">2026-07-12T14:42:15.031Z</dcterms:modified>
</cp:coreProperties>
</file>

<file path=docProps/custom.xml><?xml version="1.0" encoding="utf-8"?>
<Properties xmlns="http://schemas.openxmlformats.org/officeDocument/2006/custom-properties" xmlns:vt="http://schemas.openxmlformats.org/officeDocument/2006/docPropsVTypes"/>
</file>