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E8A020"/>
          <w:sz w:val="24"/>
          <w:szCs w:val="24"/>
        </w:rPr>
        <w:t xml:space="preserve">POINT OF VIEW</w:t>
      </w:r>
    </w:p>
    <w:p>
      <w:pPr>
        <w:spacing w:before="200"/>
        <w:jc w:val="center"/>
      </w:pPr>
      <w:r>
        <w:rPr>
          <w:b/>
          <w:bCs/>
          <w:color w:val="1F3F8F"/>
          <w:sz w:val="40"/>
          <w:szCs w:val="40"/>
        </w:rPr>
        <w:t xml:space="preserve">Impact of Artificial Intelligence on</w:t>
      </w:r>
    </w:p>
    <w:p>
      <w:pPr>
        <w:jc w:val="center"/>
      </w:pPr>
      <w:r>
        <w:rPr>
          <w:b/>
          <w:bCs/>
          <w:color w:val="1F3F8F"/>
          <w:sz w:val="48"/>
          <w:szCs w:val="48"/>
        </w:rPr>
        <w:t xml:space="preserve">Oracle Program Delivery</w:t>
      </w:r>
    </w:p>
    <w:p>
      <w:pPr>
        <w:spacing w:before="300"/>
        <w:jc w:val="center"/>
      </w:pPr>
      <w:r>
        <w:rPr>
          <w:color w:val="2E86AB"/>
          <w:sz w:val="24"/>
          <w:szCs w:val="24"/>
        </w:rPr>
        <w:t xml:space="preserve">SDLC Activities · Productivity · Estimation</w:t>
      </w:r>
    </w:p>
    <w:p>
      <w:pPr>
        <w:spacing w:before="600"/>
        <w:jc w:val="center"/>
      </w:pPr>
      <w:r>
        <w:rPr>
          <w:color w:val="555577"/>
          <w:sz w:val="20"/>
          <w:szCs w:val="20"/>
        </w:rPr>
        <w:t xml:space="preserve">Covering: ECC · SAP to Oracle Migration · PeopleSoft · Siebel CRM · Oracle CX · Oracle Fusion (Cloud ERP / HCM / SCM)</w:t>
      </w:r>
    </w:p>
    <w:p>
      <w:pPr>
        <w:spacing w:before="400"/>
        <w:jc w:val="center"/>
      </w:pPr>
      <w:r>
        <w:rPr>
          <w:color w:val="555577"/>
          <w:sz w:val="20"/>
          <w:szCs w:val="20"/>
        </w:rPr>
        <w:t xml:space="preserve">Program Types: Implementation · Upgrade · AMS Support</w:t>
      </w:r>
    </w:p>
    <w:p>
      <w:pPr>
        <w:pBdr>
          <w:bottom w:val="single" w:color="2E86AB" w:sz="6"/>
        </w:pBdr>
        <w:spacing w:after="200" w:before="200"/>
      </w:pPr>
    </w:p>
    <w:p>
      <w:pPr>
        <w:jc w:val="center"/>
      </w:pPr>
      <w:r>
        <w:rPr>
          <w:color w:val="888888"/>
          <w:sz w:val="20"/>
          <w:szCs w:val="20"/>
        </w:rPr>
        <w:t xml:space="preserve">July 2026</w:t>
      </w:r>
    </w:p>
    <w:p>
      <w:r>
        <w:br w:type="page"/>
      </w:r>
    </w:p>
    <w:p>
      <w:pPr>
        <w:sectPr>
          <w:pgSz w:w="11906" w:h="16838" w:orient="portrait"/>
          <w:pgMar w:top="1440" w:right="1440" w:bottom="1440" w:left="1440" w:header="708" w:footer="708" w:gutter="0"/>
          <w:pgNumType/>
          <w:docGrid w:linePitch="360"/>
        </w:sectPr>
      </w:pPr>
    </w:p>
    <w:p>
      <w:pPr>
        <w:pStyle w:val="Heading1"/>
        <w:spacing w:after="120" w:before="300"/>
      </w:pPr>
      <w:r>
        <w:rPr>
          <w:b/>
          <w:bCs/>
          <w:color w:val="1F3F8F"/>
          <w:sz w:val="36"/>
          <w:szCs w:val="36"/>
        </w:rPr>
        <w:t xml:space="preserve">Table of Contents</w:t>
      </w:r>
    </w:p>
    <w:p>
      <w:pPr>
        <w:spacing w:after="120" w:before="80" w:line="276"/>
      </w:pPr>
      <w:r>
        <w:rPr>
          <w:color w:val="1A1A2E"/>
          <w:sz w:val="20"/>
          <w:szCs w:val="20"/>
        </w:rPr>
        <w:t xml:space="preserve">Executive Summary ......................................................................................  3</w:t>
      </w:r>
    </w:p>
    <w:p>
      <w:pPr>
        <w:spacing w:after="120" w:before="80" w:line="276"/>
      </w:pPr>
      <w:r>
        <w:rPr>
          <w:color w:val="1A1A2E"/>
          <w:sz w:val="20"/>
          <w:szCs w:val="20"/>
        </w:rPr>
        <w:t xml:space="preserve">Chapter 1 — Oracle ECC (On-Premise ERP) ..................................................  4</w:t>
      </w:r>
    </w:p>
    <w:p>
      <w:pPr>
        <w:spacing w:after="120" w:before="80" w:line="276"/>
      </w:pPr>
      <w:r>
        <w:rPr>
          <w:color w:val="1A1A2E"/>
          <w:sz w:val="20"/>
          <w:szCs w:val="20"/>
        </w:rPr>
        <w:t xml:space="preserve">Chapter 2 — Oracle E-Business Suite to Fusion Cloud Migration ..................  7</w:t>
      </w:r>
    </w:p>
    <w:p>
      <w:pPr>
        <w:spacing w:after="120" w:before="80" w:line="276"/>
      </w:pPr>
      <w:r>
        <w:rPr>
          <w:color w:val="1A1A2E"/>
          <w:sz w:val="20"/>
          <w:szCs w:val="20"/>
        </w:rPr>
        <w:t xml:space="preserve">Chapter 3 — PeopleSoft HCM / FSCM ........................................................  10</w:t>
      </w:r>
    </w:p>
    <w:p>
      <w:pPr>
        <w:spacing w:after="120" w:before="80" w:line="276"/>
      </w:pPr>
      <w:r>
        <w:rPr>
          <w:color w:val="1A1A2E"/>
          <w:sz w:val="20"/>
          <w:szCs w:val="20"/>
        </w:rPr>
        <w:t xml:space="preserve">Chapter 4 — Siebel CRM ..........................................................................  13</w:t>
      </w:r>
    </w:p>
    <w:p>
      <w:pPr>
        <w:spacing w:after="120" w:before="80" w:line="276"/>
      </w:pPr>
      <w:r>
        <w:rPr>
          <w:color w:val="1A1A2E"/>
          <w:sz w:val="20"/>
          <w:szCs w:val="20"/>
        </w:rPr>
        <w:t xml:space="preserve">Chapter 5 — Oracle CX (Sales, Service, Marketing Cloud) ...........................  16</w:t>
      </w:r>
    </w:p>
    <w:p>
      <w:pPr>
        <w:spacing w:after="120" w:before="80" w:line="276"/>
      </w:pPr>
      <w:r>
        <w:rPr>
          <w:color w:val="1A1A2E"/>
          <w:sz w:val="20"/>
          <w:szCs w:val="20"/>
        </w:rPr>
        <w:t xml:space="preserve">Chapter 6 — Oracle Fusion Cloud (ERP / HCM / SCM / EPM) ......................  19</w:t>
      </w:r>
    </w:p>
    <w:p>
      <w:pPr>
        <w:spacing w:after="120" w:before="80" w:line="276"/>
      </w:pPr>
      <w:r>
        <w:rPr>
          <w:color w:val="1A1A2E"/>
          <w:sz w:val="20"/>
          <w:szCs w:val="20"/>
        </w:rPr>
        <w:t xml:space="preserve">Chapter 7 — AMS / Managed Support Programs ..........................................  22</w:t>
      </w:r>
    </w:p>
    <w:p>
      <w:pPr>
        <w:spacing w:after="120" w:before="80" w:line="276"/>
      </w:pPr>
      <w:r>
        <w:rPr>
          <w:color w:val="1A1A2E"/>
          <w:sz w:val="20"/>
          <w:szCs w:val="20"/>
        </w:rPr>
        <w:t xml:space="preserve">Conclusion &amp; AI Maturity Roadmap ............................................................  25</w:t>
      </w:r>
    </w:p>
    <w:p>
      <w:r>
        <w:br w:type="page"/>
      </w:r>
    </w:p>
    <w:p>
      <w:pPr>
        <w:sectPr>
          <w:pgSz w:w="11906" w:h="16838" w:orient="portrait"/>
          <w:pgMar w:top="1440" w:right="1440" w:bottom="1440" w:left="1440" w:header="708" w:footer="708" w:gutter="0"/>
          <w:pgNumType/>
          <w:docGrid w:linePitch="360"/>
        </w:sectPr>
      </w:pPr>
    </w:p>
    <w:p>
      <w:pPr>
        <w:pStyle w:val="Heading1"/>
        <w:spacing w:after="120" w:before="300"/>
      </w:pPr>
      <w:r>
        <w:rPr>
          <w:b/>
          <w:bCs/>
          <w:color w:val="1F3F8F"/>
          <w:sz w:val="36"/>
          <w:szCs w:val="36"/>
        </w:rPr>
        <w:t xml:space="preserve">Executive Summary</w:t>
      </w:r>
    </w:p>
    <w:p>
      <w:pPr>
        <w:spacing w:after="120" w:before="80" w:line="276"/>
      </w:pPr>
      <w:r>
        <w:rPr>
          <w:color w:val="1A1A2E"/>
          <w:sz w:val="20"/>
          <w:szCs w:val="20"/>
        </w:rPr>
        <w:t xml:space="preserve">Artificial Intelligence is fundamentally reshaping how Oracle programs are conceived, delivered, and sustained. Across all Oracle platforms — whether legacy on-premise systems like ECC and PeopleSoft, or modern SaaS products like Oracle Fusion Cloud — AI tools are compressing timelines, improving quality, and challenging traditional estimation models.</w:t>
      </w:r>
    </w:p>
    <w:p>
      <w:pPr>
        <w:spacing w:after="120" w:before="80" w:line="276"/>
      </w:pPr>
      <w:r>
        <w:rPr>
          <w:color w:val="1A1A2E"/>
          <w:sz w:val="20"/>
          <w:szCs w:val="20"/>
        </w:rPr>
        <w:t xml:space="preserve"/>
      </w:r>
    </w:p>
    <w:p>
      <w:pPr>
        <w:spacing w:after="120" w:before="80" w:line="276"/>
      </w:pPr>
      <w:r>
        <w:rPr>
          <w:color w:val="1A1A2E"/>
          <w:sz w:val="20"/>
          <w:szCs w:val="20"/>
        </w:rPr>
        <w:t xml:space="preserve">This Point of View document examines the practical impact of AI across every major SDLC activity for each Oracle program type, and quantifies how estimation paradigms must evolve in an AI-augmented delivery model.</w:t>
      </w:r>
    </w:p>
    <w:p>
      <w:pPr>
        <w:spacing w:after="120" w:before="80" w:line="276"/>
      </w:pPr>
      <w:r>
        <w:rPr>
          <w:color w:val="1A1A2E"/>
          <w:sz w:val="20"/>
          <w:szCs w:val="20"/>
        </w:rPr>
        <w:t xml:space="preserve"/>
      </w:r>
    </w:p>
    <w:p>
      <w:pPr>
        <w:pStyle w:val="Heading2"/>
        <w:spacing w:after="120" w:before="300"/>
      </w:pPr>
      <w:r>
        <w:rPr>
          <w:b/>
          <w:bCs/>
          <w:color w:val="1F3F8F"/>
          <w:sz w:val="28"/>
          <w:szCs w:val="28"/>
        </w:rPr>
        <w:t xml:space="preserve">Key Themes Across All Programs</w:t>
      </w:r>
    </w:p>
    <w:p>
      <w:pPr>
        <w:pStyle w:val="ListParagraph"/>
        <w:numPr>
          <w:ilvl w:val="0"/>
          <w:numId w:val="1"/>
        </w:numPr>
        <w:spacing w:after="60" w:before="60"/>
      </w:pPr>
      <w:r>
        <w:rPr>
          <w:b/>
          <w:bCs/>
          <w:color w:val="1F3F8F"/>
          <w:sz w:val="20"/>
          <w:szCs w:val="20"/>
        </w:rPr>
        <w:t xml:space="preserve">→ </w:t>
      </w:r>
      <w:r>
        <w:rPr>
          <w:color w:val="1A1A2E"/>
          <w:sz w:val="20"/>
          <w:szCs w:val="20"/>
        </w:rPr>
        <w:t xml:space="preserve">AI reduces repetitive, manual effort by 30–60% across configuration, coding, and testing activities.</w:t>
      </w:r>
    </w:p>
    <w:p>
      <w:pPr>
        <w:pStyle w:val="ListParagraph"/>
        <w:numPr>
          <w:ilvl w:val="0"/>
          <w:numId w:val="1"/>
        </w:numPr>
        <w:spacing w:after="60" w:before="60"/>
      </w:pPr>
      <w:r>
        <w:rPr>
          <w:b/>
          <w:bCs/>
          <w:color w:val="1F3F8F"/>
          <w:sz w:val="20"/>
          <w:szCs w:val="20"/>
        </w:rPr>
        <w:t xml:space="preserve">→ </w:t>
      </w:r>
      <w:r>
        <w:rPr>
          <w:color w:val="1A1A2E"/>
          <w:sz w:val="20"/>
          <w:szCs w:val="20"/>
        </w:rPr>
        <w:t xml:space="preserve">Data migration — historically the highest-risk workstream — benefits the most from AI-assisted profiling, mapping, and validation.</w:t>
      </w:r>
    </w:p>
    <w:p>
      <w:pPr>
        <w:pStyle w:val="ListParagraph"/>
        <w:numPr>
          <w:ilvl w:val="0"/>
          <w:numId w:val="1"/>
        </w:numPr>
        <w:spacing w:after="60" w:before="60"/>
      </w:pPr>
      <w:r>
        <w:rPr>
          <w:b/>
          <w:bCs/>
          <w:color w:val="1F3F8F"/>
          <w:sz w:val="20"/>
          <w:szCs w:val="20"/>
        </w:rPr>
        <w:t xml:space="preserve">→ </w:t>
      </w:r>
      <w:r>
        <w:rPr>
          <w:color w:val="1A1A2E"/>
          <w:sz w:val="20"/>
          <w:szCs w:val="20"/>
        </w:rPr>
        <w:t xml:space="preserve">Testing automation using AI-powered tools can cut regression cycles by up to 70%.</w:t>
      </w:r>
    </w:p>
    <w:p>
      <w:pPr>
        <w:pStyle w:val="ListParagraph"/>
        <w:numPr>
          <w:ilvl w:val="0"/>
          <w:numId w:val="1"/>
        </w:numPr>
        <w:spacing w:after="60" w:before="60"/>
      </w:pPr>
      <w:r>
        <w:rPr>
          <w:b/>
          <w:bCs/>
          <w:color w:val="1F3F8F"/>
          <w:sz w:val="20"/>
          <w:szCs w:val="20"/>
        </w:rPr>
        <w:t xml:space="preserve">→ </w:t>
      </w:r>
      <w:r>
        <w:rPr>
          <w:color w:val="1A1A2E"/>
          <w:sz w:val="20"/>
          <w:szCs w:val="20"/>
        </w:rPr>
        <w:t xml:space="preserve">Estimation models must shift from activity-based FP/story-point models to AI-adjusted velocity models.</w:t>
      </w:r>
    </w:p>
    <w:p>
      <w:pPr>
        <w:pStyle w:val="ListParagraph"/>
        <w:numPr>
          <w:ilvl w:val="0"/>
          <w:numId w:val="1"/>
        </w:numPr>
        <w:spacing w:after="60" w:before="60"/>
      </w:pPr>
      <w:r>
        <w:rPr>
          <w:b/>
          <w:bCs/>
          <w:color w:val="1F3F8F"/>
          <w:sz w:val="20"/>
          <w:szCs w:val="20"/>
        </w:rPr>
        <w:t xml:space="preserve">→ </w:t>
      </w:r>
      <w:r>
        <w:rPr>
          <w:color w:val="1A1A2E"/>
          <w:sz w:val="20"/>
          <w:szCs w:val="20"/>
        </w:rPr>
        <w:t xml:space="preserve">Human expertise remains essential for business process design, stakeholder management, and AI output validation.</w:t>
      </w:r>
    </w:p>
    <w:p>
      <w:pPr>
        <w:spacing w:after="120" w:before="80" w:line="276"/>
      </w:pPr>
      <w:r>
        <w:rPr>
          <w:color w:val="1A1A2E"/>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70"/>
          <w:left w:type="dxa" w:w="226"/>
          <w:bottom w:type="dxa" w:w="170"/>
          <w:right w:type="dxa" w:w="226"/>
        </w:tblCellMar>
      </w:tblPr>
      <w:tblGrid>
        <w:gridCol w:w="100"/>
      </w:tblGrid>
      <w:tr>
        <w:tc>
          <w:tcPr>
            <w:tcBorders>
              <w:top w:val="thick" w:color="E8A020" w:sz="8"/>
              <w:left w:val="thick" w:color="E8A020" w:sz="8"/>
              <w:bottom w:val="none"/>
              <w:right w:val="none"/>
            </w:tcBorders>
            <w:shd w:fill="EEF3FB" w:val="clear"/>
          </w:tcPr>
          <w:p>
            <w:r>
              <w:rPr>
                <w:b/>
                <w:bCs/>
                <w:color w:val="E8A020"/>
                <w:sz w:val="20"/>
                <w:szCs w:val="20"/>
              </w:rPr>
              <w:t xml:space="preserve">⚡ Estimating in the AI Era</w:t>
            </w:r>
          </w:p>
          <w:p>
            <w:pPr>
              <w:spacing w:before="60"/>
            </w:pPr>
            <w:r>
              <w:rPr>
                <w:color w:val="1A1A2E"/>
                <w:sz w:val="19"/>
                <w:szCs w:val="19"/>
              </w:rPr>
              <w:t xml:space="preserve">Traditional estimation assumed human effort as the primary unit. AI-era estimation must model human + AI collaboration velocity, quality gates for AI output review, and the learning curve for teams adopting AI tooling. Expect 25–45% overall effort reduction for most Oracle programs, with the highest gains in greenfield Fusion Cloud implementations.</w:t>
            </w:r>
          </w:p>
        </w:tc>
      </w:tr>
    </w:tbl>
    <w:p>
      <w:r>
        <w:br w:type="page"/>
      </w:r>
    </w:p>
    <w:p>
      <w:pPr>
        <w:sectPr>
          <w:pgSz w:w="11906" w:h="16838" w:orient="portrait"/>
          <w:pgMar w:top="1440" w:right="1440" w:bottom="1440" w:left="1440" w:header="708" w:footer="708" w:gutter="0"/>
          <w:pgNumType/>
          <w:docGrid w:linePitch="360"/>
        </w:sectP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3F8F" w:val="clear"/>
          </w:tcPr>
          <w:p>
            <w:pPr>
              <w:jc w:val="center"/>
            </w:pPr>
            <w:r>
              <w:rPr>
                <w:b/>
                <w:bCs/>
                <w:color w:val="FFFFFF"/>
                <w:sz w:val="22"/>
                <w:szCs w:val="22"/>
              </w:rPr>
              <w:t xml:space="preserve">CHAPTER 1 — ORACLE E-BUSINESS SUITE (ECC / On-Premise ERP)</w:t>
            </w:r>
          </w:p>
        </w:tc>
      </w:tr>
    </w:tbl>
    <w:p>
      <w:pPr>
        <w:spacing w:after="120" w:before="80" w:line="276"/>
      </w:pPr>
      <w:r>
        <w:rPr>
          <w:color w:val="1A1A2E"/>
          <w:sz w:val="20"/>
          <w:szCs w:val="20"/>
        </w:rPr>
        <w:t xml:space="preserve"/>
      </w:r>
    </w:p>
    <w:p>
      <w:pPr>
        <w:pStyle w:val="Heading2"/>
        <w:spacing w:after="120" w:before="300"/>
      </w:pPr>
      <w:r>
        <w:rPr>
          <w:b/>
          <w:bCs/>
          <w:color w:val="2E86AB"/>
          <w:sz w:val="28"/>
          <w:szCs w:val="28"/>
        </w:rPr>
        <w:t xml:space="preserve">Program Types: ECC Implementation, ECC Upgrade (e.g. 11i → R12 → 12.2.x)</w:t>
      </w:r>
    </w:p>
    <w:p>
      <w:pPr>
        <w:spacing w:after="120" w:before="80" w:line="276"/>
      </w:pPr>
      <w:r>
        <w:rPr>
          <w:color w:val="1A1A2E"/>
          <w:sz w:val="20"/>
          <w:szCs w:val="20"/>
        </w:rPr>
        <w:t xml:space="preserve">Oracle ECC (E-Business Suite) is a mature, deeply customised on-premise platform. Implementations and upgrades typically involve large volumes of custom RICE objects (Reports, Interfaces, Conversions, Extensions), complex data models, and highly organisation-specific configurations.</w:t>
      </w:r>
    </w:p>
    <w:p>
      <w:pPr>
        <w:spacing w:after="120" w:before="80" w:line="276"/>
      </w:pPr>
      <w:r>
        <w:rPr>
          <w:color w:val="1A1A2E"/>
          <w:sz w:val="20"/>
          <w:szCs w:val="20"/>
        </w:rPr>
        <w:t xml:space="preserve"/>
      </w:r>
    </w:p>
    <w:p>
      <w:pPr>
        <w:pStyle w:val="Heading2"/>
        <w:spacing w:after="120" w:before="300"/>
      </w:pPr>
      <w:r>
        <w:rPr>
          <w:b/>
          <w:bCs/>
          <w:color w:val="1F3F8F"/>
          <w:sz w:val="28"/>
          <w:szCs w:val="28"/>
        </w:rPr>
        <w:t xml:space="preserve">1.1  AI Impact on SDLC Activities</w:t>
      </w:r>
    </w:p>
    <w:p>
      <w:pPr>
        <w:pStyle w:val="Heading3"/>
        <w:spacing w:after="120" w:before="300"/>
      </w:pPr>
      <w:r>
        <w:rPr>
          <w:b/>
          <w:bCs/>
          <w:color w:val="1F3F8F"/>
          <w:sz w:val="24"/>
          <w:szCs w:val="24"/>
        </w:rPr>
        <w:t xml:space="preserve">Configuration</w:t>
      </w:r>
    </w:p>
    <w:p>
      <w:pPr>
        <w:pStyle w:val="ListParagraph"/>
        <w:numPr>
          <w:ilvl w:val="0"/>
          <w:numId w:val="1"/>
        </w:numPr>
        <w:spacing w:after="60" w:before="60"/>
      </w:pPr>
      <w:r>
        <w:rPr>
          <w:color w:val="1A1A2E"/>
          <w:sz w:val="20"/>
          <w:szCs w:val="20"/>
        </w:rPr>
        <w:t xml:space="preserve">AI tools (e.g. Oracle Functional Setup Manager integrated with AI assistants) can read legacy setups and auto-generate configuration workbooks by extracting values from existing instances.</w:t>
      </w:r>
    </w:p>
    <w:p>
      <w:pPr>
        <w:pStyle w:val="ListParagraph"/>
        <w:numPr>
          <w:ilvl w:val="0"/>
          <w:numId w:val="1"/>
        </w:numPr>
        <w:spacing w:after="60" w:before="60"/>
      </w:pPr>
      <w:r>
        <w:rPr>
          <w:color w:val="1A1A2E"/>
          <w:sz w:val="20"/>
          <w:szCs w:val="20"/>
        </w:rPr>
        <w:t xml:space="preserve">Natural language-to-configuration mapping allows functional consultants to describe business rules in plain English and get suggested setups.</w:t>
      </w:r>
    </w:p>
    <w:p>
      <w:pPr>
        <w:pStyle w:val="ListParagraph"/>
        <w:numPr>
          <w:ilvl w:val="0"/>
          <w:numId w:val="1"/>
        </w:numPr>
        <w:spacing w:after="60" w:before="60"/>
      </w:pPr>
      <w:r>
        <w:rPr>
          <w:color w:val="1A1A2E"/>
          <w:sz w:val="20"/>
          <w:szCs w:val="20"/>
        </w:rPr>
        <w:t xml:space="preserve">AI-assisted gap analysis between source and target configuration accelerates blueprint workshops.</w:t>
      </w:r>
    </w:p>
    <w:p>
      <w:pPr>
        <w:pStyle w:val="ListParagraph"/>
        <w:numPr>
          <w:ilvl w:val="1"/>
          <w:numId w:val="1"/>
        </w:numPr>
        <w:spacing w:after="40" w:before="40"/>
      </w:pPr>
      <w:r>
        <w:rPr>
          <w:color w:val="444466"/>
          <w:sz w:val="19"/>
          <w:szCs w:val="19"/>
        </w:rPr>
        <w:t xml:space="preserve">Estimated effort reduction: 25–35%</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Custom Development (RICE Objects)</w:t>
      </w:r>
    </w:p>
    <w:p>
      <w:pPr>
        <w:pStyle w:val="ListParagraph"/>
        <w:numPr>
          <w:ilvl w:val="0"/>
          <w:numId w:val="1"/>
        </w:numPr>
        <w:spacing w:after="60" w:before="60"/>
      </w:pPr>
      <w:r>
        <w:rPr>
          <w:color w:val="1A1A2E"/>
          <w:sz w:val="20"/>
          <w:szCs w:val="20"/>
        </w:rPr>
        <w:t xml:space="preserve">AI code generation (GitHub Copilot, Oracle Code Assist) can scaffold PL/SQL packages, Oracle Forms triggers, OAF controllers, and XML Publisher templates from specifications.</w:t>
      </w:r>
    </w:p>
    <w:p>
      <w:pPr>
        <w:pStyle w:val="ListParagraph"/>
        <w:numPr>
          <w:ilvl w:val="0"/>
          <w:numId w:val="1"/>
        </w:numPr>
        <w:spacing w:after="60" w:before="60"/>
      </w:pPr>
      <w:r>
        <w:rPr>
          <w:color w:val="1A1A2E"/>
          <w:sz w:val="20"/>
          <w:szCs w:val="20"/>
        </w:rPr>
        <w:t xml:space="preserve">AI tools can analyse existing custom code and flag risks before an upgrade — identifying deprecated APIs, hard-coded references, and incompatible constructs.</w:t>
      </w:r>
    </w:p>
    <w:p>
      <w:pPr>
        <w:pStyle w:val="ListParagraph"/>
        <w:numPr>
          <w:ilvl w:val="0"/>
          <w:numId w:val="1"/>
        </w:numPr>
        <w:spacing w:after="60" w:before="60"/>
      </w:pPr>
      <w:r>
        <w:rPr>
          <w:color w:val="1A1A2E"/>
          <w:sz w:val="20"/>
          <w:szCs w:val="20"/>
        </w:rPr>
        <w:t xml:space="preserve">Code review is AI-assisted, reducing peer-review cycles significantly.</w:t>
      </w:r>
    </w:p>
    <w:p>
      <w:pPr>
        <w:pStyle w:val="ListParagraph"/>
        <w:numPr>
          <w:ilvl w:val="0"/>
          <w:numId w:val="1"/>
        </w:numPr>
        <w:spacing w:after="60" w:before="60"/>
      </w:pPr>
      <w:r>
        <w:rPr>
          <w:color w:val="1A1A2E"/>
          <w:sz w:val="20"/>
          <w:szCs w:val="20"/>
        </w:rPr>
        <w:t xml:space="preserve">For upgrades: AI can automatically rewrite deprecated 11i API calls to R12/12.2 equivalents, with human review of edge cases.</w:t>
      </w:r>
    </w:p>
    <w:p>
      <w:pPr>
        <w:pStyle w:val="ListParagraph"/>
        <w:numPr>
          <w:ilvl w:val="1"/>
          <w:numId w:val="1"/>
        </w:numPr>
        <w:spacing w:after="40" w:before="40"/>
      </w:pPr>
      <w:r>
        <w:rPr>
          <w:color w:val="444466"/>
          <w:sz w:val="19"/>
          <w:szCs w:val="19"/>
        </w:rPr>
        <w:t xml:space="preserve">Estimated effort reduction: 35–50% on new development; 40–55% on upgrade remediation of RICE objects</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Data Migration</w:t>
      </w:r>
    </w:p>
    <w:p>
      <w:pPr>
        <w:pStyle w:val="ListParagraph"/>
        <w:numPr>
          <w:ilvl w:val="0"/>
          <w:numId w:val="1"/>
        </w:numPr>
        <w:spacing w:after="60" w:before="60"/>
      </w:pPr>
      <w:r>
        <w:rPr>
          <w:color w:val="1A1A2E"/>
          <w:sz w:val="20"/>
          <w:szCs w:val="20"/>
        </w:rPr>
        <w:t xml:space="preserve">AI-driven data profiling tools (e.g. Oracle Data Integrator + AI plugins) auto-classify source data, identify anomalies, and suggest transformation rules.</w:t>
      </w:r>
    </w:p>
    <w:p>
      <w:pPr>
        <w:pStyle w:val="ListParagraph"/>
        <w:numPr>
          <w:ilvl w:val="0"/>
          <w:numId w:val="1"/>
        </w:numPr>
        <w:spacing w:after="60" w:before="60"/>
      </w:pPr>
      <w:r>
        <w:rPr>
          <w:color w:val="1A1A2E"/>
          <w:sz w:val="20"/>
          <w:szCs w:val="20"/>
        </w:rPr>
        <w:t xml:space="preserve">Automated source-to-target mapping using machine learning — reducing manual mapping spreadsheet effort by ~60%.</w:t>
      </w:r>
    </w:p>
    <w:p>
      <w:pPr>
        <w:pStyle w:val="ListParagraph"/>
        <w:numPr>
          <w:ilvl w:val="0"/>
          <w:numId w:val="1"/>
        </w:numPr>
        <w:spacing w:after="60" w:before="60"/>
      </w:pPr>
      <w:r>
        <w:rPr>
          <w:color w:val="1A1A2E"/>
          <w:sz w:val="20"/>
          <w:szCs w:val="20"/>
        </w:rPr>
        <w:t xml:space="preserve">AI-generated validation scripts for every mapping rule, automatically executed after each migration run.</w:t>
      </w:r>
    </w:p>
    <w:p>
      <w:pPr>
        <w:pStyle w:val="ListParagraph"/>
        <w:numPr>
          <w:ilvl w:val="0"/>
          <w:numId w:val="1"/>
        </w:numPr>
        <w:spacing w:after="60" w:before="60"/>
      </w:pPr>
      <w:r>
        <w:rPr>
          <w:color w:val="1A1A2E"/>
          <w:sz w:val="20"/>
          <w:szCs w:val="20"/>
        </w:rPr>
        <w:t xml:space="preserve">Predictive data quality scoring before migration runs — predicting failure rates and suggesting pre-cleanse activities.</w:t>
      </w:r>
    </w:p>
    <w:p>
      <w:pPr>
        <w:pStyle w:val="ListParagraph"/>
        <w:numPr>
          <w:ilvl w:val="1"/>
          <w:numId w:val="1"/>
        </w:numPr>
        <w:spacing w:after="40" w:before="40"/>
      </w:pPr>
      <w:r>
        <w:rPr>
          <w:color w:val="444466"/>
          <w:sz w:val="19"/>
          <w:szCs w:val="19"/>
        </w:rPr>
        <w:t xml:space="preserve">Estimated effort reduction: 40–60% on mapping; 30–40% on validation</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Testing (SIT / UAT / Regression)</w:t>
      </w:r>
    </w:p>
    <w:p>
      <w:pPr>
        <w:pStyle w:val="ListParagraph"/>
        <w:numPr>
          <w:ilvl w:val="0"/>
          <w:numId w:val="1"/>
        </w:numPr>
        <w:spacing w:after="60" w:before="60"/>
      </w:pPr>
      <w:r>
        <w:rPr>
          <w:color w:val="1A1A2E"/>
          <w:sz w:val="20"/>
          <w:szCs w:val="20"/>
        </w:rPr>
        <w:t xml:space="preserve">AI-powered test case generation from functional specs and business process documents (e.g. Oracle Test Management + AI, Tricentis Tosca, Opkey).</w:t>
      </w:r>
    </w:p>
    <w:p>
      <w:pPr>
        <w:pStyle w:val="ListParagraph"/>
        <w:numPr>
          <w:ilvl w:val="0"/>
          <w:numId w:val="1"/>
        </w:numPr>
        <w:spacing w:after="60" w:before="60"/>
      </w:pPr>
      <w:r>
        <w:rPr>
          <w:color w:val="1A1A2E"/>
          <w:sz w:val="20"/>
          <w:szCs w:val="20"/>
        </w:rPr>
        <w:t xml:space="preserve">Self-healing test scripts that automatically adapt to UI/field changes after upgrades — critical for ECC where R12 → 12.2 UI differences are significant.</w:t>
      </w:r>
    </w:p>
    <w:p>
      <w:pPr>
        <w:pStyle w:val="ListParagraph"/>
        <w:numPr>
          <w:ilvl w:val="0"/>
          <w:numId w:val="1"/>
        </w:numPr>
        <w:spacing w:after="60" w:before="60"/>
      </w:pPr>
      <w:r>
        <w:rPr>
          <w:color w:val="1A1A2E"/>
          <w:sz w:val="20"/>
          <w:szCs w:val="20"/>
        </w:rPr>
        <w:t xml:space="preserve">AI regression suite for ECC upgrades can run 2,000+ test cases overnight unattended, with AI triage of failures.</w:t>
      </w:r>
    </w:p>
    <w:p>
      <w:pPr>
        <w:pStyle w:val="ListParagraph"/>
        <w:numPr>
          <w:ilvl w:val="0"/>
          <w:numId w:val="1"/>
        </w:numPr>
        <w:spacing w:after="60" w:before="60"/>
      </w:pPr>
      <w:r>
        <w:rPr>
          <w:color w:val="1A1A2E"/>
          <w:sz w:val="20"/>
          <w:szCs w:val="20"/>
        </w:rPr>
        <w:t xml:space="preserve">Natural language test case authoring: testers describe scenarios in plain English, AI generates executable test scripts.</w:t>
      </w:r>
    </w:p>
    <w:p>
      <w:pPr>
        <w:pStyle w:val="ListParagraph"/>
        <w:numPr>
          <w:ilvl w:val="1"/>
          <w:numId w:val="1"/>
        </w:numPr>
        <w:spacing w:after="40" w:before="40"/>
      </w:pPr>
      <w:r>
        <w:rPr>
          <w:color w:val="444466"/>
          <w:sz w:val="19"/>
          <w:szCs w:val="19"/>
        </w:rPr>
        <w:t xml:space="preserve">Estimated effort reduction: 50–70% on regression; 30–40% on SIT/UAT case design</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Documentation &amp; Training</w:t>
      </w:r>
    </w:p>
    <w:p>
      <w:pPr>
        <w:pStyle w:val="ListParagraph"/>
        <w:numPr>
          <w:ilvl w:val="0"/>
          <w:numId w:val="1"/>
        </w:numPr>
        <w:spacing w:after="60" w:before="60"/>
      </w:pPr>
      <w:r>
        <w:rPr>
          <w:color w:val="1A1A2E"/>
          <w:sz w:val="20"/>
          <w:szCs w:val="20"/>
        </w:rPr>
        <w:t xml:space="preserve">AI auto-generates functional design documents (FDDs), technical design documents (TDDs), and test scripts from configuration data and code.</w:t>
      </w:r>
    </w:p>
    <w:p>
      <w:pPr>
        <w:pStyle w:val="ListParagraph"/>
        <w:numPr>
          <w:ilvl w:val="0"/>
          <w:numId w:val="1"/>
        </w:numPr>
        <w:spacing w:after="60" w:before="60"/>
      </w:pPr>
      <w:r>
        <w:rPr>
          <w:color w:val="1A1A2E"/>
          <w:sz w:val="20"/>
          <w:szCs w:val="20"/>
        </w:rPr>
        <w:t xml:space="preserve">AI-powered training material generation and simulated walk-throughs (e.g. Oracle Guided Learning + AI).</w:t>
      </w:r>
    </w:p>
    <w:p>
      <w:pPr>
        <w:pStyle w:val="ListParagraph"/>
        <w:numPr>
          <w:ilvl w:val="1"/>
          <w:numId w:val="1"/>
        </w:numPr>
        <w:spacing w:after="40" w:before="40"/>
      </w:pPr>
      <w:r>
        <w:rPr>
          <w:color w:val="444466"/>
          <w:sz w:val="19"/>
          <w:szCs w:val="19"/>
        </w:rPr>
        <w:t xml:space="preserve">Estimated effort reduction: 40–55%</w:t>
      </w:r>
    </w:p>
    <w:p>
      <w:pPr>
        <w:spacing w:after="120" w:before="80" w:line="276"/>
      </w:pPr>
      <w:r>
        <w:rPr>
          <w:color w:val="1A1A2E"/>
          <w:sz w:val="20"/>
          <w:szCs w:val="20"/>
        </w:rPr>
        <w:t xml:space="preserve"/>
      </w:r>
    </w:p>
    <w:p>
      <w:pPr>
        <w:pStyle w:val="Heading2"/>
        <w:spacing w:after="120" w:before="300"/>
      </w:pPr>
      <w:r>
        <w:rPr>
          <w:b/>
          <w:bCs/>
          <w:color w:val="1F3F8F"/>
          <w:sz w:val="28"/>
          <w:szCs w:val="28"/>
        </w:rPr>
        <w:t xml:space="preserve">1.2  AI Impact on Estimation</w:t>
      </w:r>
    </w:p>
    <w:p>
      <w:pPr>
        <w:spacing w:after="120" w:before="80" w:line="276"/>
      </w:pPr>
      <w:r>
        <w:rPr>
          <w:color w:val="1A1A2E"/>
          <w:sz w:val="20"/>
          <w:szCs w:val="20"/>
        </w:rPr>
        <w:t xml:space="preserve">Traditional ECC estimation is based on RICE object counts (T-shirt sizing or function point analysis) with fixed effort benchmarks per object type. AI fundamentally alters these benchmarks.</w:t>
      </w:r>
    </w:p>
    <w:p>
      <w:pPr>
        <w:spacing w:after="120" w:before="80" w:line="276"/>
      </w:pPr>
      <w:r>
        <w:rPr>
          <w:color w:val="1A1A2E"/>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400"/>
        <w:gridCol w:w="1500"/>
      </w:tblGrid>
      <w:tr>
        <w:trPr>
          <w:tblHeader/>
        </w:trPr>
        <w:tc>
          <w:tcPr>
            <w:shd w:fill="2E86AB" w:val="clear"/>
          </w:tcPr>
          <w:p>
            <w:pPr>
              <w:jc w:val="center"/>
            </w:pPr>
            <w:r>
              <w:rPr>
                <w:b/>
                <w:bCs/>
                <w:color w:val="FFFFFF"/>
                <w:sz w:val="18"/>
                <w:szCs w:val="18"/>
              </w:rPr>
              <w:t xml:space="preserve">Work Stream</w:t>
            </w:r>
          </w:p>
        </w:tc>
        <w:tc>
          <w:tcPr>
            <w:shd w:fill="2E86AB" w:val="clear"/>
          </w:tcPr>
          <w:p>
            <w:pPr>
              <w:jc w:val="center"/>
            </w:pPr>
            <w:r>
              <w:rPr>
                <w:b/>
                <w:bCs/>
                <w:color w:val="FFFFFF"/>
                <w:sz w:val="18"/>
                <w:szCs w:val="18"/>
              </w:rPr>
              <w:t xml:space="preserve">Traditional Estimate</w:t>
            </w:r>
          </w:p>
        </w:tc>
        <w:tc>
          <w:tcPr>
            <w:shd w:fill="2E86AB" w:val="clear"/>
          </w:tcPr>
          <w:p>
            <w:pPr>
              <w:jc w:val="center"/>
            </w:pPr>
            <w:r>
              <w:rPr>
                <w:b/>
                <w:bCs/>
                <w:color w:val="FFFFFF"/>
                <w:sz w:val="18"/>
                <w:szCs w:val="18"/>
              </w:rPr>
              <w:t xml:space="preserve">AI-Assisted Estimate</w:t>
            </w:r>
          </w:p>
        </w:tc>
        <w:tc>
          <w:tcPr>
            <w:shd w:fill="2E86AB" w:val="clear"/>
          </w:tcPr>
          <w:p>
            <w:pPr>
              <w:jc w:val="center"/>
            </w:pPr>
            <w:r>
              <w:rPr>
                <w:b/>
                <w:bCs/>
                <w:color w:val="FFFFFF"/>
                <w:sz w:val="18"/>
                <w:szCs w:val="18"/>
              </w:rPr>
              <w:t xml:space="preserve">Saving %</w:t>
            </w:r>
          </w:p>
        </w:tc>
      </w:tr>
      <w:tr>
        <w:tc>
          <w:tcPr>
            <w:shd w:fill="EEF3FB" w:val="clear"/>
          </w:tcPr>
          <w:p>
            <w:r>
              <w:rPr>
                <w:b w:val="false"/>
                <w:bCs w:val="false"/>
                <w:color w:val="1A1A2E"/>
                <w:sz w:val="18"/>
                <w:szCs w:val="18"/>
              </w:rPr>
              <w:t xml:space="preserve">Business Blueprint / Design</w:t>
            </w:r>
          </w:p>
        </w:tc>
        <w:tc>
          <w:tcPr>
            <w:shd w:fill="EEF3FB" w:val="clear"/>
          </w:tcPr>
          <w:p>
            <w:r>
              <w:rPr>
                <w:b w:val="false"/>
                <w:bCs w:val="false"/>
                <w:color w:val="1A1A2E"/>
                <w:sz w:val="18"/>
                <w:szCs w:val="18"/>
              </w:rPr>
              <w:t xml:space="preserve">800–1,200 hrs</w:t>
            </w:r>
          </w:p>
        </w:tc>
        <w:tc>
          <w:tcPr>
            <w:shd w:fill="EEF3FB" w:val="clear"/>
          </w:tcPr>
          <w:p>
            <w:r>
              <w:rPr>
                <w:b w:val="false"/>
                <w:bCs w:val="false"/>
                <w:color w:val="1A1A2E"/>
                <w:sz w:val="18"/>
                <w:szCs w:val="18"/>
              </w:rPr>
              <w:t xml:space="preserve">500–750 hrs</w:t>
            </w:r>
          </w:p>
        </w:tc>
        <w:tc>
          <w:tcPr>
            <w:shd w:fill="EEF3FB" w:val="clear"/>
          </w:tcPr>
          <w:p>
            <w:r>
              <w:rPr>
                <w:b/>
                <w:bCs/>
                <w:color w:val="1A7F37"/>
                <w:sz w:val="18"/>
                <w:szCs w:val="18"/>
              </w:rPr>
              <w:t xml:space="preserve">35–40%</w:t>
            </w:r>
          </w:p>
        </w:tc>
      </w:tr>
      <w:tr>
        <w:tc>
          <w:tcPr>
            <w:shd w:fill="FFFFFF" w:val="clear"/>
          </w:tcPr>
          <w:p>
            <w:r>
              <w:rPr>
                <w:b w:val="false"/>
                <w:bCs w:val="false"/>
                <w:color w:val="1A1A2E"/>
                <w:sz w:val="18"/>
                <w:szCs w:val="18"/>
              </w:rPr>
              <w:t xml:space="preserve">RICE Development (per object)</w:t>
            </w:r>
          </w:p>
        </w:tc>
        <w:tc>
          <w:tcPr>
            <w:shd w:fill="FFFFFF" w:val="clear"/>
          </w:tcPr>
          <w:p>
            <w:r>
              <w:rPr>
                <w:b w:val="false"/>
                <w:bCs w:val="false"/>
                <w:color w:val="1A1A2E"/>
                <w:sz w:val="18"/>
                <w:szCs w:val="18"/>
              </w:rPr>
              <w:t xml:space="preserve">40–80 hrs avg</w:t>
            </w:r>
          </w:p>
        </w:tc>
        <w:tc>
          <w:tcPr>
            <w:shd w:fill="FFFFFF" w:val="clear"/>
          </w:tcPr>
          <w:p>
            <w:r>
              <w:rPr>
                <w:b w:val="false"/>
                <w:bCs w:val="false"/>
                <w:color w:val="1A1A2E"/>
                <w:sz w:val="18"/>
                <w:szCs w:val="18"/>
              </w:rPr>
              <w:t xml:space="preserve">20–40 hrs avg</w:t>
            </w:r>
          </w:p>
        </w:tc>
        <w:tc>
          <w:tcPr>
            <w:shd w:fill="FFFFFF" w:val="clear"/>
          </w:tcPr>
          <w:p>
            <w:r>
              <w:rPr>
                <w:b/>
                <w:bCs/>
                <w:color w:val="1A7F37"/>
                <w:sz w:val="18"/>
                <w:szCs w:val="18"/>
              </w:rPr>
              <w:t xml:space="preserve">45–50%</w:t>
            </w:r>
          </w:p>
        </w:tc>
      </w:tr>
      <w:tr>
        <w:tc>
          <w:tcPr>
            <w:shd w:fill="EEF3FB" w:val="clear"/>
          </w:tcPr>
          <w:p>
            <w:r>
              <w:rPr>
                <w:b w:val="false"/>
                <w:bCs w:val="false"/>
                <w:color w:val="1A1A2E"/>
                <w:sz w:val="18"/>
                <w:szCs w:val="18"/>
              </w:rPr>
              <w:t xml:space="preserve">Data Migration (per entity)</w:t>
            </w:r>
          </w:p>
        </w:tc>
        <w:tc>
          <w:tcPr>
            <w:shd w:fill="EEF3FB" w:val="clear"/>
          </w:tcPr>
          <w:p>
            <w:r>
              <w:rPr>
                <w:b w:val="false"/>
                <w:bCs w:val="false"/>
                <w:color w:val="1A1A2E"/>
                <w:sz w:val="18"/>
                <w:szCs w:val="18"/>
              </w:rPr>
              <w:t xml:space="preserve">120–200 hrs</w:t>
            </w:r>
          </w:p>
        </w:tc>
        <w:tc>
          <w:tcPr>
            <w:shd w:fill="EEF3FB" w:val="clear"/>
          </w:tcPr>
          <w:p>
            <w:r>
              <w:rPr>
                <w:b w:val="false"/>
                <w:bCs w:val="false"/>
                <w:color w:val="1A1A2E"/>
                <w:sz w:val="18"/>
                <w:szCs w:val="18"/>
              </w:rPr>
              <w:t xml:space="preserve">60–100 hrs</w:t>
            </w:r>
          </w:p>
        </w:tc>
        <w:tc>
          <w:tcPr>
            <w:shd w:fill="EEF3FB" w:val="clear"/>
          </w:tcPr>
          <w:p>
            <w:r>
              <w:rPr>
                <w:b/>
                <w:bCs/>
                <w:color w:val="1A7F37"/>
                <w:sz w:val="18"/>
                <w:szCs w:val="18"/>
              </w:rPr>
              <w:t xml:space="preserve">45–55%</w:t>
            </w:r>
          </w:p>
        </w:tc>
      </w:tr>
      <w:tr>
        <w:tc>
          <w:tcPr>
            <w:shd w:fill="FFFFFF" w:val="clear"/>
          </w:tcPr>
          <w:p>
            <w:r>
              <w:rPr>
                <w:b w:val="false"/>
                <w:bCs w:val="false"/>
                <w:color w:val="1A1A2E"/>
                <w:sz w:val="18"/>
                <w:szCs w:val="18"/>
              </w:rPr>
              <w:t xml:space="preserve">SIT / Regression Testing</w:t>
            </w:r>
          </w:p>
        </w:tc>
        <w:tc>
          <w:tcPr>
            <w:shd w:fill="FFFFFF" w:val="clear"/>
          </w:tcPr>
          <w:p>
            <w:r>
              <w:rPr>
                <w:b w:val="false"/>
                <w:bCs w:val="false"/>
                <w:color w:val="1A1A2E"/>
                <w:sz w:val="18"/>
                <w:szCs w:val="18"/>
              </w:rPr>
              <w:t xml:space="preserve">600–900 hrs</w:t>
            </w:r>
          </w:p>
        </w:tc>
        <w:tc>
          <w:tcPr>
            <w:shd w:fill="FFFFFF" w:val="clear"/>
          </w:tcPr>
          <w:p>
            <w:r>
              <w:rPr>
                <w:b w:val="false"/>
                <w:bCs w:val="false"/>
                <w:color w:val="1A1A2E"/>
                <w:sz w:val="18"/>
                <w:szCs w:val="18"/>
              </w:rPr>
              <w:t xml:space="preserve">200–350 hrs</w:t>
            </w:r>
          </w:p>
        </w:tc>
        <w:tc>
          <w:tcPr>
            <w:shd w:fill="FFFFFF" w:val="clear"/>
          </w:tcPr>
          <w:p>
            <w:r>
              <w:rPr>
                <w:b/>
                <w:bCs/>
                <w:color w:val="1A7F37"/>
                <w:sz w:val="18"/>
                <w:szCs w:val="18"/>
              </w:rPr>
              <w:t xml:space="preserve">55–65%</w:t>
            </w:r>
          </w:p>
        </w:tc>
      </w:tr>
      <w:tr>
        <w:tc>
          <w:tcPr>
            <w:shd w:fill="EEF3FB" w:val="clear"/>
          </w:tcPr>
          <w:p>
            <w:r>
              <w:rPr>
                <w:b w:val="false"/>
                <w:bCs w:val="false"/>
                <w:color w:val="1A1A2E"/>
                <w:sz w:val="18"/>
                <w:szCs w:val="18"/>
              </w:rPr>
              <w:t xml:space="preserve">UAT Support</w:t>
            </w:r>
          </w:p>
        </w:tc>
        <w:tc>
          <w:tcPr>
            <w:shd w:fill="EEF3FB" w:val="clear"/>
          </w:tcPr>
          <w:p>
            <w:r>
              <w:rPr>
                <w:b w:val="false"/>
                <w:bCs w:val="false"/>
                <w:color w:val="1A1A2E"/>
                <w:sz w:val="18"/>
                <w:szCs w:val="18"/>
              </w:rPr>
              <w:t xml:space="preserve">300–400 hrs</w:t>
            </w:r>
          </w:p>
        </w:tc>
        <w:tc>
          <w:tcPr>
            <w:shd w:fill="EEF3FB" w:val="clear"/>
          </w:tcPr>
          <w:p>
            <w:r>
              <w:rPr>
                <w:b w:val="false"/>
                <w:bCs w:val="false"/>
                <w:color w:val="1A1A2E"/>
                <w:sz w:val="18"/>
                <w:szCs w:val="18"/>
              </w:rPr>
              <w:t xml:space="preserve">200–280 hrs</w:t>
            </w:r>
          </w:p>
        </w:tc>
        <w:tc>
          <w:tcPr>
            <w:shd w:fill="EEF3FB" w:val="clear"/>
          </w:tcPr>
          <w:p>
            <w:r>
              <w:rPr>
                <w:b/>
                <w:bCs/>
                <w:color w:val="1A7F37"/>
                <w:sz w:val="18"/>
                <w:szCs w:val="18"/>
              </w:rPr>
              <w:t xml:space="preserve">25–30%</w:t>
            </w:r>
          </w:p>
        </w:tc>
      </w:tr>
      <w:tr>
        <w:tc>
          <w:tcPr>
            <w:shd w:fill="FFFFFF" w:val="clear"/>
          </w:tcPr>
          <w:p>
            <w:r>
              <w:rPr>
                <w:b w:val="false"/>
                <w:bCs w:val="false"/>
                <w:color w:val="1A1A2E"/>
                <w:sz w:val="18"/>
                <w:szCs w:val="18"/>
              </w:rPr>
              <w:t xml:space="preserve">Documentation</w:t>
            </w:r>
          </w:p>
        </w:tc>
        <w:tc>
          <w:tcPr>
            <w:shd w:fill="FFFFFF" w:val="clear"/>
          </w:tcPr>
          <w:p>
            <w:r>
              <w:rPr>
                <w:b w:val="false"/>
                <w:bCs w:val="false"/>
                <w:color w:val="1A1A2E"/>
                <w:sz w:val="18"/>
                <w:szCs w:val="18"/>
              </w:rPr>
              <w:t xml:space="preserve">200–300 hrs</w:t>
            </w:r>
          </w:p>
        </w:tc>
        <w:tc>
          <w:tcPr>
            <w:shd w:fill="FFFFFF" w:val="clear"/>
          </w:tcPr>
          <w:p>
            <w:r>
              <w:rPr>
                <w:b w:val="false"/>
                <w:bCs w:val="false"/>
                <w:color w:val="1A1A2E"/>
                <w:sz w:val="18"/>
                <w:szCs w:val="18"/>
              </w:rPr>
              <w:t xml:space="preserve">80–130 hrs</w:t>
            </w:r>
          </w:p>
        </w:tc>
        <w:tc>
          <w:tcPr>
            <w:shd w:fill="FFFFFF" w:val="clear"/>
          </w:tcPr>
          <w:p>
            <w:r>
              <w:rPr>
                <w:b/>
                <w:bCs/>
                <w:color w:val="1A7F37"/>
                <w:sz w:val="18"/>
                <w:szCs w:val="18"/>
              </w:rPr>
              <w:t xml:space="preserve">50–60%</w:t>
            </w:r>
          </w:p>
        </w:tc>
      </w:tr>
      <w:tr>
        <w:tc>
          <w:tcPr>
            <w:shd w:fill="EEF3FB" w:val="clear"/>
          </w:tcPr>
          <w:p>
            <w:r>
              <w:rPr>
                <w:b w:val="false"/>
                <w:bCs w:val="false"/>
                <w:color w:val="1A1A2E"/>
                <w:sz w:val="18"/>
                <w:szCs w:val="18"/>
              </w:rPr>
              <w:t xml:space="preserve">Training Development</w:t>
            </w:r>
          </w:p>
        </w:tc>
        <w:tc>
          <w:tcPr>
            <w:shd w:fill="EEF3FB" w:val="clear"/>
          </w:tcPr>
          <w:p>
            <w:r>
              <w:rPr>
                <w:b w:val="false"/>
                <w:bCs w:val="false"/>
                <w:color w:val="1A1A2E"/>
                <w:sz w:val="18"/>
                <w:szCs w:val="18"/>
              </w:rPr>
              <w:t xml:space="preserve">150–250 hrs</w:t>
            </w:r>
          </w:p>
        </w:tc>
        <w:tc>
          <w:tcPr>
            <w:shd w:fill="EEF3FB" w:val="clear"/>
          </w:tcPr>
          <w:p>
            <w:r>
              <w:rPr>
                <w:b w:val="false"/>
                <w:bCs w:val="false"/>
                <w:color w:val="1A1A2E"/>
                <w:sz w:val="18"/>
                <w:szCs w:val="18"/>
              </w:rPr>
              <w:t xml:space="preserve">70–110 hrs</w:t>
            </w:r>
          </w:p>
        </w:tc>
        <w:tc>
          <w:tcPr>
            <w:shd w:fill="EEF3FB" w:val="clear"/>
          </w:tcPr>
          <w:p>
            <w:r>
              <w:rPr>
                <w:b/>
                <w:bCs/>
                <w:color w:val="1A7F37"/>
                <w:sz w:val="18"/>
                <w:szCs w:val="18"/>
              </w:rPr>
              <w:t xml:space="preserve">50–55%</w:t>
            </w:r>
          </w:p>
        </w:tc>
      </w:tr>
    </w:tbl>
    <w:p>
      <w:pPr>
        <w:spacing w:after="120" w:before="80" w:line="276"/>
      </w:pPr>
      <w:r>
        <w:rPr>
          <w:color w:val="1A1A2E"/>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70"/>
          <w:left w:type="dxa" w:w="226"/>
          <w:bottom w:type="dxa" w:w="170"/>
          <w:right w:type="dxa" w:w="226"/>
        </w:tblCellMar>
      </w:tblPr>
      <w:tblGrid>
        <w:gridCol w:w="100"/>
      </w:tblGrid>
      <w:tr>
        <w:tc>
          <w:tcPr>
            <w:tcBorders>
              <w:top w:val="thick" w:color="E8A020" w:sz="8"/>
              <w:left w:val="thick" w:color="E8A020" w:sz="8"/>
              <w:bottom w:val="none"/>
              <w:right w:val="none"/>
            </w:tcBorders>
            <w:shd w:fill="EEF3FB" w:val="clear"/>
          </w:tcPr>
          <w:p>
            <w:r>
              <w:rPr>
                <w:b/>
                <w:bCs/>
                <w:color w:val="E8A020"/>
                <w:sz w:val="20"/>
                <w:szCs w:val="20"/>
              </w:rPr>
              <w:t xml:space="preserve">⚡ ECC Estimating Shift</w:t>
            </w:r>
          </w:p>
          <w:p>
            <w:pPr>
              <w:spacing w:before="60"/>
            </w:pPr>
            <w:r>
              <w:rPr>
                <w:color w:val="1A1A2E"/>
                <w:sz w:val="19"/>
                <w:szCs w:val="19"/>
              </w:rPr>
              <w:t xml:space="preserve">Move from "effort per RICE object" to "AI-augmented velocity per developer". A senior developer with AI tooling can produce 2–3x the output of a developer without AI. Adjust complexity multipliers downward by 0.5–0.6x for standard RICE; retain full complexity for deeply bespoke integrations.</w:t>
            </w:r>
          </w:p>
        </w:tc>
      </w:tr>
    </w:tbl>
    <w:p>
      <w:pPr>
        <w:spacing w:after="120" w:before="80" w:line="276"/>
      </w:pPr>
      <w:r>
        <w:rPr>
          <w:color w:val="1A1A2E"/>
          <w:sz w:val="20"/>
          <w:szCs w:val="20"/>
        </w:rPr>
        <w:t xml:space="preserve"/>
      </w:r>
    </w:p>
    <w:p>
      <w:pPr>
        <w:pStyle w:val="Heading3"/>
        <w:spacing w:after="120" w:before="300"/>
      </w:pPr>
      <w:r>
        <w:rPr>
          <w:b/>
          <w:bCs/>
          <w:color w:val="1F3F8F"/>
          <w:sz w:val="24"/>
          <w:szCs w:val="24"/>
        </w:rPr>
        <w:t xml:space="preserve">New Estimation Risk Factors to Add</w:t>
      </w:r>
    </w:p>
    <w:p>
      <w:pPr>
        <w:pStyle w:val="ListParagraph"/>
        <w:numPr>
          <w:ilvl w:val="0"/>
          <w:numId w:val="1"/>
        </w:numPr>
        <w:spacing w:after="60" w:before="60"/>
      </w:pPr>
      <w:r>
        <w:rPr>
          <w:color w:val="1A1A2E"/>
          <w:sz w:val="20"/>
          <w:szCs w:val="20"/>
        </w:rPr>
        <w:t xml:space="preserve">AI Tool Learning Curve: Add 5–10% buffer for teams new to AI-assisted development in their first 4 weeks.</w:t>
      </w:r>
    </w:p>
    <w:p>
      <w:pPr>
        <w:pStyle w:val="ListParagraph"/>
        <w:numPr>
          <w:ilvl w:val="0"/>
          <w:numId w:val="1"/>
        </w:numPr>
        <w:spacing w:after="60" w:before="60"/>
      </w:pPr>
      <w:r>
        <w:rPr>
          <w:color w:val="1A1A2E"/>
          <w:sz w:val="20"/>
          <w:szCs w:val="20"/>
        </w:rPr>
        <w:t xml:space="preserve">AI Output Validation: Retain 15–20% of saved effort for human review and validation of AI-generated code/configs.</w:t>
      </w:r>
    </w:p>
    <w:p>
      <w:pPr>
        <w:pStyle w:val="ListParagraph"/>
        <w:numPr>
          <w:ilvl w:val="0"/>
          <w:numId w:val="1"/>
        </w:numPr>
        <w:spacing w:after="60" w:before="60"/>
      </w:pPr>
      <w:r>
        <w:rPr>
          <w:color w:val="1A1A2E"/>
          <w:sz w:val="20"/>
          <w:szCs w:val="20"/>
        </w:rPr>
        <w:t xml:space="preserve">Prompt Engineering Overhead: Small but real — budget 5–8 hrs per workstream for prompt design and iteration.</w:t>
      </w:r>
    </w:p>
    <w:p>
      <w:r>
        <w:br w:type="page"/>
      </w:r>
    </w:p>
    <w:p>
      <w:pPr>
        <w:sectPr>
          <w:pgSz w:w="11906" w:h="16838" w:orient="portrait"/>
          <w:pgMar w:top="1440" w:right="1440" w:bottom="1440" w:left="1440" w:header="708" w:footer="708" w:gutter="0"/>
          <w:pgNumType/>
          <w:docGrid w:linePitch="360"/>
        </w:sectP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3F8F" w:val="clear"/>
          </w:tcPr>
          <w:p>
            <w:pPr>
              <w:jc w:val="center"/>
            </w:pPr>
            <w:r>
              <w:rPr>
                <w:b/>
                <w:bCs/>
                <w:color w:val="FFFFFF"/>
                <w:sz w:val="22"/>
                <w:szCs w:val="22"/>
              </w:rPr>
              <w:t xml:space="preserve">CHAPTER 2 — ORACLE EBS TO FUSION CLOUD MIGRATION</w:t>
            </w:r>
          </w:p>
        </w:tc>
      </w:tr>
    </w:tbl>
    <w:p>
      <w:pPr>
        <w:spacing w:after="120" w:before="80" w:line="276"/>
      </w:pPr>
      <w:r>
        <w:rPr>
          <w:color w:val="1A1A2E"/>
          <w:sz w:val="20"/>
          <w:szCs w:val="20"/>
        </w:rPr>
        <w:t xml:space="preserve"/>
      </w:r>
    </w:p>
    <w:p>
      <w:pPr>
        <w:pStyle w:val="Heading2"/>
        <w:spacing w:after="120" w:before="300"/>
      </w:pPr>
      <w:r>
        <w:rPr>
          <w:b/>
          <w:bCs/>
          <w:color w:val="2E86AB"/>
          <w:sz w:val="28"/>
          <w:szCs w:val="28"/>
        </w:rPr>
        <w:t xml:space="preserve">Program Type: EBS/ECC → Oracle Fusion Cloud (Lift-to-Cloud / Re-implementation)</w:t>
      </w:r>
    </w:p>
    <w:p>
      <w:pPr>
        <w:spacing w:after="120" w:before="80" w:line="276"/>
      </w:pPr>
      <w:r>
        <w:rPr>
          <w:color w:val="1A1A2E"/>
          <w:sz w:val="20"/>
          <w:szCs w:val="20"/>
        </w:rPr>
        <w:t xml:space="preserve">Migration from Oracle EBS (11i, R12) to Oracle Fusion Cloud is not a technical upgrade — it is a reimplementation on a fundamentally different architecture (SaaS, multi-tenant, quarterly patched). These programs are among the most complex Oracle engagements, typically spanning 18–36 months for large enterprises.</w:t>
      </w:r>
    </w:p>
    <w:p>
      <w:pPr>
        <w:spacing w:after="120" w:before="80" w:line="276"/>
      </w:pPr>
      <w:r>
        <w:rPr>
          <w:color w:val="1A1A2E"/>
          <w:sz w:val="20"/>
          <w:szCs w:val="20"/>
        </w:rPr>
        <w:t xml:space="preserve"/>
      </w:r>
    </w:p>
    <w:p>
      <w:pPr>
        <w:pStyle w:val="Heading2"/>
        <w:spacing w:after="120" w:before="300"/>
      </w:pPr>
      <w:r>
        <w:rPr>
          <w:b/>
          <w:bCs/>
          <w:color w:val="1F3F8F"/>
          <w:sz w:val="28"/>
          <w:szCs w:val="28"/>
        </w:rPr>
        <w:t xml:space="preserve">2.1  AI Impact on SDLC Activities</w:t>
      </w:r>
    </w:p>
    <w:p>
      <w:pPr>
        <w:pStyle w:val="Heading3"/>
        <w:spacing w:after="120" w:before="300"/>
      </w:pPr>
      <w:r>
        <w:rPr>
          <w:b/>
          <w:bCs/>
          <w:color w:val="1F3F8F"/>
          <w:sz w:val="24"/>
          <w:szCs w:val="24"/>
        </w:rPr>
        <w:t xml:space="preserve">Discovery &amp; Fit-Gap Analysis</w:t>
      </w:r>
    </w:p>
    <w:p>
      <w:pPr>
        <w:pStyle w:val="ListParagraph"/>
        <w:numPr>
          <w:ilvl w:val="0"/>
          <w:numId w:val="1"/>
        </w:numPr>
        <w:spacing w:after="60" w:before="60"/>
      </w:pPr>
      <w:r>
        <w:rPr>
          <w:color w:val="1A1A2E"/>
          <w:sz w:val="20"/>
          <w:szCs w:val="20"/>
        </w:rPr>
        <w:t xml:space="preserve">AI tools can automatically extract and catalogue all EBS configurations, custom objects, and data structures — what traditionally takes 6–8 weeks of discovery now takes 2–3 weeks.</w:t>
      </w:r>
    </w:p>
    <w:p>
      <w:pPr>
        <w:pStyle w:val="ListParagraph"/>
        <w:numPr>
          <w:ilvl w:val="0"/>
          <w:numId w:val="1"/>
        </w:numPr>
        <w:spacing w:after="60" w:before="60"/>
      </w:pPr>
      <w:r>
        <w:rPr>
          <w:color w:val="1A1A2E"/>
          <w:sz w:val="20"/>
          <w:szCs w:val="20"/>
        </w:rPr>
        <w:t xml:space="preserve">Oracle Cloud Readiness AI tools map EBS module functionality to Fusion Cloud equivalents, auto-generating fit-gap reports.</w:t>
      </w:r>
    </w:p>
    <w:p>
      <w:pPr>
        <w:pStyle w:val="ListParagraph"/>
        <w:numPr>
          <w:ilvl w:val="0"/>
          <w:numId w:val="1"/>
        </w:numPr>
        <w:spacing w:after="60" w:before="60"/>
      </w:pPr>
      <w:r>
        <w:rPr>
          <w:color w:val="1A1A2E"/>
          <w:sz w:val="20"/>
          <w:szCs w:val="20"/>
        </w:rPr>
        <w:t xml:space="preserve">AI-assisted business process mining (e.g. using process mining tools + AI) reads EBS transaction logs to map as-is processes — eliminating the need for weeks of interview-based documentation.</w:t>
      </w:r>
    </w:p>
    <w:p>
      <w:pPr>
        <w:pStyle w:val="ListParagraph"/>
        <w:numPr>
          <w:ilvl w:val="1"/>
          <w:numId w:val="1"/>
        </w:numPr>
        <w:spacing w:after="40" w:before="40"/>
      </w:pPr>
      <w:r>
        <w:rPr>
          <w:color w:val="444466"/>
          <w:sz w:val="19"/>
          <w:szCs w:val="19"/>
        </w:rPr>
        <w:t xml:space="preserve">Estimated effort reduction: 40–55% on discovery and fit-gap</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Configuration (Fusion Functional Setup Manager)</w:t>
      </w:r>
    </w:p>
    <w:p>
      <w:pPr>
        <w:pStyle w:val="ListParagraph"/>
        <w:numPr>
          <w:ilvl w:val="0"/>
          <w:numId w:val="1"/>
        </w:numPr>
        <w:spacing w:after="60" w:before="60"/>
      </w:pPr>
      <w:r>
        <w:rPr>
          <w:color w:val="1A1A2E"/>
          <w:sz w:val="20"/>
          <w:szCs w:val="20"/>
        </w:rPr>
        <w:t xml:space="preserve">AI can read EBS setups and generate pre-populated Fusion FSM configuration workbooks — dramatically accelerating the "blank sheet" problem of Fusion configuration.</w:t>
      </w:r>
    </w:p>
    <w:p>
      <w:pPr>
        <w:pStyle w:val="ListParagraph"/>
        <w:numPr>
          <w:ilvl w:val="0"/>
          <w:numId w:val="1"/>
        </w:numPr>
        <w:spacing w:after="60" w:before="60"/>
      </w:pPr>
      <w:r>
        <w:rPr>
          <w:color w:val="1A1A2E"/>
          <w:sz w:val="20"/>
          <w:szCs w:val="20"/>
        </w:rPr>
        <w:t xml:space="preserve">AI recommends best-practice Fusion configurations based on the client's industry, transaction volumes, and EBS history.</w:t>
      </w:r>
    </w:p>
    <w:p>
      <w:pPr>
        <w:pStyle w:val="ListParagraph"/>
        <w:numPr>
          <w:ilvl w:val="0"/>
          <w:numId w:val="1"/>
        </w:numPr>
        <w:spacing w:after="60" w:before="60"/>
      </w:pPr>
      <w:r>
        <w:rPr>
          <w:color w:val="1A1A2E"/>
          <w:sz w:val="20"/>
          <w:szCs w:val="20"/>
        </w:rPr>
        <w:t xml:space="preserve">Configuration conflict detection: AI flags when two setup choices are mutually exclusive or sub-optimal before go-live.</w:t>
      </w:r>
    </w:p>
    <w:p>
      <w:pPr>
        <w:pStyle w:val="ListParagraph"/>
        <w:numPr>
          <w:ilvl w:val="1"/>
          <w:numId w:val="1"/>
        </w:numPr>
        <w:spacing w:after="40" w:before="40"/>
      </w:pPr>
      <w:r>
        <w:rPr>
          <w:color w:val="444466"/>
          <w:sz w:val="19"/>
          <w:szCs w:val="19"/>
        </w:rPr>
        <w:t xml:space="preserve">Estimated effort reduction: 30–45%</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Custom Extension Strategy (CEMLI / OIC)</w:t>
      </w:r>
    </w:p>
    <w:p>
      <w:pPr>
        <w:pStyle w:val="ListParagraph"/>
        <w:numPr>
          <w:ilvl w:val="0"/>
          <w:numId w:val="1"/>
        </w:numPr>
        <w:spacing w:after="60" w:before="60"/>
      </w:pPr>
      <w:r>
        <w:rPr>
          <w:color w:val="1A1A2E"/>
          <w:sz w:val="20"/>
          <w:szCs w:val="20"/>
        </w:rPr>
        <w:t xml:space="preserve">AI analyses every EBS custom object and recommends: retire / replace with standard Fusion / recreate as OIC integration / recreate as Fusion extension.</w:t>
      </w:r>
    </w:p>
    <w:p>
      <w:pPr>
        <w:pStyle w:val="ListParagraph"/>
        <w:numPr>
          <w:ilvl w:val="0"/>
          <w:numId w:val="1"/>
        </w:numPr>
        <w:spacing w:after="60" w:before="60"/>
      </w:pPr>
      <w:r>
        <w:rPr>
          <w:color w:val="1A1A2E"/>
          <w:sz w:val="20"/>
          <w:szCs w:val="20"/>
        </w:rPr>
        <w:t xml:space="preserve">AI-assisted development of Oracle Integration Cloud (OIC) flows from existing EBS interface specs.</w:t>
      </w:r>
    </w:p>
    <w:p>
      <w:pPr>
        <w:pStyle w:val="ListParagraph"/>
        <w:numPr>
          <w:ilvl w:val="0"/>
          <w:numId w:val="1"/>
        </w:numPr>
        <w:spacing w:after="60" w:before="60"/>
      </w:pPr>
      <w:r>
        <w:rPr>
          <w:color w:val="1A1A2E"/>
          <w:sz w:val="20"/>
          <w:szCs w:val="20"/>
        </w:rPr>
        <w:t xml:space="preserve">VBCS (Visual Builder) and Fusion extension scaffolding via AI code generation.</w:t>
      </w:r>
    </w:p>
    <w:p>
      <w:pPr>
        <w:pStyle w:val="ListParagraph"/>
        <w:numPr>
          <w:ilvl w:val="0"/>
          <w:numId w:val="1"/>
        </w:numPr>
        <w:spacing w:after="60" w:before="60"/>
      </w:pPr>
      <w:r>
        <w:rPr>
          <w:color w:val="1A1A2E"/>
          <w:sz w:val="20"/>
          <w:szCs w:val="20"/>
        </w:rPr>
        <w:t xml:space="preserve">AI-generated REST API mapping from EBS custom interfaces to Fusion open APIs.</w:t>
      </w:r>
    </w:p>
    <w:p>
      <w:pPr>
        <w:pStyle w:val="ListParagraph"/>
        <w:numPr>
          <w:ilvl w:val="1"/>
          <w:numId w:val="1"/>
        </w:numPr>
        <w:spacing w:after="40" w:before="40"/>
      </w:pPr>
      <w:r>
        <w:rPr>
          <w:color w:val="444466"/>
          <w:sz w:val="19"/>
          <w:szCs w:val="19"/>
        </w:rPr>
        <w:t xml:space="preserve">Estimated effort reduction: 35–50% on extension rebuild; 50–65% on integration rebuilds</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Data Migration (EBS → Fusion)</w:t>
      </w:r>
    </w:p>
    <w:p>
      <w:pPr>
        <w:pStyle w:val="ListParagraph"/>
        <w:numPr>
          <w:ilvl w:val="0"/>
          <w:numId w:val="1"/>
        </w:numPr>
        <w:spacing w:after="60" w:before="60"/>
      </w:pPr>
      <w:r>
        <w:rPr>
          <w:color w:val="1A1A2E"/>
          <w:sz w:val="20"/>
          <w:szCs w:val="20"/>
        </w:rPr>
        <w:t xml:space="preserve">This is the highest-risk workstream in EBS→Fusion programs. AI transforms it significantly.</w:t>
      </w:r>
    </w:p>
    <w:p>
      <w:pPr>
        <w:pStyle w:val="ListParagraph"/>
        <w:numPr>
          <w:ilvl w:val="0"/>
          <w:numId w:val="1"/>
        </w:numPr>
        <w:spacing w:after="60" w:before="60"/>
      </w:pPr>
      <w:r>
        <w:rPr>
          <w:color w:val="1A1A2E"/>
          <w:sz w:val="20"/>
          <w:szCs w:val="20"/>
        </w:rPr>
        <w:t xml:space="preserve">AI-driven data lineage mapping from EBS tables to Fusion FBDI/HDL templates — reducing mapping effort by 50–60%.</w:t>
      </w:r>
    </w:p>
    <w:p>
      <w:pPr>
        <w:pStyle w:val="ListParagraph"/>
        <w:numPr>
          <w:ilvl w:val="0"/>
          <w:numId w:val="1"/>
        </w:numPr>
        <w:spacing w:after="60" w:before="60"/>
      </w:pPr>
      <w:r>
        <w:rPr>
          <w:color w:val="1A1A2E"/>
          <w:sz w:val="20"/>
          <w:szCs w:val="20"/>
        </w:rPr>
        <w:t xml:space="preserve">Intelligent data cleanse: AI identifies duplicate records, inactive master data, and inconsistent coding structures in EBS — and suggests rationalisation rules.</w:t>
      </w:r>
    </w:p>
    <w:p>
      <w:pPr>
        <w:pStyle w:val="ListParagraph"/>
        <w:numPr>
          <w:ilvl w:val="0"/>
          <w:numId w:val="1"/>
        </w:numPr>
        <w:spacing w:after="60" w:before="60"/>
      </w:pPr>
      <w:r>
        <w:rPr>
          <w:color w:val="1A1A2E"/>
          <w:sz w:val="20"/>
          <w:szCs w:val="20"/>
        </w:rPr>
        <w:t xml:space="preserve">AI-powered historical data archive strategy — automatically categorising what goes to archive vs. what migrates to Fusion.</w:t>
      </w:r>
    </w:p>
    <w:p>
      <w:pPr>
        <w:pStyle w:val="ListParagraph"/>
        <w:numPr>
          <w:ilvl w:val="0"/>
          <w:numId w:val="1"/>
        </w:numPr>
        <w:spacing w:after="60" w:before="60"/>
      </w:pPr>
      <w:r>
        <w:rPr>
          <w:color w:val="1A1A2E"/>
          <w:sz w:val="20"/>
          <w:szCs w:val="20"/>
        </w:rPr>
        <w:t xml:space="preserve">Automated FBDI/HDL file generation and validation against Fusion import rules.</w:t>
      </w:r>
    </w:p>
    <w:p>
      <w:pPr>
        <w:pStyle w:val="ListParagraph"/>
        <w:numPr>
          <w:ilvl w:val="1"/>
          <w:numId w:val="1"/>
        </w:numPr>
        <w:spacing w:after="40" w:before="40"/>
      </w:pPr>
      <w:r>
        <w:rPr>
          <w:color w:val="444466"/>
          <w:sz w:val="19"/>
          <w:szCs w:val="19"/>
        </w:rPr>
        <w:t xml:space="preserve">Estimated effort reduction: 45–60%</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Testing</w:t>
      </w:r>
    </w:p>
    <w:p>
      <w:pPr>
        <w:pStyle w:val="ListParagraph"/>
        <w:numPr>
          <w:ilvl w:val="0"/>
          <w:numId w:val="1"/>
        </w:numPr>
        <w:spacing w:after="60" w:before="60"/>
      </w:pPr>
      <w:r>
        <w:rPr>
          <w:color w:val="1A1A2E"/>
          <w:sz w:val="20"/>
          <w:szCs w:val="20"/>
        </w:rPr>
        <w:t xml:space="preserve">End-to-end process testing using AI — AI generates test cases across the full EBS process footprint being re-platformed.</w:t>
      </w:r>
    </w:p>
    <w:p>
      <w:pPr>
        <w:pStyle w:val="ListParagraph"/>
        <w:numPr>
          <w:ilvl w:val="0"/>
          <w:numId w:val="1"/>
        </w:numPr>
        <w:spacing w:after="60" w:before="60"/>
      </w:pPr>
      <w:r>
        <w:rPr>
          <w:color w:val="1A1A2E"/>
          <w:sz w:val="20"/>
          <w:szCs w:val="20"/>
        </w:rPr>
        <w:t xml:space="preserve">Parallel run validation: AI compares EBS transaction outputs vs. Fusion transaction outputs at scale, flagging mismatches.</w:t>
      </w:r>
    </w:p>
    <w:p>
      <w:pPr>
        <w:pStyle w:val="ListParagraph"/>
        <w:numPr>
          <w:ilvl w:val="0"/>
          <w:numId w:val="1"/>
        </w:numPr>
        <w:spacing w:after="60" w:before="60"/>
      </w:pPr>
      <w:r>
        <w:rPr>
          <w:color w:val="1A1A2E"/>
          <w:sz w:val="20"/>
          <w:szCs w:val="20"/>
        </w:rPr>
        <w:t xml:space="preserve">AI-generated mock data for volume testing in Fusion pre-production environments.</w:t>
      </w:r>
    </w:p>
    <w:p>
      <w:pPr>
        <w:pStyle w:val="ListParagraph"/>
        <w:numPr>
          <w:ilvl w:val="1"/>
          <w:numId w:val="1"/>
        </w:numPr>
        <w:spacing w:after="40" w:before="40"/>
      </w:pPr>
      <w:r>
        <w:rPr>
          <w:color w:val="444466"/>
          <w:sz w:val="19"/>
          <w:szCs w:val="19"/>
        </w:rPr>
        <w:t xml:space="preserve">Estimated effort reduction: 55–70% on regression; 35–45% on UAT</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Cutover Planning</w:t>
      </w:r>
    </w:p>
    <w:p>
      <w:pPr>
        <w:pStyle w:val="ListParagraph"/>
        <w:numPr>
          <w:ilvl w:val="0"/>
          <w:numId w:val="1"/>
        </w:numPr>
        <w:spacing w:after="60" w:before="60"/>
      </w:pPr>
      <w:r>
        <w:rPr>
          <w:color w:val="1A1A2E"/>
          <w:sz w:val="20"/>
          <w:szCs w:val="20"/>
        </w:rPr>
        <w:t xml:space="preserve">AI generates cutover run books from template libraries and previous migration experience, adapted to the specific program's object inventory.</w:t>
      </w:r>
    </w:p>
    <w:p>
      <w:pPr>
        <w:pStyle w:val="ListParagraph"/>
        <w:numPr>
          <w:ilvl w:val="0"/>
          <w:numId w:val="1"/>
        </w:numPr>
        <w:spacing w:after="60" w:before="60"/>
      </w:pPr>
      <w:r>
        <w:rPr>
          <w:color w:val="1A1A2E"/>
          <w:sz w:val="20"/>
          <w:szCs w:val="20"/>
        </w:rPr>
        <w:t xml:space="preserve">AI monitors cutover execution in real-time, predicting schedule slippage and recommending re-sequencing of tasks.</w:t>
      </w:r>
    </w:p>
    <w:p>
      <w:pPr>
        <w:pStyle w:val="ListParagraph"/>
        <w:numPr>
          <w:ilvl w:val="1"/>
          <w:numId w:val="1"/>
        </w:numPr>
        <w:spacing w:after="40" w:before="40"/>
      </w:pPr>
      <w:r>
        <w:rPr>
          <w:color w:val="444466"/>
          <w:sz w:val="19"/>
          <w:szCs w:val="19"/>
        </w:rPr>
        <w:t xml:space="preserve">Estimated effort reduction: 30–40%</w:t>
      </w:r>
    </w:p>
    <w:p>
      <w:pPr>
        <w:spacing w:after="120" w:before="80" w:line="276"/>
      </w:pPr>
      <w:r>
        <w:rPr>
          <w:color w:val="1A1A2E"/>
          <w:sz w:val="20"/>
          <w:szCs w:val="20"/>
        </w:rPr>
        <w:t xml:space="preserve"/>
      </w:r>
    </w:p>
    <w:p>
      <w:pPr>
        <w:pStyle w:val="Heading2"/>
        <w:spacing w:after="120" w:before="300"/>
      </w:pPr>
      <w:r>
        <w:rPr>
          <w:b/>
          <w:bCs/>
          <w:color w:val="1F3F8F"/>
          <w:sz w:val="28"/>
          <w:szCs w:val="28"/>
        </w:rPr>
        <w:t xml:space="preserve">2.2  AI Impact on Estimation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400"/>
        <w:gridCol w:w="1500"/>
      </w:tblGrid>
      <w:tr>
        <w:trPr>
          <w:tblHeader/>
        </w:trPr>
        <w:tc>
          <w:tcPr>
            <w:shd w:fill="2E86AB" w:val="clear"/>
          </w:tcPr>
          <w:p>
            <w:pPr>
              <w:jc w:val="center"/>
            </w:pPr>
            <w:r>
              <w:rPr>
                <w:b/>
                <w:bCs/>
                <w:color w:val="FFFFFF"/>
                <w:sz w:val="18"/>
                <w:szCs w:val="18"/>
              </w:rPr>
              <w:t xml:space="preserve">Work Stream</w:t>
            </w:r>
          </w:p>
        </w:tc>
        <w:tc>
          <w:tcPr>
            <w:shd w:fill="2E86AB" w:val="clear"/>
          </w:tcPr>
          <w:p>
            <w:pPr>
              <w:jc w:val="center"/>
            </w:pPr>
            <w:r>
              <w:rPr>
                <w:b/>
                <w:bCs/>
                <w:color w:val="FFFFFF"/>
                <w:sz w:val="18"/>
                <w:szCs w:val="18"/>
              </w:rPr>
              <w:t xml:space="preserve">Traditional Estimate</w:t>
            </w:r>
          </w:p>
        </w:tc>
        <w:tc>
          <w:tcPr>
            <w:shd w:fill="2E86AB" w:val="clear"/>
          </w:tcPr>
          <w:p>
            <w:pPr>
              <w:jc w:val="center"/>
            </w:pPr>
            <w:r>
              <w:rPr>
                <w:b/>
                <w:bCs/>
                <w:color w:val="FFFFFF"/>
                <w:sz w:val="18"/>
                <w:szCs w:val="18"/>
              </w:rPr>
              <w:t xml:space="preserve">AI-Assisted Estimate</w:t>
            </w:r>
          </w:p>
        </w:tc>
        <w:tc>
          <w:tcPr>
            <w:shd w:fill="2E86AB" w:val="clear"/>
          </w:tcPr>
          <w:p>
            <w:pPr>
              <w:jc w:val="center"/>
            </w:pPr>
            <w:r>
              <w:rPr>
                <w:b/>
                <w:bCs/>
                <w:color w:val="FFFFFF"/>
                <w:sz w:val="18"/>
                <w:szCs w:val="18"/>
              </w:rPr>
              <w:t xml:space="preserve">Saving %</w:t>
            </w:r>
          </w:p>
        </w:tc>
      </w:tr>
      <w:tr>
        <w:tc>
          <w:tcPr>
            <w:shd w:fill="EEF3FB" w:val="clear"/>
          </w:tcPr>
          <w:p>
            <w:r>
              <w:rPr>
                <w:b w:val="false"/>
                <w:bCs w:val="false"/>
                <w:color w:val="1A1A2E"/>
                <w:sz w:val="18"/>
                <w:szCs w:val="18"/>
              </w:rPr>
              <w:t xml:space="preserve">Discovery &amp; Fit-Gap</w:t>
            </w:r>
          </w:p>
        </w:tc>
        <w:tc>
          <w:tcPr>
            <w:shd w:fill="EEF3FB" w:val="clear"/>
          </w:tcPr>
          <w:p>
            <w:r>
              <w:rPr>
                <w:b w:val="false"/>
                <w:bCs w:val="false"/>
                <w:color w:val="1A1A2E"/>
                <w:sz w:val="18"/>
                <w:szCs w:val="18"/>
              </w:rPr>
              <w:t xml:space="preserve">1,000–1,800 hrs</w:t>
            </w:r>
          </w:p>
        </w:tc>
        <w:tc>
          <w:tcPr>
            <w:shd w:fill="EEF3FB" w:val="clear"/>
          </w:tcPr>
          <w:p>
            <w:r>
              <w:rPr>
                <w:b w:val="false"/>
                <w:bCs w:val="false"/>
                <w:color w:val="1A1A2E"/>
                <w:sz w:val="18"/>
                <w:szCs w:val="18"/>
              </w:rPr>
              <w:t xml:space="preserve">500–900 hrs</w:t>
            </w:r>
          </w:p>
        </w:tc>
        <w:tc>
          <w:tcPr>
            <w:shd w:fill="EEF3FB" w:val="clear"/>
          </w:tcPr>
          <w:p>
            <w:r>
              <w:rPr>
                <w:b/>
                <w:bCs/>
                <w:color w:val="1A7F37"/>
                <w:sz w:val="18"/>
                <w:szCs w:val="18"/>
              </w:rPr>
              <w:t xml:space="preserve">45–50%</w:t>
            </w:r>
          </w:p>
        </w:tc>
      </w:tr>
      <w:tr>
        <w:tc>
          <w:tcPr>
            <w:shd w:fill="FFFFFF" w:val="clear"/>
          </w:tcPr>
          <w:p>
            <w:r>
              <w:rPr>
                <w:b w:val="false"/>
                <w:bCs w:val="false"/>
                <w:color w:val="1A1A2E"/>
                <w:sz w:val="18"/>
                <w:szCs w:val="18"/>
              </w:rPr>
              <w:t xml:space="preserve">Fusion Configuration</w:t>
            </w:r>
          </w:p>
        </w:tc>
        <w:tc>
          <w:tcPr>
            <w:shd w:fill="FFFFFF" w:val="clear"/>
          </w:tcPr>
          <w:p>
            <w:r>
              <w:rPr>
                <w:b w:val="false"/>
                <w:bCs w:val="false"/>
                <w:color w:val="1A1A2E"/>
                <w:sz w:val="18"/>
                <w:szCs w:val="18"/>
              </w:rPr>
              <w:t xml:space="preserve">1,500–2,500 hrs</w:t>
            </w:r>
          </w:p>
        </w:tc>
        <w:tc>
          <w:tcPr>
            <w:shd w:fill="FFFFFF" w:val="clear"/>
          </w:tcPr>
          <w:p>
            <w:r>
              <w:rPr>
                <w:b w:val="false"/>
                <w:bCs w:val="false"/>
                <w:color w:val="1A1A2E"/>
                <w:sz w:val="18"/>
                <w:szCs w:val="18"/>
              </w:rPr>
              <w:t xml:space="preserve">900–1,600 hrs</w:t>
            </w:r>
          </w:p>
        </w:tc>
        <w:tc>
          <w:tcPr>
            <w:shd w:fill="FFFFFF" w:val="clear"/>
          </w:tcPr>
          <w:p>
            <w:r>
              <w:rPr>
                <w:b/>
                <w:bCs/>
                <w:color w:val="1A7F37"/>
                <w:sz w:val="18"/>
                <w:szCs w:val="18"/>
              </w:rPr>
              <w:t xml:space="preserve">35–40%</w:t>
            </w:r>
          </w:p>
        </w:tc>
      </w:tr>
      <w:tr>
        <w:tc>
          <w:tcPr>
            <w:shd w:fill="EEF3FB" w:val="clear"/>
          </w:tcPr>
          <w:p>
            <w:r>
              <w:rPr>
                <w:b w:val="false"/>
                <w:bCs w:val="false"/>
                <w:color w:val="1A1A2E"/>
                <w:sz w:val="18"/>
                <w:szCs w:val="18"/>
              </w:rPr>
              <w:t xml:space="preserve">Integration / OIC Rebuild</w:t>
            </w:r>
          </w:p>
        </w:tc>
        <w:tc>
          <w:tcPr>
            <w:shd w:fill="EEF3FB" w:val="clear"/>
          </w:tcPr>
          <w:p>
            <w:r>
              <w:rPr>
                <w:b w:val="false"/>
                <w:bCs w:val="false"/>
                <w:color w:val="1A1A2E"/>
                <w:sz w:val="18"/>
                <w:szCs w:val="18"/>
              </w:rPr>
              <w:t xml:space="preserve">2,000–4,000 hrs</w:t>
            </w:r>
          </w:p>
        </w:tc>
        <w:tc>
          <w:tcPr>
            <w:shd w:fill="EEF3FB" w:val="clear"/>
          </w:tcPr>
          <w:p>
            <w:r>
              <w:rPr>
                <w:b w:val="false"/>
                <w:bCs w:val="false"/>
                <w:color w:val="1A1A2E"/>
                <w:sz w:val="18"/>
                <w:szCs w:val="18"/>
              </w:rPr>
              <w:t xml:space="preserve">900–2,000 hrs</w:t>
            </w:r>
          </w:p>
        </w:tc>
        <w:tc>
          <w:tcPr>
            <w:shd w:fill="EEF3FB" w:val="clear"/>
          </w:tcPr>
          <w:p>
            <w:r>
              <w:rPr>
                <w:b/>
                <w:bCs/>
                <w:color w:val="1A7F37"/>
                <w:sz w:val="18"/>
                <w:szCs w:val="18"/>
              </w:rPr>
              <w:t xml:space="preserve">48–55%</w:t>
            </w:r>
          </w:p>
        </w:tc>
      </w:tr>
      <w:tr>
        <w:tc>
          <w:tcPr>
            <w:shd w:fill="FFFFFF" w:val="clear"/>
          </w:tcPr>
          <w:p>
            <w:r>
              <w:rPr>
                <w:b w:val="false"/>
                <w:bCs w:val="false"/>
                <w:color w:val="1A1A2E"/>
                <w:sz w:val="18"/>
                <w:szCs w:val="18"/>
              </w:rPr>
              <w:t xml:space="preserve">Data Migration (all entities)</w:t>
            </w:r>
          </w:p>
        </w:tc>
        <w:tc>
          <w:tcPr>
            <w:shd w:fill="FFFFFF" w:val="clear"/>
          </w:tcPr>
          <w:p>
            <w:r>
              <w:rPr>
                <w:b w:val="false"/>
                <w:bCs w:val="false"/>
                <w:color w:val="1A1A2E"/>
                <w:sz w:val="18"/>
                <w:szCs w:val="18"/>
              </w:rPr>
              <w:t xml:space="preserve">2,500–4,500 hrs</w:t>
            </w:r>
          </w:p>
        </w:tc>
        <w:tc>
          <w:tcPr>
            <w:shd w:fill="FFFFFF" w:val="clear"/>
          </w:tcPr>
          <w:p>
            <w:r>
              <w:rPr>
                <w:b w:val="false"/>
                <w:bCs w:val="false"/>
                <w:color w:val="1A1A2E"/>
                <w:sz w:val="18"/>
                <w:szCs w:val="18"/>
              </w:rPr>
              <w:t xml:space="preserve">1,100–2,200 hrs</w:t>
            </w:r>
          </w:p>
        </w:tc>
        <w:tc>
          <w:tcPr>
            <w:shd w:fill="FFFFFF" w:val="clear"/>
          </w:tcPr>
          <w:p>
            <w:r>
              <w:rPr>
                <w:b/>
                <w:bCs/>
                <w:color w:val="1A7F37"/>
                <w:sz w:val="18"/>
                <w:szCs w:val="18"/>
              </w:rPr>
              <w:t xml:space="preserve">50–55%</w:t>
            </w:r>
          </w:p>
        </w:tc>
      </w:tr>
      <w:tr>
        <w:tc>
          <w:tcPr>
            <w:shd w:fill="EEF3FB" w:val="clear"/>
          </w:tcPr>
          <w:p>
            <w:r>
              <w:rPr>
                <w:b w:val="false"/>
                <w:bCs w:val="false"/>
                <w:color w:val="1A1A2E"/>
                <w:sz w:val="18"/>
                <w:szCs w:val="18"/>
              </w:rPr>
              <w:t xml:space="preserve">Testing (SIT + UAT + Perf)</w:t>
            </w:r>
          </w:p>
        </w:tc>
        <w:tc>
          <w:tcPr>
            <w:shd w:fill="EEF3FB" w:val="clear"/>
          </w:tcPr>
          <w:p>
            <w:r>
              <w:rPr>
                <w:b w:val="false"/>
                <w:bCs w:val="false"/>
                <w:color w:val="1A1A2E"/>
                <w:sz w:val="18"/>
                <w:szCs w:val="18"/>
              </w:rPr>
              <w:t xml:space="preserve">2,000–3,500 hrs</w:t>
            </w:r>
          </w:p>
        </w:tc>
        <w:tc>
          <w:tcPr>
            <w:shd w:fill="EEF3FB" w:val="clear"/>
          </w:tcPr>
          <w:p>
            <w:r>
              <w:rPr>
                <w:b w:val="false"/>
                <w:bCs w:val="false"/>
                <w:color w:val="1A1A2E"/>
                <w:sz w:val="18"/>
                <w:szCs w:val="18"/>
              </w:rPr>
              <w:t xml:space="preserve">750–1,500 hrs</w:t>
            </w:r>
          </w:p>
        </w:tc>
        <w:tc>
          <w:tcPr>
            <w:shd w:fill="EEF3FB" w:val="clear"/>
          </w:tcPr>
          <w:p>
            <w:r>
              <w:rPr>
                <w:b/>
                <w:bCs/>
                <w:color w:val="1A7F37"/>
                <w:sz w:val="18"/>
                <w:szCs w:val="18"/>
              </w:rPr>
              <w:t xml:space="preserve">55–65%</w:t>
            </w:r>
          </w:p>
        </w:tc>
      </w:tr>
      <w:tr>
        <w:tc>
          <w:tcPr>
            <w:shd w:fill="FFFFFF" w:val="clear"/>
          </w:tcPr>
          <w:p>
            <w:r>
              <w:rPr>
                <w:b w:val="false"/>
                <w:bCs w:val="false"/>
                <w:color w:val="1A1A2E"/>
                <w:sz w:val="18"/>
                <w:szCs w:val="18"/>
              </w:rPr>
              <w:t xml:space="preserve">Cutover Planning &amp; Execution</w:t>
            </w:r>
          </w:p>
        </w:tc>
        <w:tc>
          <w:tcPr>
            <w:shd w:fill="FFFFFF" w:val="clear"/>
          </w:tcPr>
          <w:p>
            <w:r>
              <w:rPr>
                <w:b w:val="false"/>
                <w:bCs w:val="false"/>
                <w:color w:val="1A1A2E"/>
                <w:sz w:val="18"/>
                <w:szCs w:val="18"/>
              </w:rPr>
              <w:t xml:space="preserve">600–1,000 hrs</w:t>
            </w:r>
          </w:p>
        </w:tc>
        <w:tc>
          <w:tcPr>
            <w:shd w:fill="FFFFFF" w:val="clear"/>
          </w:tcPr>
          <w:p>
            <w:r>
              <w:rPr>
                <w:b w:val="false"/>
                <w:bCs w:val="false"/>
                <w:color w:val="1A1A2E"/>
                <w:sz w:val="18"/>
                <w:szCs w:val="18"/>
              </w:rPr>
              <w:t xml:space="preserve">380–650 hrs</w:t>
            </w:r>
          </w:p>
        </w:tc>
        <w:tc>
          <w:tcPr>
            <w:shd w:fill="FFFFFF" w:val="clear"/>
          </w:tcPr>
          <w:p>
            <w:r>
              <w:rPr>
                <w:b/>
                <w:bCs/>
                <w:color w:val="1A7F37"/>
                <w:sz w:val="18"/>
                <w:szCs w:val="18"/>
              </w:rPr>
              <w:t xml:space="preserve">35–40%</w:t>
            </w:r>
          </w:p>
        </w:tc>
      </w:tr>
      <w:tr>
        <w:tc>
          <w:tcPr>
            <w:shd w:fill="EEF3FB" w:val="clear"/>
          </w:tcPr>
          <w:p>
            <w:r>
              <w:rPr>
                <w:b w:val="false"/>
                <w:bCs w:val="false"/>
                <w:color w:val="1A1A2E"/>
                <w:sz w:val="18"/>
                <w:szCs w:val="18"/>
              </w:rPr>
              <w:t xml:space="preserve">Training &amp; Change Mgmt</w:t>
            </w:r>
          </w:p>
        </w:tc>
        <w:tc>
          <w:tcPr>
            <w:shd w:fill="EEF3FB" w:val="clear"/>
          </w:tcPr>
          <w:p>
            <w:r>
              <w:rPr>
                <w:b w:val="false"/>
                <w:bCs w:val="false"/>
                <w:color w:val="1A1A2E"/>
                <w:sz w:val="18"/>
                <w:szCs w:val="18"/>
              </w:rPr>
              <w:t xml:space="preserve">800–1,400 hrs</w:t>
            </w:r>
          </w:p>
        </w:tc>
        <w:tc>
          <w:tcPr>
            <w:shd w:fill="EEF3FB" w:val="clear"/>
          </w:tcPr>
          <w:p>
            <w:r>
              <w:rPr>
                <w:b w:val="false"/>
                <w:bCs w:val="false"/>
                <w:color w:val="1A1A2E"/>
                <w:sz w:val="18"/>
                <w:szCs w:val="18"/>
              </w:rPr>
              <w:t xml:space="preserve">450–800 hrs</w:t>
            </w:r>
          </w:p>
        </w:tc>
        <w:tc>
          <w:tcPr>
            <w:shd w:fill="EEF3FB" w:val="clear"/>
          </w:tcPr>
          <w:p>
            <w:r>
              <w:rPr>
                <w:b/>
                <w:bCs/>
                <w:color w:val="1A7F37"/>
                <w:sz w:val="18"/>
                <w:szCs w:val="18"/>
              </w:rPr>
              <w:t xml:space="preserve">40–45%</w:t>
            </w:r>
          </w:p>
        </w:tc>
      </w:tr>
    </w:tbl>
    <w:p>
      <w:pPr>
        <w:spacing w:after="120" w:before="80" w:line="276"/>
      </w:pPr>
      <w:r>
        <w:rPr>
          <w:color w:val="1A1A2E"/>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70"/>
          <w:left w:type="dxa" w:w="226"/>
          <w:bottom w:type="dxa" w:w="170"/>
          <w:right w:type="dxa" w:w="226"/>
        </w:tblCellMar>
      </w:tblPr>
      <w:tblGrid>
        <w:gridCol w:w="100"/>
      </w:tblGrid>
      <w:tr>
        <w:tc>
          <w:tcPr>
            <w:tcBorders>
              <w:top w:val="thick" w:color="E8A020" w:sz="8"/>
              <w:left w:val="thick" w:color="E8A020" w:sz="8"/>
              <w:bottom w:val="none"/>
              <w:right w:val="none"/>
            </w:tcBorders>
            <w:shd w:fill="EEF3FB" w:val="clear"/>
          </w:tcPr>
          <w:p>
            <w:r>
              <w:rPr>
                <w:b/>
                <w:bCs/>
                <w:color w:val="E8A020"/>
                <w:sz w:val="20"/>
                <w:szCs w:val="20"/>
              </w:rPr>
              <w:t xml:space="preserve">⚡ EBS→Fusion Migration Estimating Shift</w:t>
            </w:r>
          </w:p>
          <w:p>
            <w:pPr>
              <w:spacing w:before="60"/>
            </w:pPr>
            <w:r>
              <w:rPr>
                <w:color w:val="1A1A2E"/>
                <w:sz w:val="19"/>
                <w:szCs w:val="19"/>
              </w:rPr>
              <w:t xml:space="preserve">The biggest AI gains are in data migration and testing — historically the most expensive workstreams. Total program savings of 40–50% are achievable for large EBS migrations with an AI-augmented team. Critically, re-invest some savings into stronger business process redesign workshops — the human judgment layer AI cannot replace.</w:t>
            </w:r>
          </w:p>
        </w:tc>
      </w:tr>
    </w:tbl>
    <w:p>
      <w:r>
        <w:br w:type="page"/>
      </w:r>
    </w:p>
    <w:p>
      <w:pPr>
        <w:sectPr>
          <w:pgSz w:w="11906" w:h="16838" w:orient="portrait"/>
          <w:pgMar w:top="1440" w:right="1440" w:bottom="1440" w:left="1440" w:header="708" w:footer="708" w:gutter="0"/>
          <w:pgNumType/>
          <w:docGrid w:linePitch="360"/>
        </w:sectP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3F8F" w:val="clear"/>
          </w:tcPr>
          <w:p>
            <w:pPr>
              <w:jc w:val="center"/>
            </w:pPr>
            <w:r>
              <w:rPr>
                <w:b/>
                <w:bCs/>
                <w:color w:val="FFFFFF"/>
                <w:sz w:val="22"/>
                <w:szCs w:val="22"/>
              </w:rPr>
              <w:t xml:space="preserve">CHAPTER 3 — ORACLE PEOPLESOFT (HCM / FSCM)</w:t>
            </w:r>
          </w:p>
        </w:tc>
      </w:tr>
    </w:tbl>
    <w:p>
      <w:pPr>
        <w:spacing w:after="120" w:before="80" w:line="276"/>
      </w:pPr>
      <w:r>
        <w:rPr>
          <w:color w:val="1A1A2E"/>
          <w:sz w:val="20"/>
          <w:szCs w:val="20"/>
        </w:rPr>
        <w:t xml:space="preserve"/>
      </w:r>
    </w:p>
    <w:p>
      <w:pPr>
        <w:pStyle w:val="Heading2"/>
        <w:spacing w:after="120" w:before="300"/>
      </w:pPr>
      <w:r>
        <w:rPr>
          <w:b/>
          <w:bCs/>
          <w:color w:val="2E86AB"/>
          <w:sz w:val="28"/>
          <w:szCs w:val="28"/>
        </w:rPr>
        <w:t xml:space="preserve">Program Types: PeopleSoft Implementation, Upgrade (PT 8.5x → PT 8.6x), Cloud Migration Assessment</w:t>
      </w:r>
    </w:p>
    <w:p>
      <w:pPr>
        <w:spacing w:after="120" w:before="80" w:line="276"/>
      </w:pPr>
      <w:r>
        <w:rPr>
          <w:color w:val="1A1A2E"/>
          <w:sz w:val="20"/>
          <w:szCs w:val="20"/>
        </w:rPr>
        <w:t xml:space="preserve">PeopleSoft is a richly functional, deeply customisable HCM and FSCM platform. Programs are characterised by extensive PeopleCode customisations, Application Engine programs, Component Interface-based integrations, and SQR/Crystal Reports. Upgrades between PeopleTools versions are technically complex but well-structured through the Change Assistant tool.</w:t>
      </w:r>
    </w:p>
    <w:p>
      <w:pPr>
        <w:spacing w:after="120" w:before="80" w:line="276"/>
      </w:pPr>
      <w:r>
        <w:rPr>
          <w:color w:val="1A1A2E"/>
          <w:sz w:val="20"/>
          <w:szCs w:val="20"/>
        </w:rPr>
        <w:t xml:space="preserve"/>
      </w:r>
    </w:p>
    <w:p>
      <w:pPr>
        <w:pStyle w:val="Heading2"/>
        <w:spacing w:after="120" w:before="300"/>
      </w:pPr>
      <w:r>
        <w:rPr>
          <w:b/>
          <w:bCs/>
          <w:color w:val="1F3F8F"/>
          <w:sz w:val="28"/>
          <w:szCs w:val="28"/>
        </w:rPr>
        <w:t xml:space="preserve">3.1  AI Impact on SDLC Activities</w:t>
      </w:r>
    </w:p>
    <w:p>
      <w:pPr>
        <w:pStyle w:val="Heading3"/>
        <w:spacing w:after="120" w:before="300"/>
      </w:pPr>
      <w:r>
        <w:rPr>
          <w:b/>
          <w:bCs/>
          <w:color w:val="1F3F8F"/>
          <w:sz w:val="24"/>
          <w:szCs w:val="24"/>
        </w:rPr>
        <w:t xml:space="preserve">Configuration &amp; Functional Design</w:t>
      </w:r>
    </w:p>
    <w:p>
      <w:pPr>
        <w:pStyle w:val="ListParagraph"/>
        <w:numPr>
          <w:ilvl w:val="0"/>
          <w:numId w:val="1"/>
        </w:numPr>
        <w:spacing w:after="60" w:before="60"/>
      </w:pPr>
      <w:r>
        <w:rPr>
          <w:color w:val="1A1A2E"/>
          <w:sz w:val="20"/>
          <w:szCs w:val="20"/>
        </w:rPr>
        <w:t xml:space="preserve">AI analyses current PeopleSoft setup tables and auto-generates configuration workbooks for the target release.</w:t>
      </w:r>
    </w:p>
    <w:p>
      <w:pPr>
        <w:pStyle w:val="ListParagraph"/>
        <w:numPr>
          <w:ilvl w:val="0"/>
          <w:numId w:val="1"/>
        </w:numPr>
        <w:spacing w:after="60" w:before="60"/>
      </w:pPr>
      <w:r>
        <w:rPr>
          <w:color w:val="1A1A2E"/>
          <w:sz w:val="20"/>
          <w:szCs w:val="20"/>
        </w:rPr>
        <w:t xml:space="preserve">Intelligent setup comparison: AI compares source vs. target release delivered functionality and highlights where configuration must change due to new features.</w:t>
      </w:r>
    </w:p>
    <w:p>
      <w:pPr>
        <w:pStyle w:val="ListParagraph"/>
        <w:numPr>
          <w:ilvl w:val="0"/>
          <w:numId w:val="1"/>
        </w:numPr>
        <w:spacing w:after="60" w:before="60"/>
      </w:pPr>
      <w:r>
        <w:rPr>
          <w:color w:val="1A1A2E"/>
          <w:sz w:val="20"/>
          <w:szCs w:val="20"/>
        </w:rPr>
        <w:t xml:space="preserve">AI-assisted business process mapping using PeopleSoft Process Monitor logs to capture actual usage patterns.</w:t>
      </w:r>
    </w:p>
    <w:p>
      <w:pPr>
        <w:pStyle w:val="ListParagraph"/>
        <w:numPr>
          <w:ilvl w:val="1"/>
          <w:numId w:val="1"/>
        </w:numPr>
        <w:spacing w:after="40" w:before="40"/>
      </w:pPr>
      <w:r>
        <w:rPr>
          <w:color w:val="444466"/>
          <w:sz w:val="19"/>
          <w:szCs w:val="19"/>
        </w:rPr>
        <w:t xml:space="preserve">Estimated effort reduction: 25–35%</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PeopleCode / App Engine / SQR Development</w:t>
      </w:r>
    </w:p>
    <w:p>
      <w:pPr>
        <w:pStyle w:val="ListParagraph"/>
        <w:numPr>
          <w:ilvl w:val="0"/>
          <w:numId w:val="1"/>
        </w:numPr>
        <w:spacing w:after="60" w:before="60"/>
      </w:pPr>
      <w:r>
        <w:rPr>
          <w:color w:val="1A1A2E"/>
          <w:sz w:val="20"/>
          <w:szCs w:val="20"/>
        </w:rPr>
        <w:t xml:space="preserve">AI code generation for PeopleCode business logic, particularly for standard patterns (field default, save pre-edit, search/fetch overrides).</w:t>
      </w:r>
    </w:p>
    <w:p>
      <w:pPr>
        <w:pStyle w:val="ListParagraph"/>
        <w:numPr>
          <w:ilvl w:val="0"/>
          <w:numId w:val="1"/>
        </w:numPr>
        <w:spacing w:after="60" w:before="60"/>
      </w:pPr>
      <w:r>
        <w:rPr>
          <w:color w:val="1A1A2E"/>
          <w:sz w:val="20"/>
          <w:szCs w:val="20"/>
        </w:rPr>
        <w:t xml:space="preserve">AI-assisted upgrade impact analysis: for PT version upgrades, AI scans all custom PeopleCode and flags deprecated functions, changed APIs, and affected components.</w:t>
      </w:r>
    </w:p>
    <w:p>
      <w:pPr>
        <w:pStyle w:val="ListParagraph"/>
        <w:numPr>
          <w:ilvl w:val="0"/>
          <w:numId w:val="1"/>
        </w:numPr>
        <w:spacing w:after="60" w:before="60"/>
      </w:pPr>
      <w:r>
        <w:rPr>
          <w:color w:val="1A1A2E"/>
          <w:sz w:val="20"/>
          <w:szCs w:val="20"/>
        </w:rPr>
        <w:t xml:space="preserve">Automated PeopleCode code review identifying performance anti-patterns (e.g. SQL in loops, inefficient scroll operations).</w:t>
      </w:r>
    </w:p>
    <w:p>
      <w:pPr>
        <w:pStyle w:val="ListParagraph"/>
        <w:numPr>
          <w:ilvl w:val="0"/>
          <w:numId w:val="1"/>
        </w:numPr>
        <w:spacing w:after="60" w:before="60"/>
      </w:pPr>
      <w:r>
        <w:rPr>
          <w:color w:val="1A1A2E"/>
          <w:sz w:val="20"/>
          <w:szCs w:val="20"/>
        </w:rPr>
        <w:t xml:space="preserve">SQR to BI Publisher / Kibana migration assisted by AI — AI reads SQR logic and generates equivalent XML templates.</w:t>
      </w:r>
    </w:p>
    <w:p>
      <w:pPr>
        <w:pStyle w:val="ListParagraph"/>
        <w:numPr>
          <w:ilvl w:val="1"/>
          <w:numId w:val="1"/>
        </w:numPr>
        <w:spacing w:after="40" w:before="40"/>
      </w:pPr>
      <w:r>
        <w:rPr>
          <w:color w:val="444466"/>
          <w:sz w:val="19"/>
          <w:szCs w:val="19"/>
        </w:rPr>
        <w:t xml:space="preserve">Estimated effort reduction: 35–50% on new dev; 40–55% on upgrade remediation</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Data Migration / Conversion</w:t>
      </w:r>
    </w:p>
    <w:p>
      <w:pPr>
        <w:pStyle w:val="ListParagraph"/>
        <w:numPr>
          <w:ilvl w:val="0"/>
          <w:numId w:val="1"/>
        </w:numPr>
        <w:spacing w:after="60" w:before="60"/>
      </w:pPr>
      <w:r>
        <w:rPr>
          <w:color w:val="1A1A2E"/>
          <w:sz w:val="20"/>
          <w:szCs w:val="20"/>
        </w:rPr>
        <w:t xml:space="preserve">AI-driven mapping from legacy HR/payroll systems to PeopleSoft table structures.</w:t>
      </w:r>
    </w:p>
    <w:p>
      <w:pPr>
        <w:pStyle w:val="ListParagraph"/>
        <w:numPr>
          <w:ilvl w:val="0"/>
          <w:numId w:val="1"/>
        </w:numPr>
        <w:spacing w:after="60" w:before="60"/>
      </w:pPr>
      <w:r>
        <w:rPr>
          <w:color w:val="1A1A2E"/>
          <w:sz w:val="20"/>
          <w:szCs w:val="20"/>
        </w:rPr>
        <w:t xml:space="preserve">Automated Component Interface script generation from data mapping specifications.</w:t>
      </w:r>
    </w:p>
    <w:p>
      <w:pPr>
        <w:pStyle w:val="ListParagraph"/>
        <w:numPr>
          <w:ilvl w:val="0"/>
          <w:numId w:val="1"/>
        </w:numPr>
        <w:spacing w:after="60" w:before="60"/>
      </w:pPr>
      <w:r>
        <w:rPr>
          <w:color w:val="1A1A2E"/>
          <w:sz w:val="20"/>
          <w:szCs w:val="20"/>
        </w:rPr>
        <w:t xml:space="preserve">AI validation of converted data against PeopleSoft delivered edit tables and prompt tables.</w:t>
      </w:r>
    </w:p>
    <w:p>
      <w:pPr>
        <w:pStyle w:val="ListParagraph"/>
        <w:numPr>
          <w:ilvl w:val="0"/>
          <w:numId w:val="1"/>
        </w:numPr>
        <w:spacing w:after="60" w:before="60"/>
      </w:pPr>
      <w:r>
        <w:rPr>
          <w:color w:val="1A1A2E"/>
          <w:sz w:val="20"/>
          <w:szCs w:val="20"/>
        </w:rPr>
        <w:t xml:space="preserve">Payroll parallel run validation: AI compares legacy vs. PeopleSoft payroll calculation results at employee level, flagging variances with suggested root causes.</w:t>
      </w:r>
    </w:p>
    <w:p>
      <w:pPr>
        <w:pStyle w:val="ListParagraph"/>
        <w:numPr>
          <w:ilvl w:val="1"/>
          <w:numId w:val="1"/>
        </w:numPr>
        <w:spacing w:after="40" w:before="40"/>
      </w:pPr>
      <w:r>
        <w:rPr>
          <w:color w:val="444466"/>
          <w:sz w:val="19"/>
          <w:szCs w:val="19"/>
        </w:rPr>
        <w:t xml:space="preserve">Estimated effort reduction: 40–55%</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Testing (including Payroll Parallel Run)</w:t>
      </w:r>
    </w:p>
    <w:p>
      <w:pPr>
        <w:pStyle w:val="ListParagraph"/>
        <w:numPr>
          <w:ilvl w:val="0"/>
          <w:numId w:val="1"/>
        </w:numPr>
        <w:spacing w:after="60" w:before="60"/>
      </w:pPr>
      <w:r>
        <w:rPr>
          <w:color w:val="1A1A2E"/>
          <w:sz w:val="20"/>
          <w:szCs w:val="20"/>
        </w:rPr>
        <w:t xml:space="preserve">AI test case generation from PeopleSoft business process documentation and delivered test scripts.</w:t>
      </w:r>
    </w:p>
    <w:p>
      <w:pPr>
        <w:pStyle w:val="ListParagraph"/>
        <w:numPr>
          <w:ilvl w:val="0"/>
          <w:numId w:val="1"/>
        </w:numPr>
        <w:spacing w:after="60" w:before="60"/>
      </w:pPr>
      <w:r>
        <w:rPr>
          <w:color w:val="1A1A2E"/>
          <w:sz w:val="20"/>
          <w:szCs w:val="20"/>
        </w:rPr>
        <w:t xml:space="preserve">Automated regression using tools like Tosca or Opkey integrated with PeopleSoft — AI maintains and evolves test scripts across PT version upgrades.</w:t>
      </w:r>
    </w:p>
    <w:p>
      <w:pPr>
        <w:pStyle w:val="ListParagraph"/>
        <w:numPr>
          <w:ilvl w:val="0"/>
          <w:numId w:val="1"/>
        </w:numPr>
        <w:spacing w:after="60" w:before="60"/>
      </w:pPr>
      <w:r>
        <w:rPr>
          <w:color w:val="1A1A2E"/>
          <w:sz w:val="20"/>
          <w:szCs w:val="20"/>
        </w:rPr>
        <w:t xml:space="preserve">Payroll calculation verification at scale using AI comparison engines — replacing weeks of manual parallel run reconciliation.</w:t>
      </w:r>
    </w:p>
    <w:p>
      <w:pPr>
        <w:pStyle w:val="ListParagraph"/>
        <w:numPr>
          <w:ilvl w:val="1"/>
          <w:numId w:val="1"/>
        </w:numPr>
        <w:spacing w:after="40" w:before="40"/>
      </w:pPr>
      <w:r>
        <w:rPr>
          <w:color w:val="444466"/>
          <w:sz w:val="19"/>
          <w:szCs w:val="19"/>
        </w:rPr>
        <w:t xml:space="preserve">Estimated effort reduction: 55–70% on regression; 40–50% on parallel run reconciliation</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PeopleTools Upgrade Specific Activities</w:t>
      </w:r>
    </w:p>
    <w:p>
      <w:pPr>
        <w:pStyle w:val="ListParagraph"/>
        <w:numPr>
          <w:ilvl w:val="0"/>
          <w:numId w:val="1"/>
        </w:numPr>
        <w:spacing w:after="60" w:before="60"/>
      </w:pPr>
      <w:r>
        <w:rPr>
          <w:color w:val="1A1A2E"/>
          <w:sz w:val="20"/>
          <w:szCs w:val="20"/>
        </w:rPr>
        <w:t xml:space="preserve">AI-assisted Change Assistant pass execution monitoring and automated fix application for common compare/copy errors.</w:t>
      </w:r>
    </w:p>
    <w:p>
      <w:pPr>
        <w:pStyle w:val="ListParagraph"/>
        <w:numPr>
          <w:ilvl w:val="0"/>
          <w:numId w:val="1"/>
        </w:numPr>
        <w:spacing w:after="60" w:before="60"/>
      </w:pPr>
      <w:r>
        <w:rPr>
          <w:color w:val="1A1A2E"/>
          <w:sz w:val="20"/>
          <w:szCs w:val="20"/>
        </w:rPr>
        <w:t xml:space="preserve">AI-generated upgrade impact reports: for every custom object, AI assesses upgrade risk level and recommended action.</w:t>
      </w:r>
    </w:p>
    <w:p>
      <w:pPr>
        <w:pStyle w:val="ListParagraph"/>
        <w:numPr>
          <w:ilvl w:val="0"/>
          <w:numId w:val="1"/>
        </w:numPr>
        <w:spacing w:after="60" w:before="60"/>
      </w:pPr>
      <w:r>
        <w:rPr>
          <w:color w:val="1A1A2E"/>
          <w:sz w:val="20"/>
          <w:szCs w:val="20"/>
        </w:rPr>
        <w:t xml:space="preserve">Automated documentation of all customisations (replace/modify/skip decisions) with AI-generated rationale.</w:t>
      </w:r>
    </w:p>
    <w:p>
      <w:pPr>
        <w:pStyle w:val="ListParagraph"/>
        <w:numPr>
          <w:ilvl w:val="1"/>
          <w:numId w:val="1"/>
        </w:numPr>
        <w:spacing w:after="40" w:before="40"/>
      </w:pPr>
      <w:r>
        <w:rPr>
          <w:color w:val="444466"/>
          <w:sz w:val="19"/>
          <w:szCs w:val="19"/>
        </w:rPr>
        <w:t xml:space="preserve">Estimated effort reduction: 35–45% on upgrade execution activities</w:t>
      </w:r>
    </w:p>
    <w:p>
      <w:pPr>
        <w:spacing w:after="120" w:before="80" w:line="276"/>
      </w:pPr>
      <w:r>
        <w:rPr>
          <w:color w:val="1A1A2E"/>
          <w:sz w:val="20"/>
          <w:szCs w:val="20"/>
        </w:rPr>
        <w:t xml:space="preserve"/>
      </w:r>
    </w:p>
    <w:p>
      <w:pPr>
        <w:pStyle w:val="Heading2"/>
        <w:spacing w:after="120" w:before="300"/>
      </w:pPr>
      <w:r>
        <w:rPr>
          <w:b/>
          <w:bCs/>
          <w:color w:val="1F3F8F"/>
          <w:sz w:val="28"/>
          <w:szCs w:val="28"/>
        </w:rPr>
        <w:t xml:space="preserve">3.2  AI Impact on Estimation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400"/>
        <w:gridCol w:w="1500"/>
      </w:tblGrid>
      <w:tr>
        <w:trPr>
          <w:tblHeader/>
        </w:trPr>
        <w:tc>
          <w:tcPr>
            <w:shd w:fill="2E86AB" w:val="clear"/>
          </w:tcPr>
          <w:p>
            <w:pPr>
              <w:jc w:val="center"/>
            </w:pPr>
            <w:r>
              <w:rPr>
                <w:b/>
                <w:bCs/>
                <w:color w:val="FFFFFF"/>
                <w:sz w:val="18"/>
                <w:szCs w:val="18"/>
              </w:rPr>
              <w:t xml:space="preserve">Work Stream</w:t>
            </w:r>
          </w:p>
        </w:tc>
        <w:tc>
          <w:tcPr>
            <w:shd w:fill="2E86AB" w:val="clear"/>
          </w:tcPr>
          <w:p>
            <w:pPr>
              <w:jc w:val="center"/>
            </w:pPr>
            <w:r>
              <w:rPr>
                <w:b/>
                <w:bCs/>
                <w:color w:val="FFFFFF"/>
                <w:sz w:val="18"/>
                <w:szCs w:val="18"/>
              </w:rPr>
              <w:t xml:space="preserve">Traditional Estimate</w:t>
            </w:r>
          </w:p>
        </w:tc>
        <w:tc>
          <w:tcPr>
            <w:shd w:fill="2E86AB" w:val="clear"/>
          </w:tcPr>
          <w:p>
            <w:pPr>
              <w:jc w:val="center"/>
            </w:pPr>
            <w:r>
              <w:rPr>
                <w:b/>
                <w:bCs/>
                <w:color w:val="FFFFFF"/>
                <w:sz w:val="18"/>
                <w:szCs w:val="18"/>
              </w:rPr>
              <w:t xml:space="preserve">AI-Assisted Estimate</w:t>
            </w:r>
          </w:p>
        </w:tc>
        <w:tc>
          <w:tcPr>
            <w:shd w:fill="2E86AB" w:val="clear"/>
          </w:tcPr>
          <w:p>
            <w:pPr>
              <w:jc w:val="center"/>
            </w:pPr>
            <w:r>
              <w:rPr>
                <w:b/>
                <w:bCs/>
                <w:color w:val="FFFFFF"/>
                <w:sz w:val="18"/>
                <w:szCs w:val="18"/>
              </w:rPr>
              <w:t xml:space="preserve">Saving %</w:t>
            </w:r>
          </w:p>
        </w:tc>
      </w:tr>
      <w:tr>
        <w:tc>
          <w:tcPr>
            <w:shd w:fill="EEF3FB" w:val="clear"/>
          </w:tcPr>
          <w:p>
            <w:r>
              <w:rPr>
                <w:b w:val="false"/>
                <w:bCs w:val="false"/>
                <w:color w:val="1A1A2E"/>
                <w:sz w:val="18"/>
                <w:szCs w:val="18"/>
              </w:rPr>
              <w:t xml:space="preserve">Fit-Gap / Business Blueprint</w:t>
            </w:r>
          </w:p>
        </w:tc>
        <w:tc>
          <w:tcPr>
            <w:shd w:fill="EEF3FB" w:val="clear"/>
          </w:tcPr>
          <w:p>
            <w:r>
              <w:rPr>
                <w:b w:val="false"/>
                <w:bCs w:val="false"/>
                <w:color w:val="1A1A2E"/>
                <w:sz w:val="18"/>
                <w:szCs w:val="18"/>
              </w:rPr>
              <w:t xml:space="preserve">700–1,200 hrs</w:t>
            </w:r>
          </w:p>
        </w:tc>
        <w:tc>
          <w:tcPr>
            <w:shd w:fill="EEF3FB" w:val="clear"/>
          </w:tcPr>
          <w:p>
            <w:r>
              <w:rPr>
                <w:b w:val="false"/>
                <w:bCs w:val="false"/>
                <w:color w:val="1A1A2E"/>
                <w:sz w:val="18"/>
                <w:szCs w:val="18"/>
              </w:rPr>
              <w:t xml:space="preserve">420–720 hrs</w:t>
            </w:r>
          </w:p>
        </w:tc>
        <w:tc>
          <w:tcPr>
            <w:shd w:fill="EEF3FB" w:val="clear"/>
          </w:tcPr>
          <w:p>
            <w:r>
              <w:rPr>
                <w:b/>
                <w:bCs/>
                <w:color w:val="1A7F37"/>
                <w:sz w:val="18"/>
                <w:szCs w:val="18"/>
              </w:rPr>
              <w:t xml:space="preserve">35–40%</w:t>
            </w:r>
          </w:p>
        </w:tc>
      </w:tr>
      <w:tr>
        <w:tc>
          <w:tcPr>
            <w:shd w:fill="FFFFFF" w:val="clear"/>
          </w:tcPr>
          <w:p>
            <w:r>
              <w:rPr>
                <w:b w:val="false"/>
                <w:bCs w:val="false"/>
                <w:color w:val="1A1A2E"/>
                <w:sz w:val="18"/>
                <w:szCs w:val="18"/>
              </w:rPr>
              <w:t xml:space="preserve">Configuration</w:t>
            </w:r>
          </w:p>
        </w:tc>
        <w:tc>
          <w:tcPr>
            <w:shd w:fill="FFFFFF" w:val="clear"/>
          </w:tcPr>
          <w:p>
            <w:r>
              <w:rPr>
                <w:b w:val="false"/>
                <w:bCs w:val="false"/>
                <w:color w:val="1A1A2E"/>
                <w:sz w:val="18"/>
                <w:szCs w:val="18"/>
              </w:rPr>
              <w:t xml:space="preserve">500–900 hrs</w:t>
            </w:r>
          </w:p>
        </w:tc>
        <w:tc>
          <w:tcPr>
            <w:shd w:fill="FFFFFF" w:val="clear"/>
          </w:tcPr>
          <w:p>
            <w:r>
              <w:rPr>
                <w:b w:val="false"/>
                <w:bCs w:val="false"/>
                <w:color w:val="1A1A2E"/>
                <w:sz w:val="18"/>
                <w:szCs w:val="18"/>
              </w:rPr>
              <w:t xml:space="preserve">300–560 hrs</w:t>
            </w:r>
          </w:p>
        </w:tc>
        <w:tc>
          <w:tcPr>
            <w:shd w:fill="FFFFFF" w:val="clear"/>
          </w:tcPr>
          <w:p>
            <w:r>
              <w:rPr>
                <w:b/>
                <w:bCs/>
                <w:color w:val="1A7F37"/>
                <w:sz w:val="18"/>
                <w:szCs w:val="18"/>
              </w:rPr>
              <w:t xml:space="preserve">35–40%</w:t>
            </w:r>
          </w:p>
        </w:tc>
      </w:tr>
      <w:tr>
        <w:tc>
          <w:tcPr>
            <w:shd w:fill="EEF3FB" w:val="clear"/>
          </w:tcPr>
          <w:p>
            <w:r>
              <w:rPr>
                <w:b w:val="false"/>
                <w:bCs w:val="false"/>
                <w:color w:val="1A1A2E"/>
                <w:sz w:val="18"/>
                <w:szCs w:val="18"/>
              </w:rPr>
              <w:t xml:space="preserve">Custom Dev (PeopleCode / AE)</w:t>
            </w:r>
          </w:p>
        </w:tc>
        <w:tc>
          <w:tcPr>
            <w:shd w:fill="EEF3FB" w:val="clear"/>
          </w:tcPr>
          <w:p>
            <w:r>
              <w:rPr>
                <w:b w:val="false"/>
                <w:bCs w:val="false"/>
                <w:color w:val="1A1A2E"/>
                <w:sz w:val="18"/>
                <w:szCs w:val="18"/>
              </w:rPr>
              <w:t xml:space="preserve">1,500–3,000 hrs</w:t>
            </w:r>
          </w:p>
        </w:tc>
        <w:tc>
          <w:tcPr>
            <w:shd w:fill="EEF3FB" w:val="clear"/>
          </w:tcPr>
          <w:p>
            <w:r>
              <w:rPr>
                <w:b w:val="false"/>
                <w:bCs w:val="false"/>
                <w:color w:val="1A1A2E"/>
                <w:sz w:val="18"/>
                <w:szCs w:val="18"/>
              </w:rPr>
              <w:t xml:space="preserve">750–1,600 hrs</w:t>
            </w:r>
          </w:p>
        </w:tc>
        <w:tc>
          <w:tcPr>
            <w:shd w:fill="EEF3FB" w:val="clear"/>
          </w:tcPr>
          <w:p>
            <w:r>
              <w:rPr>
                <w:b/>
                <w:bCs/>
                <w:color w:val="1A7F37"/>
                <w:sz w:val="18"/>
                <w:szCs w:val="18"/>
              </w:rPr>
              <w:t xml:space="preserve">45–50%</w:t>
            </w:r>
          </w:p>
        </w:tc>
      </w:tr>
      <w:tr>
        <w:tc>
          <w:tcPr>
            <w:shd w:fill="FFFFFF" w:val="clear"/>
          </w:tcPr>
          <w:p>
            <w:r>
              <w:rPr>
                <w:b w:val="false"/>
                <w:bCs w:val="false"/>
                <w:color w:val="1A1A2E"/>
                <w:sz w:val="18"/>
                <w:szCs w:val="18"/>
              </w:rPr>
              <w:t xml:space="preserve">SQR / Report Migration</w:t>
            </w:r>
          </w:p>
        </w:tc>
        <w:tc>
          <w:tcPr>
            <w:shd w:fill="FFFFFF" w:val="clear"/>
          </w:tcPr>
          <w:p>
            <w:r>
              <w:rPr>
                <w:b w:val="false"/>
                <w:bCs w:val="false"/>
                <w:color w:val="1A1A2E"/>
                <w:sz w:val="18"/>
                <w:szCs w:val="18"/>
              </w:rPr>
              <w:t xml:space="preserve">400–800 hrs</w:t>
            </w:r>
          </w:p>
        </w:tc>
        <w:tc>
          <w:tcPr>
            <w:shd w:fill="FFFFFF" w:val="clear"/>
          </w:tcPr>
          <w:p>
            <w:r>
              <w:rPr>
                <w:b w:val="false"/>
                <w:bCs w:val="false"/>
                <w:color w:val="1A1A2E"/>
                <w:sz w:val="18"/>
                <w:szCs w:val="18"/>
              </w:rPr>
              <w:t xml:space="preserve">180–400 hrs</w:t>
            </w:r>
          </w:p>
        </w:tc>
        <w:tc>
          <w:tcPr>
            <w:shd w:fill="FFFFFF" w:val="clear"/>
          </w:tcPr>
          <w:p>
            <w:r>
              <w:rPr>
                <w:b/>
                <w:bCs/>
                <w:color w:val="1A7F37"/>
                <w:sz w:val="18"/>
                <w:szCs w:val="18"/>
              </w:rPr>
              <w:t xml:space="preserve">50–55%</w:t>
            </w:r>
          </w:p>
        </w:tc>
      </w:tr>
      <w:tr>
        <w:tc>
          <w:tcPr>
            <w:shd w:fill="EEF3FB" w:val="clear"/>
          </w:tcPr>
          <w:p>
            <w:r>
              <w:rPr>
                <w:b w:val="false"/>
                <w:bCs w:val="false"/>
                <w:color w:val="1A1A2E"/>
                <w:sz w:val="18"/>
                <w:szCs w:val="18"/>
              </w:rPr>
              <w:t xml:space="preserve">Data Migration</w:t>
            </w:r>
          </w:p>
        </w:tc>
        <w:tc>
          <w:tcPr>
            <w:shd w:fill="EEF3FB" w:val="clear"/>
          </w:tcPr>
          <w:p>
            <w:r>
              <w:rPr>
                <w:b w:val="false"/>
                <w:bCs w:val="false"/>
                <w:color w:val="1A1A2E"/>
                <w:sz w:val="18"/>
                <w:szCs w:val="18"/>
              </w:rPr>
              <w:t xml:space="preserve">800–1,500 hrs</w:t>
            </w:r>
          </w:p>
        </w:tc>
        <w:tc>
          <w:tcPr>
            <w:shd w:fill="EEF3FB" w:val="clear"/>
          </w:tcPr>
          <w:p>
            <w:r>
              <w:rPr>
                <w:b w:val="false"/>
                <w:bCs w:val="false"/>
                <w:color w:val="1A1A2E"/>
                <w:sz w:val="18"/>
                <w:szCs w:val="18"/>
              </w:rPr>
              <w:t xml:space="preserve">360–750 hrs</w:t>
            </w:r>
          </w:p>
        </w:tc>
        <w:tc>
          <w:tcPr>
            <w:shd w:fill="EEF3FB" w:val="clear"/>
          </w:tcPr>
          <w:p>
            <w:r>
              <w:rPr>
                <w:b/>
                <w:bCs/>
                <w:color w:val="1A7F37"/>
                <w:sz w:val="18"/>
                <w:szCs w:val="18"/>
              </w:rPr>
              <w:t xml:space="preserve">50–55%</w:t>
            </w:r>
          </w:p>
        </w:tc>
      </w:tr>
      <w:tr>
        <w:tc>
          <w:tcPr>
            <w:shd w:fill="FFFFFF" w:val="clear"/>
          </w:tcPr>
          <w:p>
            <w:r>
              <w:rPr>
                <w:b w:val="false"/>
                <w:bCs w:val="false"/>
                <w:color w:val="1A1A2E"/>
                <w:sz w:val="18"/>
                <w:szCs w:val="18"/>
              </w:rPr>
              <w:t xml:space="preserve">Testing &amp; Parallel Run</w:t>
            </w:r>
          </w:p>
        </w:tc>
        <w:tc>
          <w:tcPr>
            <w:shd w:fill="FFFFFF" w:val="clear"/>
          </w:tcPr>
          <w:p>
            <w:r>
              <w:rPr>
                <w:b w:val="false"/>
                <w:bCs w:val="false"/>
                <w:color w:val="1A1A2E"/>
                <w:sz w:val="18"/>
                <w:szCs w:val="18"/>
              </w:rPr>
              <w:t xml:space="preserve">1,200–2,000 hrs</w:t>
            </w:r>
          </w:p>
        </w:tc>
        <w:tc>
          <w:tcPr>
            <w:shd w:fill="FFFFFF" w:val="clear"/>
          </w:tcPr>
          <w:p>
            <w:r>
              <w:rPr>
                <w:b w:val="false"/>
                <w:bCs w:val="false"/>
                <w:color w:val="1A1A2E"/>
                <w:sz w:val="18"/>
                <w:szCs w:val="18"/>
              </w:rPr>
              <w:t xml:space="preserve">420–800 hrs</w:t>
            </w:r>
          </w:p>
        </w:tc>
        <w:tc>
          <w:tcPr>
            <w:shd w:fill="FFFFFF" w:val="clear"/>
          </w:tcPr>
          <w:p>
            <w:r>
              <w:rPr>
                <w:b/>
                <w:bCs/>
                <w:color w:val="1A7F37"/>
                <w:sz w:val="18"/>
                <w:szCs w:val="18"/>
              </w:rPr>
              <w:t xml:space="preserve">58–65%</w:t>
            </w:r>
          </w:p>
        </w:tc>
      </w:tr>
      <w:tr>
        <w:tc>
          <w:tcPr>
            <w:shd w:fill="EEF3FB" w:val="clear"/>
          </w:tcPr>
          <w:p>
            <w:r>
              <w:rPr>
                <w:b w:val="false"/>
                <w:bCs w:val="false"/>
                <w:color w:val="1A1A2E"/>
                <w:sz w:val="18"/>
                <w:szCs w:val="18"/>
              </w:rPr>
              <w:t xml:space="preserve">PT Upgrade Activities</w:t>
            </w:r>
          </w:p>
        </w:tc>
        <w:tc>
          <w:tcPr>
            <w:shd w:fill="EEF3FB" w:val="clear"/>
          </w:tcPr>
          <w:p>
            <w:r>
              <w:rPr>
                <w:b w:val="false"/>
                <w:bCs w:val="false"/>
                <w:color w:val="1A1A2E"/>
                <w:sz w:val="18"/>
                <w:szCs w:val="18"/>
              </w:rPr>
              <w:t xml:space="preserve">600–1,100 hrs</w:t>
            </w:r>
          </w:p>
        </w:tc>
        <w:tc>
          <w:tcPr>
            <w:shd w:fill="EEF3FB" w:val="clear"/>
          </w:tcPr>
          <w:p>
            <w:r>
              <w:rPr>
                <w:b w:val="false"/>
                <w:bCs w:val="false"/>
                <w:color w:val="1A1A2E"/>
                <w:sz w:val="18"/>
                <w:szCs w:val="18"/>
              </w:rPr>
              <w:t xml:space="preserve">330–620 hrs</w:t>
            </w:r>
          </w:p>
        </w:tc>
        <w:tc>
          <w:tcPr>
            <w:shd w:fill="EEF3FB" w:val="clear"/>
          </w:tcPr>
          <w:p>
            <w:r>
              <w:rPr>
                <w:b/>
                <w:bCs/>
                <w:color w:val="1A7F37"/>
                <w:sz w:val="18"/>
                <w:szCs w:val="18"/>
              </w:rPr>
              <w:t xml:space="preserve">40–45%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70"/>
          <w:left w:type="dxa" w:w="226"/>
          <w:bottom w:type="dxa" w:w="170"/>
          <w:right w:type="dxa" w:w="226"/>
        </w:tblCellMar>
      </w:tblPr>
      <w:tblGrid>
        <w:gridCol w:w="100"/>
      </w:tblGrid>
      <w:tr>
        <w:tc>
          <w:tcPr>
            <w:tcBorders>
              <w:top w:val="thick" w:color="E8A020" w:sz="8"/>
              <w:left w:val="thick" w:color="E8A020" w:sz="8"/>
              <w:bottom w:val="none"/>
              <w:right w:val="none"/>
            </w:tcBorders>
            <w:shd w:fill="EEF3FB" w:val="clear"/>
          </w:tcPr>
          <w:p>
            <w:r>
              <w:rPr>
                <w:b/>
                <w:bCs/>
                <w:color w:val="E8A020"/>
                <w:sz w:val="20"/>
                <w:szCs w:val="20"/>
              </w:rPr>
              <w:t xml:space="preserve">⚡ PeopleSoft Estimating Note</w:t>
            </w:r>
          </w:p>
          <w:p>
            <w:pPr>
              <w:spacing w:before="60"/>
            </w:pPr>
            <w:r>
              <w:rPr>
                <w:color w:val="1A1A2E"/>
                <w:sz w:val="19"/>
                <w:szCs w:val="19"/>
              </w:rPr>
              <w:t xml:space="preserve">PeopleSoft programs have a high proportion of effort in custom PeopleCode — AI delivers the greatest savings here. Payroll parallel run, traditionally a major cost driver, can be dramatically shortened with AI comparison tools. For PT upgrades, budget for AI tooling setup (one-time, ~80–120 hrs) and realise significant savings in upgrade execution.</w:t>
            </w:r>
          </w:p>
        </w:tc>
      </w:tr>
    </w:tbl>
    <w:p>
      <w:r>
        <w:br w:type="page"/>
      </w:r>
    </w:p>
    <w:p>
      <w:pPr>
        <w:sectPr>
          <w:pgSz w:w="11906" w:h="16838" w:orient="portrait"/>
          <w:pgMar w:top="1440" w:right="1440" w:bottom="1440" w:left="1440" w:header="708" w:footer="708" w:gutter="0"/>
          <w:pgNumType/>
          <w:docGrid w:linePitch="360"/>
        </w:sectP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3F8F" w:val="clear"/>
          </w:tcPr>
          <w:p>
            <w:pPr>
              <w:jc w:val="center"/>
            </w:pPr>
            <w:r>
              <w:rPr>
                <w:b/>
                <w:bCs/>
                <w:color w:val="FFFFFF"/>
                <w:sz w:val="22"/>
                <w:szCs w:val="22"/>
              </w:rPr>
              <w:t xml:space="preserve">CHAPTER 4 — ORACLE SIEBEL CRM</w:t>
            </w:r>
          </w:p>
        </w:tc>
      </w:tr>
    </w:tbl>
    <w:p>
      <w:pPr>
        <w:spacing w:after="120" w:before="80" w:line="276"/>
      </w:pPr>
      <w:r>
        <w:rPr>
          <w:color w:val="1A1A2E"/>
          <w:sz w:val="20"/>
          <w:szCs w:val="20"/>
        </w:rPr>
        <w:t xml:space="preserve"/>
      </w:r>
    </w:p>
    <w:p>
      <w:pPr>
        <w:pStyle w:val="Heading2"/>
        <w:spacing w:after="120" w:before="300"/>
      </w:pPr>
      <w:r>
        <w:rPr>
          <w:b/>
          <w:bCs/>
          <w:color w:val="2E86AB"/>
          <w:sz w:val="28"/>
          <w:szCs w:val="28"/>
        </w:rPr>
        <w:t xml:space="preserve">Program Types: Siebel Implementation, Upgrade (v7.x → v8.x → IP2016+), Siebel to Oracle CX Migration</w:t>
      </w:r>
    </w:p>
    <w:p>
      <w:pPr>
        <w:spacing w:after="120" w:before="80" w:line="276"/>
      </w:pPr>
      <w:r>
        <w:rPr>
          <w:color w:val="1A1A2E"/>
          <w:sz w:val="20"/>
          <w:szCs w:val="20"/>
        </w:rPr>
        <w:t xml:space="preserve">Siebel CRM is one of the most heavily customised enterprise applications in existence. Programs are characterised by complex server-side scripting (eScript), workflow policies, extensive configuration through Siebel Tools, and sophisticated integration architectures. Upgrades are notoriously effort-intensive due to the sheer volume of custom repository objects.</w:t>
      </w:r>
    </w:p>
    <w:p>
      <w:pPr>
        <w:spacing w:after="120" w:before="80" w:line="276"/>
      </w:pPr>
      <w:r>
        <w:rPr>
          <w:color w:val="1A1A2E"/>
          <w:sz w:val="20"/>
          <w:szCs w:val="20"/>
        </w:rPr>
        <w:t xml:space="preserve"/>
      </w:r>
    </w:p>
    <w:p>
      <w:pPr>
        <w:pStyle w:val="Heading2"/>
        <w:spacing w:after="120" w:before="300"/>
      </w:pPr>
      <w:r>
        <w:rPr>
          <w:b/>
          <w:bCs/>
          <w:color w:val="1F3F8F"/>
          <w:sz w:val="28"/>
          <w:szCs w:val="28"/>
        </w:rPr>
        <w:t xml:space="preserve">4.1  AI Impact on SDLC Activities</w:t>
      </w:r>
    </w:p>
    <w:p>
      <w:pPr>
        <w:pStyle w:val="Heading3"/>
        <w:spacing w:after="120" w:before="300"/>
      </w:pPr>
      <w:r>
        <w:rPr>
          <w:b/>
          <w:bCs/>
          <w:color w:val="1F3F8F"/>
          <w:sz w:val="24"/>
          <w:szCs w:val="24"/>
        </w:rPr>
        <w:t xml:space="preserve">Repository Analysis &amp; Configuration</w:t>
      </w:r>
    </w:p>
    <w:p>
      <w:pPr>
        <w:pStyle w:val="ListParagraph"/>
        <w:numPr>
          <w:ilvl w:val="0"/>
          <w:numId w:val="1"/>
        </w:numPr>
        <w:spacing w:after="60" w:before="60"/>
      </w:pPr>
      <w:r>
        <w:rPr>
          <w:color w:val="1A1A2E"/>
          <w:sz w:val="20"/>
          <w:szCs w:val="20"/>
        </w:rPr>
        <w:t xml:space="preserve">AI-powered Siebel repository analysis: automatically inventory all custom objects (BCs, BOs, Applets, Views, Screens) and classify them by complexity and risk.</w:t>
      </w:r>
    </w:p>
    <w:p>
      <w:pPr>
        <w:pStyle w:val="ListParagraph"/>
        <w:numPr>
          <w:ilvl w:val="0"/>
          <w:numId w:val="1"/>
        </w:numPr>
        <w:spacing w:after="60" w:before="60"/>
      </w:pPr>
      <w:r>
        <w:rPr>
          <w:color w:val="1A1A2E"/>
          <w:sz w:val="20"/>
          <w:szCs w:val="20"/>
        </w:rPr>
        <w:t xml:space="preserve">AI compares customer repository against delivered Siebel baseline to identify the delta — what has been customised. This traditionally takes weeks; AI does it in hours.</w:t>
      </w:r>
    </w:p>
    <w:p>
      <w:pPr>
        <w:pStyle w:val="ListParagraph"/>
        <w:numPr>
          <w:ilvl w:val="0"/>
          <w:numId w:val="1"/>
        </w:numPr>
        <w:spacing w:after="60" w:before="60"/>
      </w:pPr>
      <w:r>
        <w:rPr>
          <w:color w:val="1A1A2E"/>
          <w:sz w:val="20"/>
          <w:szCs w:val="20"/>
        </w:rPr>
        <w:t xml:space="preserve">Configuration recommendation engine: AI suggests consolidation of redundant custom applets and views that serve the same business purpose.</w:t>
      </w:r>
    </w:p>
    <w:p>
      <w:pPr>
        <w:pStyle w:val="ListParagraph"/>
        <w:numPr>
          <w:ilvl w:val="1"/>
          <w:numId w:val="1"/>
        </w:numPr>
        <w:spacing w:after="40" w:before="40"/>
      </w:pPr>
      <w:r>
        <w:rPr>
          <w:color w:val="444466"/>
          <w:sz w:val="19"/>
          <w:szCs w:val="19"/>
        </w:rPr>
        <w:t xml:space="preserve">Estimated effort reduction: 40–55% on discovery/analysis; 25–35% on configuration</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eScript / Workflow / Business Service Development</w:t>
      </w:r>
    </w:p>
    <w:p>
      <w:pPr>
        <w:pStyle w:val="ListParagraph"/>
        <w:numPr>
          <w:ilvl w:val="0"/>
          <w:numId w:val="1"/>
        </w:numPr>
        <w:spacing w:after="60" w:before="60"/>
      </w:pPr>
      <w:r>
        <w:rPr>
          <w:color w:val="1A1A2E"/>
          <w:sz w:val="20"/>
          <w:szCs w:val="20"/>
        </w:rPr>
        <w:t xml:space="preserve">AI code generation for Siebel eScript — generating validation logic, event handlers, and business service methods from functional specifications.</w:t>
      </w:r>
    </w:p>
    <w:p>
      <w:pPr>
        <w:pStyle w:val="ListParagraph"/>
        <w:numPr>
          <w:ilvl w:val="0"/>
          <w:numId w:val="1"/>
        </w:numPr>
        <w:spacing w:after="60" w:before="60"/>
      </w:pPr>
      <w:r>
        <w:rPr>
          <w:color w:val="1A1A2E"/>
          <w:sz w:val="20"/>
          <w:szCs w:val="20"/>
        </w:rPr>
        <w:t xml:space="preserve">Workflow policy migration: AI reads existing Siebel workflows and generates documentation, plus recommends migration to Siebel Process Designer equivalents in newer versions.</w:t>
      </w:r>
    </w:p>
    <w:p>
      <w:pPr>
        <w:pStyle w:val="ListParagraph"/>
        <w:numPr>
          <w:ilvl w:val="0"/>
          <w:numId w:val="1"/>
        </w:numPr>
        <w:spacing w:after="60" w:before="60"/>
      </w:pPr>
      <w:r>
        <w:rPr>
          <w:color w:val="1A1A2E"/>
          <w:sz w:val="20"/>
          <w:szCs w:val="20"/>
        </w:rPr>
        <w:t xml:space="preserve">AI-assisted code review of eScript for performance issues (e.g. incorrect use of TheApplication, excessive Child BC queries).</w:t>
      </w:r>
    </w:p>
    <w:p>
      <w:pPr>
        <w:pStyle w:val="ListParagraph"/>
        <w:numPr>
          <w:ilvl w:val="0"/>
          <w:numId w:val="1"/>
        </w:numPr>
        <w:spacing w:after="60" w:before="60"/>
      </w:pPr>
      <w:r>
        <w:rPr>
          <w:color w:val="1A1A2E"/>
          <w:sz w:val="20"/>
          <w:szCs w:val="20"/>
        </w:rPr>
        <w:t xml:space="preserve">For Siebel to CX migration: AI maps Siebel business services to equivalent Oracle Intelligent Advisor / OIC services.</w:t>
      </w:r>
    </w:p>
    <w:p>
      <w:pPr>
        <w:pStyle w:val="ListParagraph"/>
        <w:numPr>
          <w:ilvl w:val="1"/>
          <w:numId w:val="1"/>
        </w:numPr>
        <w:spacing w:after="40" w:before="40"/>
      </w:pPr>
      <w:r>
        <w:rPr>
          <w:color w:val="444466"/>
          <w:sz w:val="19"/>
          <w:szCs w:val="19"/>
        </w:rPr>
        <w:t xml:space="preserve">Estimated effort reduction: 35–50%</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Siebel Upgrade (Repository Merge)</w:t>
      </w:r>
    </w:p>
    <w:p>
      <w:pPr>
        <w:pStyle w:val="ListParagraph"/>
        <w:numPr>
          <w:ilvl w:val="0"/>
          <w:numId w:val="1"/>
        </w:numPr>
        <w:spacing w:after="60" w:before="60"/>
      </w:pPr>
      <w:r>
        <w:rPr>
          <w:color w:val="1A1A2E"/>
          <w:sz w:val="20"/>
          <w:szCs w:val="20"/>
        </w:rPr>
        <w:t xml:space="preserve">The Siebel upgrade repository merge is the most effort-intensive activity. AI brings significant improvements.</w:t>
      </w:r>
    </w:p>
    <w:p>
      <w:pPr>
        <w:pStyle w:val="ListParagraph"/>
        <w:numPr>
          <w:ilvl w:val="0"/>
          <w:numId w:val="1"/>
        </w:numPr>
        <w:spacing w:after="60" w:before="60"/>
      </w:pPr>
      <w:r>
        <w:rPr>
          <w:color w:val="1A1A2E"/>
          <w:sz w:val="20"/>
          <w:szCs w:val="20"/>
        </w:rPr>
        <w:t xml:space="preserve">AI-assisted merge conflict resolution: for each conflict, AI analyses the customisation intent and the delivered change, and recommends the correct resolution.</w:t>
      </w:r>
    </w:p>
    <w:p>
      <w:pPr>
        <w:pStyle w:val="ListParagraph"/>
        <w:numPr>
          <w:ilvl w:val="0"/>
          <w:numId w:val="1"/>
        </w:numPr>
        <w:spacing w:after="60" w:before="60"/>
      </w:pPr>
      <w:r>
        <w:rPr>
          <w:color w:val="1A1A2E"/>
          <w:sz w:val="20"/>
          <w:szCs w:val="20"/>
        </w:rPr>
        <w:t xml:space="preserve">Automated regression of Siebel repository objects post-merge — AI validates that resolved conflicts result in correct runtime behaviour.</w:t>
      </w:r>
    </w:p>
    <w:p>
      <w:pPr>
        <w:pStyle w:val="ListParagraph"/>
        <w:numPr>
          <w:ilvl w:val="0"/>
          <w:numId w:val="1"/>
        </w:numPr>
        <w:spacing w:after="60" w:before="60"/>
      </w:pPr>
      <w:r>
        <w:rPr>
          <w:color w:val="1A1A2E"/>
          <w:sz w:val="20"/>
          <w:szCs w:val="20"/>
        </w:rPr>
        <w:t xml:space="preserve">AI identifies obsolete customisations that can be retired in favour of new delivered functionality — reducing the custom footprint before the merge.</w:t>
      </w:r>
    </w:p>
    <w:p>
      <w:pPr>
        <w:pStyle w:val="ListParagraph"/>
        <w:numPr>
          <w:ilvl w:val="1"/>
          <w:numId w:val="1"/>
        </w:numPr>
        <w:spacing w:after="40" w:before="40"/>
      </w:pPr>
      <w:r>
        <w:rPr>
          <w:color w:val="444466"/>
          <w:sz w:val="19"/>
          <w:szCs w:val="19"/>
        </w:rPr>
        <w:t xml:space="preserve">Estimated effort reduction: 40–55% on repository merge activities</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Data Migration</w:t>
      </w:r>
    </w:p>
    <w:p>
      <w:pPr>
        <w:pStyle w:val="ListParagraph"/>
        <w:numPr>
          <w:ilvl w:val="0"/>
          <w:numId w:val="1"/>
        </w:numPr>
        <w:spacing w:after="60" w:before="60"/>
      </w:pPr>
      <w:r>
        <w:rPr>
          <w:color w:val="1A1A2E"/>
          <w:sz w:val="20"/>
          <w:szCs w:val="20"/>
        </w:rPr>
        <w:t xml:space="preserve">AI-driven mapping of legacy CRM data (accounts, contacts, opportunities, activities) to Siebel table structures.</w:t>
      </w:r>
    </w:p>
    <w:p>
      <w:pPr>
        <w:pStyle w:val="ListParagraph"/>
        <w:numPr>
          <w:ilvl w:val="0"/>
          <w:numId w:val="1"/>
        </w:numPr>
        <w:spacing w:after="60" w:before="60"/>
      </w:pPr>
      <w:r>
        <w:rPr>
          <w:color w:val="1A1A2E"/>
          <w:sz w:val="20"/>
          <w:szCs w:val="20"/>
        </w:rPr>
        <w:t xml:space="preserve">Duplicate detection and merging using AI — particularly important for account/contact data that is often duplicated in CRM systems.</w:t>
      </w:r>
    </w:p>
    <w:p>
      <w:pPr>
        <w:pStyle w:val="ListParagraph"/>
        <w:numPr>
          <w:ilvl w:val="0"/>
          <w:numId w:val="1"/>
        </w:numPr>
        <w:spacing w:after="60" w:before="60"/>
      </w:pPr>
      <w:r>
        <w:rPr>
          <w:color w:val="1A1A2E"/>
          <w:sz w:val="20"/>
          <w:szCs w:val="20"/>
        </w:rPr>
        <w:t xml:space="preserve">AI validation of migrated CRM data against Siebel list-of-values and pick lists.</w:t>
      </w:r>
    </w:p>
    <w:p>
      <w:pPr>
        <w:pStyle w:val="ListParagraph"/>
        <w:numPr>
          <w:ilvl w:val="1"/>
          <w:numId w:val="1"/>
        </w:numPr>
        <w:spacing w:after="40" w:before="40"/>
      </w:pPr>
      <w:r>
        <w:rPr>
          <w:color w:val="444466"/>
          <w:sz w:val="19"/>
          <w:szCs w:val="19"/>
        </w:rPr>
        <w:t xml:space="preserve">Estimated effort reduction: 40–50%</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Testing</w:t>
      </w:r>
    </w:p>
    <w:p>
      <w:pPr>
        <w:pStyle w:val="ListParagraph"/>
        <w:numPr>
          <w:ilvl w:val="0"/>
          <w:numId w:val="1"/>
        </w:numPr>
        <w:spacing w:after="60" w:before="60"/>
      </w:pPr>
      <w:r>
        <w:rPr>
          <w:color w:val="1A1A2E"/>
          <w:sz w:val="20"/>
          <w:szCs w:val="20"/>
        </w:rPr>
        <w:t xml:space="preserve">AI test case generation for Siebel — creating test scenarios across the Sales, Service, and Marketing modules from functional design documents.</w:t>
      </w:r>
    </w:p>
    <w:p>
      <w:pPr>
        <w:pStyle w:val="ListParagraph"/>
        <w:numPr>
          <w:ilvl w:val="0"/>
          <w:numId w:val="1"/>
        </w:numPr>
        <w:spacing w:after="60" w:before="60"/>
      </w:pPr>
      <w:r>
        <w:rPr>
          <w:color w:val="1A1A2E"/>
          <w:sz w:val="20"/>
          <w:szCs w:val="20"/>
        </w:rPr>
        <w:t xml:space="preserve">Automated Siebel UI testing using tools like Tosca with AI self-healing (Siebel UI changes between versions are significant).</w:t>
      </w:r>
    </w:p>
    <w:p>
      <w:pPr>
        <w:pStyle w:val="ListParagraph"/>
        <w:numPr>
          <w:ilvl w:val="0"/>
          <w:numId w:val="1"/>
        </w:numPr>
        <w:spacing w:after="60" w:before="60"/>
      </w:pPr>
      <w:r>
        <w:rPr>
          <w:color w:val="1A1A2E"/>
          <w:sz w:val="20"/>
          <w:szCs w:val="20"/>
        </w:rPr>
        <w:t xml:space="preserve">Performance testing script generation using AI — particularly valuable for Siebel where call centre agents operate under strict handle-time SLAs.</w:t>
      </w:r>
    </w:p>
    <w:p>
      <w:pPr>
        <w:pStyle w:val="ListParagraph"/>
        <w:numPr>
          <w:ilvl w:val="1"/>
          <w:numId w:val="1"/>
        </w:numPr>
        <w:spacing w:after="40" w:before="40"/>
      </w:pPr>
      <w:r>
        <w:rPr>
          <w:color w:val="444466"/>
          <w:sz w:val="19"/>
          <w:szCs w:val="19"/>
        </w:rPr>
        <w:t xml:space="preserve">Estimated effort reduction: 50–65% on regression; 35–45% on SIT</w:t>
      </w:r>
    </w:p>
    <w:p>
      <w:pPr>
        <w:spacing w:after="120" w:before="80" w:line="276"/>
      </w:pPr>
      <w:r>
        <w:rPr>
          <w:color w:val="1A1A2E"/>
          <w:sz w:val="20"/>
          <w:szCs w:val="20"/>
        </w:rPr>
        <w:t xml:space="preserve"/>
      </w:r>
    </w:p>
    <w:p>
      <w:pPr>
        <w:pStyle w:val="Heading2"/>
        <w:spacing w:after="120" w:before="300"/>
      </w:pPr>
      <w:r>
        <w:rPr>
          <w:b/>
          <w:bCs/>
          <w:color w:val="1F3F8F"/>
          <w:sz w:val="28"/>
          <w:szCs w:val="28"/>
        </w:rPr>
        <w:t xml:space="preserve">4.2  AI Impact on Estimation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400"/>
        <w:gridCol w:w="1500"/>
      </w:tblGrid>
      <w:tr>
        <w:trPr>
          <w:tblHeader/>
        </w:trPr>
        <w:tc>
          <w:tcPr>
            <w:shd w:fill="2E86AB" w:val="clear"/>
          </w:tcPr>
          <w:p>
            <w:pPr>
              <w:jc w:val="center"/>
            </w:pPr>
            <w:r>
              <w:rPr>
                <w:b/>
                <w:bCs/>
                <w:color w:val="FFFFFF"/>
                <w:sz w:val="18"/>
                <w:szCs w:val="18"/>
              </w:rPr>
              <w:t xml:space="preserve">Work Stream</w:t>
            </w:r>
          </w:p>
        </w:tc>
        <w:tc>
          <w:tcPr>
            <w:shd w:fill="2E86AB" w:val="clear"/>
          </w:tcPr>
          <w:p>
            <w:pPr>
              <w:jc w:val="center"/>
            </w:pPr>
            <w:r>
              <w:rPr>
                <w:b/>
                <w:bCs/>
                <w:color w:val="FFFFFF"/>
                <w:sz w:val="18"/>
                <w:szCs w:val="18"/>
              </w:rPr>
              <w:t xml:space="preserve">Traditional Estimate</w:t>
            </w:r>
          </w:p>
        </w:tc>
        <w:tc>
          <w:tcPr>
            <w:shd w:fill="2E86AB" w:val="clear"/>
          </w:tcPr>
          <w:p>
            <w:pPr>
              <w:jc w:val="center"/>
            </w:pPr>
            <w:r>
              <w:rPr>
                <w:b/>
                <w:bCs/>
                <w:color w:val="FFFFFF"/>
                <w:sz w:val="18"/>
                <w:szCs w:val="18"/>
              </w:rPr>
              <w:t xml:space="preserve">AI-Assisted Estimate</w:t>
            </w:r>
          </w:p>
        </w:tc>
        <w:tc>
          <w:tcPr>
            <w:shd w:fill="2E86AB" w:val="clear"/>
          </w:tcPr>
          <w:p>
            <w:pPr>
              <w:jc w:val="center"/>
            </w:pPr>
            <w:r>
              <w:rPr>
                <w:b/>
                <w:bCs/>
                <w:color w:val="FFFFFF"/>
                <w:sz w:val="18"/>
                <w:szCs w:val="18"/>
              </w:rPr>
              <w:t xml:space="preserve">Saving %</w:t>
            </w:r>
          </w:p>
        </w:tc>
      </w:tr>
      <w:tr>
        <w:tc>
          <w:tcPr>
            <w:shd w:fill="EEF3FB" w:val="clear"/>
          </w:tcPr>
          <w:p>
            <w:r>
              <w:rPr>
                <w:b w:val="false"/>
                <w:bCs w:val="false"/>
                <w:color w:val="1A1A2E"/>
                <w:sz w:val="18"/>
                <w:szCs w:val="18"/>
              </w:rPr>
              <w:t xml:space="preserve">Repository Analysis / Discovery</w:t>
            </w:r>
          </w:p>
        </w:tc>
        <w:tc>
          <w:tcPr>
            <w:shd w:fill="EEF3FB" w:val="clear"/>
          </w:tcPr>
          <w:p>
            <w:r>
              <w:rPr>
                <w:b w:val="false"/>
                <w:bCs w:val="false"/>
                <w:color w:val="1A1A2E"/>
                <w:sz w:val="18"/>
                <w:szCs w:val="18"/>
              </w:rPr>
              <w:t xml:space="preserve">500–900 hrs</w:t>
            </w:r>
          </w:p>
        </w:tc>
        <w:tc>
          <w:tcPr>
            <w:shd w:fill="EEF3FB" w:val="clear"/>
          </w:tcPr>
          <w:p>
            <w:r>
              <w:rPr>
                <w:b w:val="false"/>
                <w:bCs w:val="false"/>
                <w:color w:val="1A1A2E"/>
                <w:sz w:val="18"/>
                <w:szCs w:val="18"/>
              </w:rPr>
              <w:t xml:space="preserve">225–450 hrs</w:t>
            </w:r>
          </w:p>
        </w:tc>
        <w:tc>
          <w:tcPr>
            <w:shd w:fill="EEF3FB" w:val="clear"/>
          </w:tcPr>
          <w:p>
            <w:r>
              <w:rPr>
                <w:b/>
                <w:bCs/>
                <w:color w:val="1A7F37"/>
                <w:sz w:val="18"/>
                <w:szCs w:val="18"/>
              </w:rPr>
              <w:t xml:space="preserve">48–52%</w:t>
            </w:r>
          </w:p>
        </w:tc>
      </w:tr>
      <w:tr>
        <w:tc>
          <w:tcPr>
            <w:shd w:fill="FFFFFF" w:val="clear"/>
          </w:tcPr>
          <w:p>
            <w:r>
              <w:rPr>
                <w:b w:val="false"/>
                <w:bCs w:val="false"/>
                <w:color w:val="1A1A2E"/>
                <w:sz w:val="18"/>
                <w:szCs w:val="18"/>
              </w:rPr>
              <w:t xml:space="preserve">Configuration (Tools)</w:t>
            </w:r>
          </w:p>
        </w:tc>
        <w:tc>
          <w:tcPr>
            <w:shd w:fill="FFFFFF" w:val="clear"/>
          </w:tcPr>
          <w:p>
            <w:r>
              <w:rPr>
                <w:b w:val="false"/>
                <w:bCs w:val="false"/>
                <w:color w:val="1A1A2E"/>
                <w:sz w:val="18"/>
                <w:szCs w:val="18"/>
              </w:rPr>
              <w:t xml:space="preserve">800–1,600 hrs</w:t>
            </w:r>
          </w:p>
        </w:tc>
        <w:tc>
          <w:tcPr>
            <w:shd w:fill="FFFFFF" w:val="clear"/>
          </w:tcPr>
          <w:p>
            <w:r>
              <w:rPr>
                <w:b w:val="false"/>
                <w:bCs w:val="false"/>
                <w:color w:val="1A1A2E"/>
                <w:sz w:val="18"/>
                <w:szCs w:val="18"/>
              </w:rPr>
              <w:t xml:space="preserve">480–960 hrs</w:t>
            </w:r>
          </w:p>
        </w:tc>
        <w:tc>
          <w:tcPr>
            <w:shd w:fill="FFFFFF" w:val="clear"/>
          </w:tcPr>
          <w:p>
            <w:r>
              <w:rPr>
                <w:b/>
                <w:bCs/>
                <w:color w:val="1A7F37"/>
                <w:sz w:val="18"/>
                <w:szCs w:val="18"/>
              </w:rPr>
              <w:t xml:space="preserve">38–42%</w:t>
            </w:r>
          </w:p>
        </w:tc>
      </w:tr>
      <w:tr>
        <w:tc>
          <w:tcPr>
            <w:shd w:fill="EEF3FB" w:val="clear"/>
          </w:tcPr>
          <w:p>
            <w:r>
              <w:rPr>
                <w:b w:val="false"/>
                <w:bCs w:val="false"/>
                <w:color w:val="1A1A2E"/>
                <w:sz w:val="18"/>
                <w:szCs w:val="18"/>
              </w:rPr>
              <w:t xml:space="preserve">eScript / Workflow Dev</w:t>
            </w:r>
          </w:p>
        </w:tc>
        <w:tc>
          <w:tcPr>
            <w:shd w:fill="EEF3FB" w:val="clear"/>
          </w:tcPr>
          <w:p>
            <w:r>
              <w:rPr>
                <w:b w:val="false"/>
                <w:bCs w:val="false"/>
                <w:color w:val="1A1A2E"/>
                <w:sz w:val="18"/>
                <w:szCs w:val="18"/>
              </w:rPr>
              <w:t xml:space="preserve">1,200–2,500 hrs</w:t>
            </w:r>
          </w:p>
        </w:tc>
        <w:tc>
          <w:tcPr>
            <w:shd w:fill="EEF3FB" w:val="clear"/>
          </w:tcPr>
          <w:p>
            <w:r>
              <w:rPr>
                <w:b w:val="false"/>
                <w:bCs w:val="false"/>
                <w:color w:val="1A1A2E"/>
                <w:sz w:val="18"/>
                <w:szCs w:val="18"/>
              </w:rPr>
              <w:t xml:space="preserve">600–1,300 hrs</w:t>
            </w:r>
          </w:p>
        </w:tc>
        <w:tc>
          <w:tcPr>
            <w:shd w:fill="EEF3FB" w:val="clear"/>
          </w:tcPr>
          <w:p>
            <w:r>
              <w:rPr>
                <w:b/>
                <w:bCs/>
                <w:color w:val="1A7F37"/>
                <w:sz w:val="18"/>
                <w:szCs w:val="18"/>
              </w:rPr>
              <w:t xml:space="preserve">45–50%</w:t>
            </w:r>
          </w:p>
        </w:tc>
      </w:tr>
      <w:tr>
        <w:tc>
          <w:tcPr>
            <w:shd w:fill="FFFFFF" w:val="clear"/>
          </w:tcPr>
          <w:p>
            <w:r>
              <w:rPr>
                <w:b w:val="false"/>
                <w:bCs w:val="false"/>
                <w:color w:val="1A1A2E"/>
                <w:sz w:val="18"/>
                <w:szCs w:val="18"/>
              </w:rPr>
              <w:t xml:space="preserve">Repository Merge (Upgrade)</w:t>
            </w:r>
          </w:p>
        </w:tc>
        <w:tc>
          <w:tcPr>
            <w:shd w:fill="FFFFFF" w:val="clear"/>
          </w:tcPr>
          <w:p>
            <w:r>
              <w:rPr>
                <w:b w:val="false"/>
                <w:bCs w:val="false"/>
                <w:color w:val="1A1A2E"/>
                <w:sz w:val="18"/>
                <w:szCs w:val="18"/>
              </w:rPr>
              <w:t xml:space="preserve">1,500–3,000 hrs</w:t>
            </w:r>
          </w:p>
        </w:tc>
        <w:tc>
          <w:tcPr>
            <w:shd w:fill="FFFFFF" w:val="clear"/>
          </w:tcPr>
          <w:p>
            <w:r>
              <w:rPr>
                <w:b w:val="false"/>
                <w:bCs w:val="false"/>
                <w:color w:val="1A1A2E"/>
                <w:sz w:val="18"/>
                <w:szCs w:val="18"/>
              </w:rPr>
              <w:t xml:space="preserve">680–1,400 hrs</w:t>
            </w:r>
          </w:p>
        </w:tc>
        <w:tc>
          <w:tcPr>
            <w:shd w:fill="FFFFFF" w:val="clear"/>
          </w:tcPr>
          <w:p>
            <w:r>
              <w:rPr>
                <w:b/>
                <w:bCs/>
                <w:color w:val="1A7F37"/>
                <w:sz w:val="18"/>
                <w:szCs w:val="18"/>
              </w:rPr>
              <w:t xml:space="preserve">50–55%</w:t>
            </w:r>
          </w:p>
        </w:tc>
      </w:tr>
      <w:tr>
        <w:tc>
          <w:tcPr>
            <w:shd w:fill="EEF3FB" w:val="clear"/>
          </w:tcPr>
          <w:p>
            <w:r>
              <w:rPr>
                <w:b w:val="false"/>
                <w:bCs w:val="false"/>
                <w:color w:val="1A1A2E"/>
                <w:sz w:val="18"/>
                <w:szCs w:val="18"/>
              </w:rPr>
              <w:t xml:space="preserve">Data Migration</w:t>
            </w:r>
          </w:p>
        </w:tc>
        <w:tc>
          <w:tcPr>
            <w:shd w:fill="EEF3FB" w:val="clear"/>
          </w:tcPr>
          <w:p>
            <w:r>
              <w:rPr>
                <w:b w:val="false"/>
                <w:bCs w:val="false"/>
                <w:color w:val="1A1A2E"/>
                <w:sz w:val="18"/>
                <w:szCs w:val="18"/>
              </w:rPr>
              <w:t xml:space="preserve">600–1,200 hrs</w:t>
            </w:r>
          </w:p>
        </w:tc>
        <w:tc>
          <w:tcPr>
            <w:shd w:fill="EEF3FB" w:val="clear"/>
          </w:tcPr>
          <w:p>
            <w:r>
              <w:rPr>
                <w:b w:val="false"/>
                <w:bCs w:val="false"/>
                <w:color w:val="1A1A2E"/>
                <w:sz w:val="18"/>
                <w:szCs w:val="18"/>
              </w:rPr>
              <w:t xml:space="preserve">300–600 hrs</w:t>
            </w:r>
          </w:p>
        </w:tc>
        <w:tc>
          <w:tcPr>
            <w:shd w:fill="EEF3FB" w:val="clear"/>
          </w:tcPr>
          <w:p>
            <w:r>
              <w:rPr>
                <w:b/>
                <w:bCs/>
                <w:color w:val="1A7F37"/>
                <w:sz w:val="18"/>
                <w:szCs w:val="18"/>
              </w:rPr>
              <w:t xml:space="preserve">48–52%</w:t>
            </w:r>
          </w:p>
        </w:tc>
      </w:tr>
      <w:tr>
        <w:tc>
          <w:tcPr>
            <w:shd w:fill="FFFFFF" w:val="clear"/>
          </w:tcPr>
          <w:p>
            <w:r>
              <w:rPr>
                <w:b w:val="false"/>
                <w:bCs w:val="false"/>
                <w:color w:val="1A1A2E"/>
                <w:sz w:val="18"/>
                <w:szCs w:val="18"/>
              </w:rPr>
              <w:t xml:space="preserve">Testing (SIT + UAT)</w:t>
            </w:r>
          </w:p>
        </w:tc>
        <w:tc>
          <w:tcPr>
            <w:shd w:fill="FFFFFF" w:val="clear"/>
          </w:tcPr>
          <w:p>
            <w:r>
              <w:rPr>
                <w:b w:val="false"/>
                <w:bCs w:val="false"/>
                <w:color w:val="1A1A2E"/>
                <w:sz w:val="18"/>
                <w:szCs w:val="18"/>
              </w:rPr>
              <w:t xml:space="preserve">1,000–1,800 hrs</w:t>
            </w:r>
          </w:p>
        </w:tc>
        <w:tc>
          <w:tcPr>
            <w:shd w:fill="FFFFFF" w:val="clear"/>
          </w:tcPr>
          <w:p>
            <w:r>
              <w:rPr>
                <w:b w:val="false"/>
                <w:bCs w:val="false"/>
                <w:color w:val="1A1A2E"/>
                <w:sz w:val="18"/>
                <w:szCs w:val="18"/>
              </w:rPr>
              <w:t xml:space="preserve">400–770 hrs</w:t>
            </w:r>
          </w:p>
        </w:tc>
        <w:tc>
          <w:tcPr>
            <w:shd w:fill="FFFFFF" w:val="clear"/>
          </w:tcPr>
          <w:p>
            <w:r>
              <w:rPr>
                <w:b/>
                <w:bCs/>
                <w:color w:val="1A7F37"/>
                <w:sz w:val="18"/>
                <w:szCs w:val="18"/>
              </w:rPr>
              <w:t xml:space="preserve">55–60%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70"/>
          <w:left w:type="dxa" w:w="226"/>
          <w:bottom w:type="dxa" w:w="170"/>
          <w:right w:type="dxa" w:w="226"/>
        </w:tblCellMar>
      </w:tblPr>
      <w:tblGrid>
        <w:gridCol w:w="100"/>
      </w:tblGrid>
      <w:tr>
        <w:tc>
          <w:tcPr>
            <w:tcBorders>
              <w:top w:val="thick" w:color="E8A020" w:sz="8"/>
              <w:left w:val="thick" w:color="E8A020" w:sz="8"/>
              <w:bottom w:val="none"/>
              <w:right w:val="none"/>
            </w:tcBorders>
            <w:shd w:fill="EEF3FB" w:val="clear"/>
          </w:tcPr>
          <w:p>
            <w:r>
              <w:rPr>
                <w:b/>
                <w:bCs/>
                <w:color w:val="E8A020"/>
                <w:sz w:val="20"/>
                <w:szCs w:val="20"/>
              </w:rPr>
              <w:t xml:space="preserve">⚡ Siebel Specific Insight</w:t>
            </w:r>
          </w:p>
          <w:p>
            <w:pPr>
              <w:spacing w:before="60"/>
            </w:pPr>
            <w:r>
              <w:rPr>
                <w:color w:val="1A1A2E"/>
                <w:sz w:val="19"/>
                <w:szCs w:val="19"/>
              </w:rPr>
              <w:t xml:space="preserve">The Siebel repository merge has historically been a program schedule risk. AI-assisted conflict resolution can reduce merge duration from 10–12 weeks to 5–7 weeks. This is the single biggest AI benefit in Siebel upgrade programs and should be a primary justification for AI tooling investment.</w:t>
            </w:r>
          </w:p>
        </w:tc>
      </w:tr>
    </w:tbl>
    <w:p>
      <w:r>
        <w:br w:type="page"/>
      </w:r>
    </w:p>
    <w:p>
      <w:pPr>
        <w:sectPr>
          <w:pgSz w:w="11906" w:h="16838" w:orient="portrait"/>
          <w:pgMar w:top="1440" w:right="1440" w:bottom="1440" w:left="1440" w:header="708" w:footer="708" w:gutter="0"/>
          <w:pgNumType/>
          <w:docGrid w:linePitch="360"/>
        </w:sectP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3F8F" w:val="clear"/>
          </w:tcPr>
          <w:p>
            <w:pPr>
              <w:jc w:val="center"/>
            </w:pPr>
            <w:r>
              <w:rPr>
                <w:b/>
                <w:bCs/>
                <w:color w:val="FFFFFF"/>
                <w:sz w:val="22"/>
                <w:szCs w:val="22"/>
              </w:rPr>
              <w:t xml:space="preserve">CHAPTER 5 — ORACLE CX CLOUD (Sales, Service, Marketing, Commerce)</w:t>
            </w:r>
          </w:p>
        </w:tc>
      </w:tr>
    </w:tbl>
    <w:p>
      <w:pPr>
        <w:spacing w:after="120" w:before="80" w:line="276"/>
      </w:pPr>
      <w:r>
        <w:rPr>
          <w:color w:val="1A1A2E"/>
          <w:sz w:val="20"/>
          <w:szCs w:val="20"/>
        </w:rPr>
        <w:t xml:space="preserve"/>
      </w:r>
    </w:p>
    <w:p>
      <w:pPr>
        <w:pStyle w:val="Heading2"/>
        <w:spacing w:after="120" w:before="300"/>
      </w:pPr>
      <w:r>
        <w:rPr>
          <w:b/>
          <w:bCs/>
          <w:color w:val="2E86AB"/>
          <w:sz w:val="28"/>
          <w:szCs w:val="28"/>
        </w:rPr>
        <w:t xml:space="preserve">Program Types: Oracle CX Implementation, Siebel → CX Migration, CX Upgrade (Quarterly Release Adoption)</w:t>
      </w:r>
    </w:p>
    <w:p>
      <w:pPr>
        <w:spacing w:after="120" w:before="80" w:line="276"/>
      </w:pPr>
      <w:r>
        <w:rPr>
          <w:color w:val="1A1A2E"/>
          <w:sz w:val="20"/>
          <w:szCs w:val="20"/>
        </w:rPr>
        <w:t xml:space="preserve">Oracle CX Cloud (formerly Oracle Sales Cloud, Service Cloud / RightNow, Eloqua, Commerce Cloud) is Oracle's modern SaaS CRM and customer experience platform. Programs involve configuration-heavy implementations, REST API-based integrations, and moderate extension work using Oracle Visual Builder and Groovy scripting.</w:t>
      </w:r>
    </w:p>
    <w:p>
      <w:pPr>
        <w:spacing w:after="120" w:before="80" w:line="276"/>
      </w:pPr>
      <w:r>
        <w:rPr>
          <w:color w:val="1A1A2E"/>
          <w:sz w:val="20"/>
          <w:szCs w:val="20"/>
        </w:rPr>
        <w:t xml:space="preserve"/>
      </w:r>
    </w:p>
    <w:p>
      <w:pPr>
        <w:pStyle w:val="Heading2"/>
        <w:spacing w:after="120" w:before="300"/>
      </w:pPr>
      <w:r>
        <w:rPr>
          <w:b/>
          <w:bCs/>
          <w:color w:val="1F3F8F"/>
          <w:sz w:val="28"/>
          <w:szCs w:val="28"/>
        </w:rPr>
        <w:t xml:space="preserve">5.1  AI Impact on SDLC Activities</w:t>
      </w:r>
    </w:p>
    <w:p>
      <w:pPr>
        <w:pStyle w:val="Heading3"/>
        <w:spacing w:after="120" w:before="300"/>
      </w:pPr>
      <w:r>
        <w:rPr>
          <w:b/>
          <w:bCs/>
          <w:color w:val="1F3F8F"/>
          <w:sz w:val="24"/>
          <w:szCs w:val="24"/>
        </w:rPr>
        <w:t xml:space="preserve">Configuration &amp; Setup</w:t>
      </w:r>
    </w:p>
    <w:p>
      <w:pPr>
        <w:pStyle w:val="ListParagraph"/>
        <w:numPr>
          <w:ilvl w:val="0"/>
          <w:numId w:val="1"/>
        </w:numPr>
        <w:spacing w:after="60" w:before="60"/>
      </w:pPr>
      <w:r>
        <w:rPr>
          <w:color w:val="1A1A2E"/>
          <w:sz w:val="20"/>
          <w:szCs w:val="20"/>
        </w:rPr>
        <w:t xml:space="preserve">AI-assisted CX configuration using natural language: describe the sales process in plain English, get suggested pipeline stages, fields, and validation rules.</w:t>
      </w:r>
    </w:p>
    <w:p>
      <w:pPr>
        <w:pStyle w:val="ListParagraph"/>
        <w:numPr>
          <w:ilvl w:val="0"/>
          <w:numId w:val="1"/>
        </w:numPr>
        <w:spacing w:after="60" w:before="60"/>
      </w:pPr>
      <w:r>
        <w:rPr>
          <w:color w:val="1A1A2E"/>
          <w:sz w:val="20"/>
          <w:szCs w:val="20"/>
        </w:rPr>
        <w:t xml:space="preserve">Oracle CX AI features (Oracle AI Apps) are now embedded — lead scoring, opportunity win prediction, next-best-action. AI in SDLC means these are configured, not built.</w:t>
      </w:r>
    </w:p>
    <w:p>
      <w:pPr>
        <w:pStyle w:val="ListParagraph"/>
        <w:numPr>
          <w:ilvl w:val="0"/>
          <w:numId w:val="1"/>
        </w:numPr>
        <w:spacing w:after="60" w:before="60"/>
      </w:pPr>
      <w:r>
        <w:rPr>
          <w:color w:val="1A1A2E"/>
          <w:sz w:val="20"/>
          <w:szCs w:val="20"/>
        </w:rPr>
        <w:t xml:space="preserve">AI-driven territory and quota model setup from historical sales data.</w:t>
      </w:r>
    </w:p>
    <w:p>
      <w:pPr>
        <w:pStyle w:val="ListParagraph"/>
        <w:numPr>
          <w:ilvl w:val="0"/>
          <w:numId w:val="1"/>
        </w:numPr>
        <w:spacing w:after="60" w:before="60"/>
      </w:pPr>
      <w:r>
        <w:rPr>
          <w:color w:val="1A1A2E"/>
          <w:sz w:val="20"/>
          <w:szCs w:val="20"/>
        </w:rPr>
        <w:t xml:space="preserve">Automated quarterly release impact assessment: AI analyses Oracle quarterly release notes and identifies all configuration changes needed for the customer's current setup.</w:t>
      </w:r>
    </w:p>
    <w:p>
      <w:pPr>
        <w:pStyle w:val="ListParagraph"/>
        <w:numPr>
          <w:ilvl w:val="1"/>
          <w:numId w:val="1"/>
        </w:numPr>
        <w:spacing w:after="40" w:before="40"/>
      </w:pPr>
      <w:r>
        <w:rPr>
          <w:color w:val="444466"/>
          <w:sz w:val="19"/>
          <w:szCs w:val="19"/>
        </w:rPr>
        <w:t xml:space="preserve">Estimated effort reduction: 30–45%</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Groovy Scripting &amp; VBCS Extensions</w:t>
      </w:r>
    </w:p>
    <w:p>
      <w:pPr>
        <w:pStyle w:val="ListParagraph"/>
        <w:numPr>
          <w:ilvl w:val="0"/>
          <w:numId w:val="1"/>
        </w:numPr>
        <w:spacing w:after="60" w:before="60"/>
      </w:pPr>
      <w:r>
        <w:rPr>
          <w:color w:val="1A1A2E"/>
          <w:sz w:val="20"/>
          <w:szCs w:val="20"/>
        </w:rPr>
        <w:t xml:space="preserve">AI code generation for Oracle CX Groovy scripts (field validation, object triggers, calculated attributes).</w:t>
      </w:r>
    </w:p>
    <w:p>
      <w:pPr>
        <w:pStyle w:val="ListParagraph"/>
        <w:numPr>
          <w:ilvl w:val="0"/>
          <w:numId w:val="1"/>
        </w:numPr>
        <w:spacing w:after="60" w:before="60"/>
      </w:pPr>
      <w:r>
        <w:rPr>
          <w:color w:val="1A1A2E"/>
          <w:sz w:val="20"/>
          <w:szCs w:val="20"/>
        </w:rPr>
        <w:t xml:space="preserve">VBCS (Visual Builder Cloud Service) page and flow generation using AI — from wireframe to working VBCS page significantly faster.</w:t>
      </w:r>
    </w:p>
    <w:p>
      <w:pPr>
        <w:pStyle w:val="ListParagraph"/>
        <w:numPr>
          <w:ilvl w:val="0"/>
          <w:numId w:val="1"/>
        </w:numPr>
        <w:spacing w:after="60" w:before="60"/>
      </w:pPr>
      <w:r>
        <w:rPr>
          <w:color w:val="1A1A2E"/>
          <w:sz w:val="20"/>
          <w:szCs w:val="20"/>
        </w:rPr>
        <w:t xml:space="preserve">AI-assisted REST API integration specification: describe the required integration in plain language, get a generated OIC integration flow specification.</w:t>
      </w:r>
    </w:p>
    <w:p>
      <w:pPr>
        <w:pStyle w:val="ListParagraph"/>
        <w:numPr>
          <w:ilvl w:val="1"/>
          <w:numId w:val="1"/>
        </w:numPr>
        <w:spacing w:after="40" w:before="40"/>
      </w:pPr>
      <w:r>
        <w:rPr>
          <w:color w:val="444466"/>
          <w:sz w:val="19"/>
          <w:szCs w:val="19"/>
        </w:rPr>
        <w:t xml:space="preserve">Estimated effort reduction: 40–55%</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Integration (OIC — Oracle Integration Cloud)</w:t>
      </w:r>
    </w:p>
    <w:p>
      <w:pPr>
        <w:pStyle w:val="ListParagraph"/>
        <w:numPr>
          <w:ilvl w:val="0"/>
          <w:numId w:val="1"/>
        </w:numPr>
        <w:spacing w:after="60" w:before="60"/>
      </w:pPr>
      <w:r>
        <w:rPr>
          <w:color w:val="1A1A2E"/>
          <w:sz w:val="20"/>
          <w:szCs w:val="20"/>
        </w:rPr>
        <w:t xml:space="preserve">AI generates OIC integration templates from source/target API documentation.</w:t>
      </w:r>
    </w:p>
    <w:p>
      <w:pPr>
        <w:pStyle w:val="ListParagraph"/>
        <w:numPr>
          <w:ilvl w:val="0"/>
          <w:numId w:val="1"/>
        </w:numPr>
        <w:spacing w:after="60" w:before="60"/>
      </w:pPr>
      <w:r>
        <w:rPr>
          <w:color w:val="1A1A2E"/>
          <w:sz w:val="20"/>
          <w:szCs w:val="20"/>
        </w:rPr>
        <w:t xml:space="preserve">Error handling and retry logic in OIC auto-generated by AI based on best practices.</w:t>
      </w:r>
    </w:p>
    <w:p>
      <w:pPr>
        <w:pStyle w:val="ListParagraph"/>
        <w:numPr>
          <w:ilvl w:val="0"/>
          <w:numId w:val="1"/>
        </w:numPr>
        <w:spacing w:after="60" w:before="60"/>
      </w:pPr>
      <w:r>
        <w:rPr>
          <w:color w:val="1A1A2E"/>
          <w:sz w:val="20"/>
          <w:szCs w:val="20"/>
        </w:rPr>
        <w:t xml:space="preserve">AI-monitored integration health in production, predicting failure patterns before they occur.</w:t>
      </w:r>
    </w:p>
    <w:p>
      <w:pPr>
        <w:pStyle w:val="ListParagraph"/>
        <w:numPr>
          <w:ilvl w:val="1"/>
          <w:numId w:val="1"/>
        </w:numPr>
        <w:spacing w:after="40" w:before="40"/>
      </w:pPr>
      <w:r>
        <w:rPr>
          <w:color w:val="444466"/>
          <w:sz w:val="19"/>
          <w:szCs w:val="19"/>
        </w:rPr>
        <w:t xml:space="preserve">Estimated effort reduction: 40–50%</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Data Migration (from Siebel / SFDC / Legacy CRM)</w:t>
      </w:r>
    </w:p>
    <w:p>
      <w:pPr>
        <w:pStyle w:val="ListParagraph"/>
        <w:numPr>
          <w:ilvl w:val="0"/>
          <w:numId w:val="1"/>
        </w:numPr>
        <w:spacing w:after="60" w:before="60"/>
      </w:pPr>
      <w:r>
        <w:rPr>
          <w:color w:val="1A1A2E"/>
          <w:sz w:val="20"/>
          <w:szCs w:val="20"/>
        </w:rPr>
        <w:t xml:space="preserve">AI-powered CRM data profiling — understanding the quality and completeness of source CRM data before migration.</w:t>
      </w:r>
    </w:p>
    <w:p>
      <w:pPr>
        <w:pStyle w:val="ListParagraph"/>
        <w:numPr>
          <w:ilvl w:val="0"/>
          <w:numId w:val="1"/>
        </w:numPr>
        <w:spacing w:after="60" w:before="60"/>
      </w:pPr>
      <w:r>
        <w:rPr>
          <w:color w:val="1A1A2E"/>
          <w:sz w:val="20"/>
          <w:szCs w:val="20"/>
        </w:rPr>
        <w:t xml:space="preserve">Account hierarchy reconstruction using AI — particularly valuable when migrating from Siebel or SFDC where hierarchy data is often inconsistent.</w:t>
      </w:r>
    </w:p>
    <w:p>
      <w:pPr>
        <w:pStyle w:val="ListParagraph"/>
        <w:numPr>
          <w:ilvl w:val="0"/>
          <w:numId w:val="1"/>
        </w:numPr>
        <w:spacing w:after="60" w:before="60"/>
      </w:pPr>
      <w:r>
        <w:rPr>
          <w:color w:val="1A1A2E"/>
          <w:sz w:val="20"/>
          <w:szCs w:val="20"/>
        </w:rPr>
        <w:t xml:space="preserve">Automated REST API-based data load scripts generated by AI from mapping specifications.</w:t>
      </w:r>
    </w:p>
    <w:p>
      <w:pPr>
        <w:pStyle w:val="ListParagraph"/>
        <w:numPr>
          <w:ilvl w:val="0"/>
          <w:numId w:val="1"/>
        </w:numPr>
        <w:spacing w:after="60" w:before="60"/>
      </w:pPr>
      <w:r>
        <w:rPr>
          <w:color w:val="1A1A2E"/>
          <w:sz w:val="20"/>
          <w:szCs w:val="20"/>
        </w:rPr>
        <w:t xml:space="preserve">Duplicate matching and merge using AI — Oracle CX has stringent duplicate record rules; AI pre-processing reduces post-migration housekeeping.</w:t>
      </w:r>
    </w:p>
    <w:p>
      <w:pPr>
        <w:pStyle w:val="ListParagraph"/>
        <w:numPr>
          <w:ilvl w:val="1"/>
          <w:numId w:val="1"/>
        </w:numPr>
        <w:spacing w:after="40" w:before="40"/>
      </w:pPr>
      <w:r>
        <w:rPr>
          <w:color w:val="444466"/>
          <w:sz w:val="19"/>
          <w:szCs w:val="19"/>
        </w:rPr>
        <w:t xml:space="preserve">Estimated effort reduction: 45–60%</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Testing</w:t>
      </w:r>
    </w:p>
    <w:p>
      <w:pPr>
        <w:pStyle w:val="ListParagraph"/>
        <w:numPr>
          <w:ilvl w:val="0"/>
          <w:numId w:val="1"/>
        </w:numPr>
        <w:spacing w:after="60" w:before="60"/>
      </w:pPr>
      <w:r>
        <w:rPr>
          <w:color w:val="1A1A2E"/>
          <w:sz w:val="20"/>
          <w:szCs w:val="20"/>
        </w:rPr>
        <w:t xml:space="preserve">AI test case generation for CX — covering all configured sales processes, service flows, and marketing campaigns.</w:t>
      </w:r>
    </w:p>
    <w:p>
      <w:pPr>
        <w:pStyle w:val="ListParagraph"/>
        <w:numPr>
          <w:ilvl w:val="0"/>
          <w:numId w:val="1"/>
        </w:numPr>
        <w:spacing w:after="60" w:before="60"/>
      </w:pPr>
      <w:r>
        <w:rPr>
          <w:color w:val="1A1A2E"/>
          <w:sz w:val="20"/>
          <w:szCs w:val="20"/>
        </w:rPr>
        <w:t xml:space="preserve">Automated regression for quarterly Oracle releases using AI self-healing test scripts.</w:t>
      </w:r>
    </w:p>
    <w:p>
      <w:pPr>
        <w:pStyle w:val="ListParagraph"/>
        <w:numPr>
          <w:ilvl w:val="0"/>
          <w:numId w:val="1"/>
        </w:numPr>
        <w:spacing w:after="60" w:before="60"/>
      </w:pPr>
      <w:r>
        <w:rPr>
          <w:color w:val="1A1A2E"/>
          <w:sz w:val="20"/>
          <w:szCs w:val="20"/>
        </w:rPr>
        <w:t xml:space="preserve">AI-generated performance test data for Sales (opportunities, accounts) and Service (SR volumes).</w:t>
      </w:r>
    </w:p>
    <w:p>
      <w:pPr>
        <w:pStyle w:val="ListParagraph"/>
        <w:numPr>
          <w:ilvl w:val="1"/>
          <w:numId w:val="1"/>
        </w:numPr>
        <w:spacing w:after="40" w:before="40"/>
      </w:pPr>
      <w:r>
        <w:rPr>
          <w:color w:val="444466"/>
          <w:sz w:val="19"/>
          <w:szCs w:val="19"/>
        </w:rPr>
        <w:t xml:space="preserve">Estimated effort reduction: 50–65%</w:t>
      </w:r>
    </w:p>
    <w:p>
      <w:pPr>
        <w:spacing w:after="120" w:before="80" w:line="276"/>
      </w:pPr>
      <w:r>
        <w:rPr>
          <w:color w:val="1A1A2E"/>
          <w:sz w:val="20"/>
          <w:szCs w:val="20"/>
        </w:rPr>
        <w:t xml:space="preserve"/>
      </w:r>
    </w:p>
    <w:p>
      <w:pPr>
        <w:pStyle w:val="Heading2"/>
        <w:spacing w:after="120" w:before="300"/>
      </w:pPr>
      <w:r>
        <w:rPr>
          <w:b/>
          <w:bCs/>
          <w:color w:val="1F3F8F"/>
          <w:sz w:val="28"/>
          <w:szCs w:val="28"/>
        </w:rPr>
        <w:t xml:space="preserve">5.2  AI Impact on Estimation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400"/>
        <w:gridCol w:w="1500"/>
      </w:tblGrid>
      <w:tr>
        <w:trPr>
          <w:tblHeader/>
        </w:trPr>
        <w:tc>
          <w:tcPr>
            <w:shd w:fill="2E86AB" w:val="clear"/>
          </w:tcPr>
          <w:p>
            <w:pPr>
              <w:jc w:val="center"/>
            </w:pPr>
            <w:r>
              <w:rPr>
                <w:b/>
                <w:bCs/>
                <w:color w:val="FFFFFF"/>
                <w:sz w:val="18"/>
                <w:szCs w:val="18"/>
              </w:rPr>
              <w:t xml:space="preserve">Work Stream</w:t>
            </w:r>
          </w:p>
        </w:tc>
        <w:tc>
          <w:tcPr>
            <w:shd w:fill="2E86AB" w:val="clear"/>
          </w:tcPr>
          <w:p>
            <w:pPr>
              <w:jc w:val="center"/>
            </w:pPr>
            <w:r>
              <w:rPr>
                <w:b/>
                <w:bCs/>
                <w:color w:val="FFFFFF"/>
                <w:sz w:val="18"/>
                <w:szCs w:val="18"/>
              </w:rPr>
              <w:t xml:space="preserve">Traditional Estimate</w:t>
            </w:r>
          </w:p>
        </w:tc>
        <w:tc>
          <w:tcPr>
            <w:shd w:fill="2E86AB" w:val="clear"/>
          </w:tcPr>
          <w:p>
            <w:pPr>
              <w:jc w:val="center"/>
            </w:pPr>
            <w:r>
              <w:rPr>
                <w:b/>
                <w:bCs/>
                <w:color w:val="FFFFFF"/>
                <w:sz w:val="18"/>
                <w:szCs w:val="18"/>
              </w:rPr>
              <w:t xml:space="preserve">AI-Assisted Estimate</w:t>
            </w:r>
          </w:p>
        </w:tc>
        <w:tc>
          <w:tcPr>
            <w:shd w:fill="2E86AB" w:val="clear"/>
          </w:tcPr>
          <w:p>
            <w:pPr>
              <w:jc w:val="center"/>
            </w:pPr>
            <w:r>
              <w:rPr>
                <w:b/>
                <w:bCs/>
                <w:color w:val="FFFFFF"/>
                <w:sz w:val="18"/>
                <w:szCs w:val="18"/>
              </w:rPr>
              <w:t xml:space="preserve">Saving %</w:t>
            </w:r>
          </w:p>
        </w:tc>
      </w:tr>
      <w:tr>
        <w:tc>
          <w:tcPr>
            <w:shd w:fill="EEF3FB" w:val="clear"/>
          </w:tcPr>
          <w:p>
            <w:r>
              <w:rPr>
                <w:b w:val="false"/>
                <w:bCs w:val="false"/>
                <w:color w:val="1A1A2E"/>
                <w:sz w:val="18"/>
                <w:szCs w:val="18"/>
              </w:rPr>
              <w:t xml:space="preserve">CX Configuration &amp; Setup</w:t>
            </w:r>
          </w:p>
        </w:tc>
        <w:tc>
          <w:tcPr>
            <w:shd w:fill="EEF3FB" w:val="clear"/>
          </w:tcPr>
          <w:p>
            <w:r>
              <w:rPr>
                <w:b w:val="false"/>
                <w:bCs w:val="false"/>
                <w:color w:val="1A1A2E"/>
                <w:sz w:val="18"/>
                <w:szCs w:val="18"/>
              </w:rPr>
              <w:t xml:space="preserve">600–1,100 hrs</w:t>
            </w:r>
          </w:p>
        </w:tc>
        <w:tc>
          <w:tcPr>
            <w:shd w:fill="EEF3FB" w:val="clear"/>
          </w:tcPr>
          <w:p>
            <w:r>
              <w:rPr>
                <w:b w:val="false"/>
                <w:bCs w:val="false"/>
                <w:color w:val="1A1A2E"/>
                <w:sz w:val="18"/>
                <w:szCs w:val="18"/>
              </w:rPr>
              <w:t xml:space="preserve">360–660 hrs</w:t>
            </w:r>
          </w:p>
        </w:tc>
        <w:tc>
          <w:tcPr>
            <w:shd w:fill="EEF3FB" w:val="clear"/>
          </w:tcPr>
          <w:p>
            <w:r>
              <w:rPr>
                <w:b/>
                <w:bCs/>
                <w:color w:val="1A7F37"/>
                <w:sz w:val="18"/>
                <w:szCs w:val="18"/>
              </w:rPr>
              <w:t xml:space="preserve">38–42%</w:t>
            </w:r>
          </w:p>
        </w:tc>
      </w:tr>
      <w:tr>
        <w:tc>
          <w:tcPr>
            <w:shd w:fill="FFFFFF" w:val="clear"/>
          </w:tcPr>
          <w:p>
            <w:r>
              <w:rPr>
                <w:b w:val="false"/>
                <w:bCs w:val="false"/>
                <w:color w:val="1A1A2E"/>
                <w:sz w:val="18"/>
                <w:szCs w:val="18"/>
              </w:rPr>
              <w:t xml:space="preserve">Groovy / VBCS Extensions</w:t>
            </w:r>
          </w:p>
        </w:tc>
        <w:tc>
          <w:tcPr>
            <w:shd w:fill="FFFFFF" w:val="clear"/>
          </w:tcPr>
          <w:p>
            <w:r>
              <w:rPr>
                <w:b w:val="false"/>
                <w:bCs w:val="false"/>
                <w:color w:val="1A1A2E"/>
                <w:sz w:val="18"/>
                <w:szCs w:val="18"/>
              </w:rPr>
              <w:t xml:space="preserve">400–900 hrs</w:t>
            </w:r>
          </w:p>
        </w:tc>
        <w:tc>
          <w:tcPr>
            <w:shd w:fill="FFFFFF" w:val="clear"/>
          </w:tcPr>
          <w:p>
            <w:r>
              <w:rPr>
                <w:b w:val="false"/>
                <w:bCs w:val="false"/>
                <w:color w:val="1A1A2E"/>
                <w:sz w:val="18"/>
                <w:szCs w:val="18"/>
              </w:rPr>
              <w:t xml:space="preserve">200–450 hrs</w:t>
            </w:r>
          </w:p>
        </w:tc>
        <w:tc>
          <w:tcPr>
            <w:shd w:fill="FFFFFF" w:val="clear"/>
          </w:tcPr>
          <w:p>
            <w:r>
              <w:rPr>
                <w:b/>
                <w:bCs/>
                <w:color w:val="1A7F37"/>
                <w:sz w:val="18"/>
                <w:szCs w:val="18"/>
              </w:rPr>
              <w:t xml:space="preserve">48–52%</w:t>
            </w:r>
          </w:p>
        </w:tc>
      </w:tr>
      <w:tr>
        <w:tc>
          <w:tcPr>
            <w:shd w:fill="EEF3FB" w:val="clear"/>
          </w:tcPr>
          <w:p>
            <w:r>
              <w:rPr>
                <w:b w:val="false"/>
                <w:bCs w:val="false"/>
                <w:color w:val="1A1A2E"/>
                <w:sz w:val="18"/>
                <w:szCs w:val="18"/>
              </w:rPr>
              <w:t xml:space="preserve">OIC Integration Build</w:t>
            </w:r>
          </w:p>
        </w:tc>
        <w:tc>
          <w:tcPr>
            <w:shd w:fill="EEF3FB" w:val="clear"/>
          </w:tcPr>
          <w:p>
            <w:r>
              <w:rPr>
                <w:b w:val="false"/>
                <w:bCs w:val="false"/>
                <w:color w:val="1A1A2E"/>
                <w:sz w:val="18"/>
                <w:szCs w:val="18"/>
              </w:rPr>
              <w:t xml:space="preserve">800–1,500 hrs</w:t>
            </w:r>
          </w:p>
        </w:tc>
        <w:tc>
          <w:tcPr>
            <w:shd w:fill="EEF3FB" w:val="clear"/>
          </w:tcPr>
          <w:p>
            <w:r>
              <w:rPr>
                <w:b w:val="false"/>
                <w:bCs w:val="false"/>
                <w:color w:val="1A1A2E"/>
                <w:sz w:val="18"/>
                <w:szCs w:val="18"/>
              </w:rPr>
              <w:t xml:space="preserve">400–750 hrs</w:t>
            </w:r>
          </w:p>
        </w:tc>
        <w:tc>
          <w:tcPr>
            <w:shd w:fill="EEF3FB" w:val="clear"/>
          </w:tcPr>
          <w:p>
            <w:r>
              <w:rPr>
                <w:b/>
                <w:bCs/>
                <w:color w:val="1A7F37"/>
                <w:sz w:val="18"/>
                <w:szCs w:val="18"/>
              </w:rPr>
              <w:t xml:space="preserve">48–52%</w:t>
            </w:r>
          </w:p>
        </w:tc>
      </w:tr>
      <w:tr>
        <w:tc>
          <w:tcPr>
            <w:shd w:fill="FFFFFF" w:val="clear"/>
          </w:tcPr>
          <w:p>
            <w:r>
              <w:rPr>
                <w:b w:val="false"/>
                <w:bCs w:val="false"/>
                <w:color w:val="1A1A2E"/>
                <w:sz w:val="18"/>
                <w:szCs w:val="18"/>
              </w:rPr>
              <w:t xml:space="preserve">Data Migration</w:t>
            </w:r>
          </w:p>
        </w:tc>
        <w:tc>
          <w:tcPr>
            <w:shd w:fill="FFFFFF" w:val="clear"/>
          </w:tcPr>
          <w:p>
            <w:r>
              <w:rPr>
                <w:b w:val="false"/>
                <w:bCs w:val="false"/>
                <w:color w:val="1A1A2E"/>
                <w:sz w:val="18"/>
                <w:szCs w:val="18"/>
              </w:rPr>
              <w:t xml:space="preserve">700–1,300 hrs</w:t>
            </w:r>
          </w:p>
        </w:tc>
        <w:tc>
          <w:tcPr>
            <w:shd w:fill="FFFFFF" w:val="clear"/>
          </w:tcPr>
          <w:p>
            <w:r>
              <w:rPr>
                <w:b w:val="false"/>
                <w:bCs w:val="false"/>
                <w:color w:val="1A1A2E"/>
                <w:sz w:val="18"/>
                <w:szCs w:val="18"/>
              </w:rPr>
              <w:t xml:space="preserve">315–650 hrs</w:t>
            </w:r>
          </w:p>
        </w:tc>
        <w:tc>
          <w:tcPr>
            <w:shd w:fill="FFFFFF" w:val="clear"/>
          </w:tcPr>
          <w:p>
            <w:r>
              <w:rPr>
                <w:b/>
                <w:bCs/>
                <w:color w:val="1A7F37"/>
                <w:sz w:val="18"/>
                <w:szCs w:val="18"/>
              </w:rPr>
              <w:t xml:space="preserve">50–55%</w:t>
            </w:r>
          </w:p>
        </w:tc>
      </w:tr>
      <w:tr>
        <w:tc>
          <w:tcPr>
            <w:shd w:fill="EEF3FB" w:val="clear"/>
          </w:tcPr>
          <w:p>
            <w:r>
              <w:rPr>
                <w:b w:val="false"/>
                <w:bCs w:val="false"/>
                <w:color w:val="1A1A2E"/>
                <w:sz w:val="18"/>
                <w:szCs w:val="18"/>
              </w:rPr>
              <w:t xml:space="preserve">Testing (SIT + UAT)</w:t>
            </w:r>
          </w:p>
        </w:tc>
        <w:tc>
          <w:tcPr>
            <w:shd w:fill="EEF3FB" w:val="clear"/>
          </w:tcPr>
          <w:p>
            <w:r>
              <w:rPr>
                <w:b w:val="false"/>
                <w:bCs w:val="false"/>
                <w:color w:val="1A1A2E"/>
                <w:sz w:val="18"/>
                <w:szCs w:val="18"/>
              </w:rPr>
              <w:t xml:space="preserve">800–1,400 hrs</w:t>
            </w:r>
          </w:p>
        </w:tc>
        <w:tc>
          <w:tcPr>
            <w:shd w:fill="EEF3FB" w:val="clear"/>
          </w:tcPr>
          <w:p>
            <w:r>
              <w:rPr>
                <w:b w:val="false"/>
                <w:bCs w:val="false"/>
                <w:color w:val="1A1A2E"/>
                <w:sz w:val="18"/>
                <w:szCs w:val="18"/>
              </w:rPr>
              <w:t xml:space="preserve">320–600 hrs</w:t>
            </w:r>
          </w:p>
        </w:tc>
        <w:tc>
          <w:tcPr>
            <w:shd w:fill="EEF3FB" w:val="clear"/>
          </w:tcPr>
          <w:p>
            <w:r>
              <w:rPr>
                <w:b/>
                <w:bCs/>
                <w:color w:val="1A7F37"/>
                <w:sz w:val="18"/>
                <w:szCs w:val="18"/>
              </w:rPr>
              <w:t xml:space="preserve">55–60%</w:t>
            </w:r>
          </w:p>
        </w:tc>
      </w:tr>
      <w:tr>
        <w:tc>
          <w:tcPr>
            <w:shd w:fill="FFFFFF" w:val="clear"/>
          </w:tcPr>
          <w:p>
            <w:r>
              <w:rPr>
                <w:b w:val="false"/>
                <w:bCs w:val="false"/>
                <w:color w:val="1A1A2E"/>
                <w:sz w:val="18"/>
                <w:szCs w:val="18"/>
              </w:rPr>
              <w:t xml:space="preserve">Quarterly Release Mgmt (Ongoing)</w:t>
            </w:r>
          </w:p>
        </w:tc>
        <w:tc>
          <w:tcPr>
            <w:shd w:fill="FFFFFF" w:val="clear"/>
          </w:tcPr>
          <w:p>
            <w:r>
              <w:rPr>
                <w:b w:val="false"/>
                <w:bCs w:val="false"/>
                <w:color w:val="1A1A2E"/>
                <w:sz w:val="18"/>
                <w:szCs w:val="18"/>
              </w:rPr>
              <w:t xml:space="preserve">200–350 hrs/qtr</w:t>
            </w:r>
          </w:p>
        </w:tc>
        <w:tc>
          <w:tcPr>
            <w:shd w:fill="FFFFFF" w:val="clear"/>
          </w:tcPr>
          <w:p>
            <w:r>
              <w:rPr>
                <w:b w:val="false"/>
                <w:bCs w:val="false"/>
                <w:color w:val="1A1A2E"/>
                <w:sz w:val="18"/>
                <w:szCs w:val="18"/>
              </w:rPr>
              <w:t xml:space="preserve">100–175 hrs/qtr</w:t>
            </w:r>
          </w:p>
        </w:tc>
        <w:tc>
          <w:tcPr>
            <w:shd w:fill="FFFFFF" w:val="clear"/>
          </w:tcPr>
          <w:p>
            <w:r>
              <w:rPr>
                <w:b/>
                <w:bCs/>
                <w:color w:val="1A7F37"/>
                <w:sz w:val="18"/>
                <w:szCs w:val="18"/>
              </w:rPr>
              <w:t xml:space="preserve">48–52%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70"/>
          <w:left w:type="dxa" w:w="226"/>
          <w:bottom w:type="dxa" w:w="170"/>
          <w:right w:type="dxa" w:w="226"/>
        </w:tblCellMar>
      </w:tblPr>
      <w:tblGrid>
        <w:gridCol w:w="100"/>
      </w:tblGrid>
      <w:tr>
        <w:tc>
          <w:tcPr>
            <w:tcBorders>
              <w:top w:val="thick" w:color="E8A020" w:sz="8"/>
              <w:left w:val="thick" w:color="E8A020" w:sz="8"/>
              <w:bottom w:val="none"/>
              <w:right w:val="none"/>
            </w:tcBorders>
            <w:shd w:fill="EEF3FB" w:val="clear"/>
          </w:tcPr>
          <w:p>
            <w:r>
              <w:rPr>
                <w:b/>
                <w:bCs/>
                <w:color w:val="E8A020"/>
                <w:sz w:val="20"/>
                <w:szCs w:val="20"/>
              </w:rPr>
              <w:t xml:space="preserve">⚡ Oracle CX Opportunity</w:t>
            </w:r>
          </w:p>
          <w:p>
            <w:pPr>
              <w:spacing w:before="60"/>
            </w:pPr>
            <w:r>
              <w:rPr>
                <w:color w:val="1A1A2E"/>
                <w:sz w:val="19"/>
                <w:szCs w:val="19"/>
              </w:rPr>
              <w:t xml:space="preserve">Oracle CX already embeds AI features (lead scoring, next-best-action, sentiment analysis). This means the AI layer in SDLC is partly about configuring Oracle's own AI, not building custom AI. This is a key differentiator from older platforms — and means AI in delivery and AI in the product itself compound to deliver exceptional value.</w:t>
            </w:r>
          </w:p>
        </w:tc>
      </w:tr>
    </w:tbl>
    <w:p>
      <w:r>
        <w:br w:type="page"/>
      </w:r>
    </w:p>
    <w:p>
      <w:pPr>
        <w:sectPr>
          <w:pgSz w:w="11906" w:h="16838" w:orient="portrait"/>
          <w:pgMar w:top="1440" w:right="1440" w:bottom="1440" w:left="1440" w:header="708" w:footer="708" w:gutter="0"/>
          <w:pgNumType/>
          <w:docGrid w:linePitch="360"/>
        </w:sectP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3F8F" w:val="clear"/>
          </w:tcPr>
          <w:p>
            <w:pPr>
              <w:jc w:val="center"/>
            </w:pPr>
            <w:r>
              <w:rPr>
                <w:b/>
                <w:bCs/>
                <w:color w:val="FFFFFF"/>
                <w:sz w:val="22"/>
                <w:szCs w:val="22"/>
              </w:rPr>
              <w:t xml:space="preserve">CHAPTER 6 — ORACLE FUSION CLOUD ERP / HCM / SCM / EPM</w:t>
            </w:r>
          </w:p>
        </w:tc>
      </w:tr>
    </w:tbl>
    <w:p>
      <w:pPr>
        <w:spacing w:after="120" w:before="80" w:line="276"/>
      </w:pPr>
      <w:r>
        <w:rPr>
          <w:color w:val="1A1A2E"/>
          <w:sz w:val="20"/>
          <w:szCs w:val="20"/>
        </w:rPr>
        <w:t xml:space="preserve"/>
      </w:r>
    </w:p>
    <w:p>
      <w:pPr>
        <w:pStyle w:val="Heading2"/>
        <w:spacing w:after="120" w:before="300"/>
      </w:pPr>
      <w:r>
        <w:rPr>
          <w:b/>
          <w:bCs/>
          <w:color w:val="2E86AB"/>
          <w:sz w:val="28"/>
          <w:szCs w:val="28"/>
        </w:rPr>
        <w:t xml:space="preserve">Program Types: Greenfield Fusion Implementation, EBS→Fusion Migration, Fusion Phase 2/3 Expansions</w:t>
      </w:r>
    </w:p>
    <w:p>
      <w:pPr>
        <w:spacing w:after="120" w:before="80" w:line="276"/>
      </w:pPr>
      <w:r>
        <w:rPr>
          <w:color w:val="1A1A2E"/>
          <w:sz w:val="20"/>
          <w:szCs w:val="20"/>
        </w:rPr>
        <w:t xml:space="preserve">Oracle Fusion Cloud is Oracle's flagship SaaS offering, covering Finance (ERP), HR (HCM), Supply Chain (SCM), Planning (EPM), and Procurement. It is a quarterly-updated SaaS product with embedded Oracle AI Apps (AI-driven FP&amp;A, HR predictions, supply chain intelligence). Implementation programs are heavily configuration-driven with extensions via OTBI, BIP, OIC, and VBCS.</w:t>
      </w:r>
    </w:p>
    <w:p>
      <w:pPr>
        <w:spacing w:after="120" w:before="80" w:line="276"/>
      </w:pPr>
      <w:r>
        <w:rPr>
          <w:color w:val="1A1A2E"/>
          <w:sz w:val="20"/>
          <w:szCs w:val="20"/>
        </w:rPr>
        <w:t xml:space="preserve"/>
      </w:r>
    </w:p>
    <w:p>
      <w:pPr>
        <w:pStyle w:val="Heading2"/>
        <w:spacing w:after="120" w:before="300"/>
      </w:pPr>
      <w:r>
        <w:rPr>
          <w:b/>
          <w:bCs/>
          <w:color w:val="1F3F8F"/>
          <w:sz w:val="28"/>
          <w:szCs w:val="28"/>
        </w:rPr>
        <w:t xml:space="preserve">6.1  AI Impact on SDLC Activities</w:t>
      </w:r>
    </w:p>
    <w:p>
      <w:pPr>
        <w:pStyle w:val="Heading3"/>
        <w:spacing w:after="120" w:before="300"/>
      </w:pPr>
      <w:r>
        <w:rPr>
          <w:b/>
          <w:bCs/>
          <w:color w:val="1F3F8F"/>
          <w:sz w:val="24"/>
          <w:szCs w:val="24"/>
        </w:rPr>
        <w:t xml:space="preserve">Business Process Design &amp; Configuration</w:t>
      </w:r>
    </w:p>
    <w:p>
      <w:pPr>
        <w:pStyle w:val="ListParagraph"/>
        <w:numPr>
          <w:ilvl w:val="0"/>
          <w:numId w:val="1"/>
        </w:numPr>
        <w:spacing w:after="60" w:before="60"/>
      </w:pPr>
      <w:r>
        <w:rPr>
          <w:color w:val="1A1A2E"/>
          <w:sz w:val="20"/>
          <w:szCs w:val="20"/>
        </w:rPr>
        <w:t xml:space="preserve">AI-assisted business process design: Oracle Process Navigator + AI recommends best-practice Fusion process flows based on industry benchmarks.</w:t>
      </w:r>
    </w:p>
    <w:p>
      <w:pPr>
        <w:pStyle w:val="ListParagraph"/>
        <w:numPr>
          <w:ilvl w:val="0"/>
          <w:numId w:val="1"/>
        </w:numPr>
        <w:spacing w:after="60" w:before="60"/>
      </w:pPr>
      <w:r>
        <w:rPr>
          <w:color w:val="1A1A2E"/>
          <w:sz w:val="20"/>
          <w:szCs w:val="20"/>
        </w:rPr>
        <w:t xml:space="preserve">Functional Setup Manager (FSM) AI assistant pre-populates setup tasks based on the selected modules and industry templates.</w:t>
      </w:r>
    </w:p>
    <w:p>
      <w:pPr>
        <w:pStyle w:val="ListParagraph"/>
        <w:numPr>
          <w:ilvl w:val="0"/>
          <w:numId w:val="1"/>
        </w:numPr>
        <w:spacing w:after="60" w:before="60"/>
      </w:pPr>
      <w:r>
        <w:rPr>
          <w:color w:val="1A1A2E"/>
          <w:sz w:val="20"/>
          <w:szCs w:val="20"/>
        </w:rPr>
        <w:t xml:space="preserve">AI-driven configuration workbook auto-generation from workshop outputs and business process documents.</w:t>
      </w:r>
    </w:p>
    <w:p>
      <w:pPr>
        <w:pStyle w:val="ListParagraph"/>
        <w:numPr>
          <w:ilvl w:val="0"/>
          <w:numId w:val="1"/>
        </w:numPr>
        <w:spacing w:after="60" w:before="60"/>
      </w:pPr>
      <w:r>
        <w:rPr>
          <w:color w:val="1A1A2E"/>
          <w:sz w:val="20"/>
          <w:szCs w:val="20"/>
        </w:rPr>
        <w:t xml:space="preserve">Configuration dependency mapping: AI identifies all downstream setup impacts when a configuration choice is changed — preventing the "cascading config change" problem.</w:t>
      </w:r>
    </w:p>
    <w:p>
      <w:pPr>
        <w:pStyle w:val="ListParagraph"/>
        <w:numPr>
          <w:ilvl w:val="1"/>
          <w:numId w:val="1"/>
        </w:numPr>
        <w:spacing w:after="40" w:before="40"/>
      </w:pPr>
      <w:r>
        <w:rPr>
          <w:color w:val="444466"/>
          <w:sz w:val="19"/>
          <w:szCs w:val="19"/>
        </w:rPr>
        <w:t xml:space="preserve">Estimated effort reduction: 35–50%</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Extensions (OTBI, BIP, VBCS, OIC, REST)</w:t>
      </w:r>
    </w:p>
    <w:p>
      <w:pPr>
        <w:pStyle w:val="ListParagraph"/>
        <w:numPr>
          <w:ilvl w:val="0"/>
          <w:numId w:val="1"/>
        </w:numPr>
        <w:spacing w:after="60" w:before="60"/>
      </w:pPr>
      <w:r>
        <w:rPr>
          <w:color w:val="1A1A2E"/>
          <w:sz w:val="20"/>
          <w:szCs w:val="20"/>
        </w:rPr>
        <w:t xml:space="preserve">OTBI and BIP report generation using AI: describe the required report, get a generated OTBI subject area query or BIP template.</w:t>
      </w:r>
    </w:p>
    <w:p>
      <w:pPr>
        <w:pStyle w:val="ListParagraph"/>
        <w:numPr>
          <w:ilvl w:val="0"/>
          <w:numId w:val="1"/>
        </w:numPr>
        <w:spacing w:after="60" w:before="60"/>
      </w:pPr>
      <w:r>
        <w:rPr>
          <w:color w:val="1A1A2E"/>
          <w:sz w:val="20"/>
          <w:szCs w:val="20"/>
        </w:rPr>
        <w:t xml:space="preserve">AI scaffolds VBCS applications from UI wireframes or natural language descriptions.</w:t>
      </w:r>
    </w:p>
    <w:p>
      <w:pPr>
        <w:pStyle w:val="ListParagraph"/>
        <w:numPr>
          <w:ilvl w:val="0"/>
          <w:numId w:val="1"/>
        </w:numPr>
        <w:spacing w:after="60" w:before="60"/>
      </w:pPr>
      <w:r>
        <w:rPr>
          <w:color w:val="1A1A2E"/>
          <w:sz w:val="20"/>
          <w:szCs w:val="20"/>
        </w:rPr>
        <w:t xml:space="preserve">OIC integration flow generation: AI maps source/target APIs and generates integration flows with error handling.</w:t>
      </w:r>
    </w:p>
    <w:p>
      <w:pPr>
        <w:pStyle w:val="ListParagraph"/>
        <w:numPr>
          <w:ilvl w:val="0"/>
          <w:numId w:val="1"/>
        </w:numPr>
        <w:spacing w:after="60" w:before="60"/>
      </w:pPr>
      <w:r>
        <w:rPr>
          <w:color w:val="1A1A2E"/>
          <w:sz w:val="20"/>
          <w:szCs w:val="20"/>
        </w:rPr>
        <w:t xml:space="preserve">REST API extension development accelerated by AI code generation against Fusion open API catalog.</w:t>
      </w:r>
    </w:p>
    <w:p>
      <w:pPr>
        <w:pStyle w:val="ListParagraph"/>
        <w:numPr>
          <w:ilvl w:val="1"/>
          <w:numId w:val="1"/>
        </w:numPr>
        <w:spacing w:after="40" w:before="40"/>
      </w:pPr>
      <w:r>
        <w:rPr>
          <w:color w:val="444466"/>
          <w:sz w:val="19"/>
          <w:szCs w:val="19"/>
        </w:rPr>
        <w:t xml:space="preserve">Estimated effort reduction: 40–55% on reports; 45–60% on OIC integrations</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Data Migration (FBDI / HDL / ADFDI)</w:t>
      </w:r>
    </w:p>
    <w:p>
      <w:pPr>
        <w:pStyle w:val="ListParagraph"/>
        <w:numPr>
          <w:ilvl w:val="0"/>
          <w:numId w:val="1"/>
        </w:numPr>
        <w:spacing w:after="60" w:before="60"/>
      </w:pPr>
      <w:r>
        <w:rPr>
          <w:color w:val="1A1A2E"/>
          <w:sz w:val="20"/>
          <w:szCs w:val="20"/>
        </w:rPr>
        <w:t xml:space="preserve">This is consistently the most effort-intensive workstream in Fusion programs. AI is transformative here.</w:t>
      </w:r>
    </w:p>
    <w:p>
      <w:pPr>
        <w:pStyle w:val="ListParagraph"/>
        <w:numPr>
          <w:ilvl w:val="0"/>
          <w:numId w:val="1"/>
        </w:numPr>
        <w:spacing w:after="60" w:before="60"/>
      </w:pPr>
      <w:r>
        <w:rPr>
          <w:color w:val="1A1A2E"/>
          <w:sz w:val="20"/>
          <w:szCs w:val="20"/>
        </w:rPr>
        <w:t xml:space="preserve">AI auto-generates FBDI file templates from source system data models.</w:t>
      </w:r>
    </w:p>
    <w:p>
      <w:pPr>
        <w:pStyle w:val="ListParagraph"/>
        <w:numPr>
          <w:ilvl w:val="0"/>
          <w:numId w:val="1"/>
        </w:numPr>
        <w:spacing w:after="60" w:before="60"/>
      </w:pPr>
      <w:r>
        <w:rPr>
          <w:color w:val="1A1A2E"/>
          <w:sz w:val="20"/>
          <w:szCs w:val="20"/>
        </w:rPr>
        <w:t xml:space="preserve">Intelligent source-to-FBDI mapping with automatic data type conversion and format standardisation.</w:t>
      </w:r>
    </w:p>
    <w:p>
      <w:pPr>
        <w:pStyle w:val="ListParagraph"/>
        <w:numPr>
          <w:ilvl w:val="0"/>
          <w:numId w:val="1"/>
        </w:numPr>
        <w:spacing w:after="60" w:before="60"/>
      </w:pPr>
      <w:r>
        <w:rPr>
          <w:color w:val="1A1A2E"/>
          <w:sz w:val="20"/>
          <w:szCs w:val="20"/>
        </w:rPr>
        <w:t xml:space="preserve">AI-driven data cleanse recommendations before FBDI load runs.</w:t>
      </w:r>
    </w:p>
    <w:p>
      <w:pPr>
        <w:pStyle w:val="ListParagraph"/>
        <w:numPr>
          <w:ilvl w:val="0"/>
          <w:numId w:val="1"/>
        </w:numPr>
        <w:spacing w:after="60" w:before="60"/>
      </w:pPr>
      <w:r>
        <w:rPr>
          <w:color w:val="1A1A2E"/>
          <w:sz w:val="20"/>
          <w:szCs w:val="20"/>
        </w:rPr>
        <w:t xml:space="preserve">Post-load validation: AI compares migrated Fusion data against source data at record level and generates exception reports.</w:t>
      </w:r>
    </w:p>
    <w:p>
      <w:pPr>
        <w:pStyle w:val="ListParagraph"/>
        <w:numPr>
          <w:ilvl w:val="0"/>
          <w:numId w:val="1"/>
        </w:numPr>
        <w:spacing w:after="60" w:before="60"/>
      </w:pPr>
      <w:r>
        <w:rPr>
          <w:color w:val="1A1A2E"/>
          <w:sz w:val="20"/>
          <w:szCs w:val="20"/>
        </w:rPr>
        <w:t xml:space="preserve">For HCM: AI handles the complex assignment data hierarchy mapping (Legal Entity → BU → Department → Grade → Position chains).</w:t>
      </w:r>
    </w:p>
    <w:p>
      <w:pPr>
        <w:pStyle w:val="ListParagraph"/>
        <w:numPr>
          <w:ilvl w:val="1"/>
          <w:numId w:val="1"/>
        </w:numPr>
        <w:spacing w:after="40" w:before="40"/>
      </w:pPr>
      <w:r>
        <w:rPr>
          <w:color w:val="444466"/>
          <w:sz w:val="19"/>
          <w:szCs w:val="19"/>
        </w:rPr>
        <w:t xml:space="preserve">Estimated effort reduction: 50–65%</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Testing (Fusion Quarterly Release Cycle)</w:t>
      </w:r>
    </w:p>
    <w:p>
      <w:pPr>
        <w:pStyle w:val="ListParagraph"/>
        <w:numPr>
          <w:ilvl w:val="0"/>
          <w:numId w:val="1"/>
        </w:numPr>
        <w:spacing w:after="60" w:before="60"/>
      </w:pPr>
      <w:r>
        <w:rPr>
          <w:color w:val="1A1A2E"/>
          <w:sz w:val="20"/>
          <w:szCs w:val="20"/>
        </w:rPr>
        <w:t xml:space="preserve">AI test case generation from Fusion process documentation and Oracle Test Manager.</w:t>
      </w:r>
    </w:p>
    <w:p>
      <w:pPr>
        <w:pStyle w:val="ListParagraph"/>
        <w:numPr>
          <w:ilvl w:val="0"/>
          <w:numId w:val="1"/>
        </w:numPr>
        <w:spacing w:after="60" w:before="60"/>
      </w:pPr>
      <w:r>
        <w:rPr>
          <w:color w:val="1A1A2E"/>
          <w:sz w:val="20"/>
          <w:szCs w:val="20"/>
        </w:rPr>
        <w:t xml:space="preserve">Quarterly release regression: AI automatically evaluates Oracle's release notes and identifies test cases affected by delivered changes — and updates them.</w:t>
      </w:r>
    </w:p>
    <w:p>
      <w:pPr>
        <w:pStyle w:val="ListParagraph"/>
        <w:numPr>
          <w:ilvl w:val="0"/>
          <w:numId w:val="1"/>
        </w:numPr>
        <w:spacing w:after="60" w:before="60"/>
      </w:pPr>
      <w:r>
        <w:rPr>
          <w:color w:val="1A1A2E"/>
          <w:sz w:val="20"/>
          <w:szCs w:val="20"/>
        </w:rPr>
        <w:t xml:space="preserve">Automated Fusion UI testing with self-healing scripts (Opkey, Tosca, Oracle Application Testing Suite with AI).</w:t>
      </w:r>
    </w:p>
    <w:p>
      <w:pPr>
        <w:pStyle w:val="ListParagraph"/>
        <w:numPr>
          <w:ilvl w:val="0"/>
          <w:numId w:val="1"/>
        </w:numPr>
        <w:spacing w:after="60" w:before="60"/>
      </w:pPr>
      <w:r>
        <w:rPr>
          <w:color w:val="1A1A2E"/>
          <w:sz w:val="20"/>
          <w:szCs w:val="20"/>
        </w:rPr>
        <w:t xml:space="preserve">End-to-end business flow testing using AI to orchestrate multi-module scenarios (e.g. PO → Receipt → Invoice → Payment across SCM and Finance).</w:t>
      </w:r>
    </w:p>
    <w:p>
      <w:pPr>
        <w:pStyle w:val="ListParagraph"/>
        <w:numPr>
          <w:ilvl w:val="1"/>
          <w:numId w:val="1"/>
        </w:numPr>
        <w:spacing w:after="40" w:before="40"/>
      </w:pPr>
      <w:r>
        <w:rPr>
          <w:color w:val="444466"/>
          <w:sz w:val="19"/>
          <w:szCs w:val="19"/>
        </w:rPr>
        <w:t xml:space="preserve">Estimated effort reduction: 55–70% on quarterly regression; 40–50% on SIT/UAT</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Security &amp; Roles Design</w:t>
      </w:r>
    </w:p>
    <w:p>
      <w:pPr>
        <w:pStyle w:val="ListParagraph"/>
        <w:numPr>
          <w:ilvl w:val="0"/>
          <w:numId w:val="1"/>
        </w:numPr>
        <w:spacing w:after="60" w:before="60"/>
      </w:pPr>
      <w:r>
        <w:rPr>
          <w:color w:val="1A1A2E"/>
          <w:sz w:val="20"/>
          <w:szCs w:val="20"/>
        </w:rPr>
        <w:t xml:space="preserve">AI analyses existing EBS/PeopleSoft role structures and recommends Fusion role mappings.</w:t>
      </w:r>
    </w:p>
    <w:p>
      <w:pPr>
        <w:pStyle w:val="ListParagraph"/>
        <w:numPr>
          <w:ilvl w:val="0"/>
          <w:numId w:val="1"/>
        </w:numPr>
        <w:spacing w:after="60" w:before="60"/>
      </w:pPr>
      <w:r>
        <w:rPr>
          <w:color w:val="1A1A2E"/>
          <w:sz w:val="20"/>
          <w:szCs w:val="20"/>
        </w:rPr>
        <w:t xml:space="preserve">Conflict of Duty (COD) analysis using AI — identifying potential segregation of duties violations in the proposed role design.</w:t>
      </w:r>
    </w:p>
    <w:p>
      <w:pPr>
        <w:pStyle w:val="ListParagraph"/>
        <w:numPr>
          <w:ilvl w:val="0"/>
          <w:numId w:val="1"/>
        </w:numPr>
        <w:spacing w:after="60" w:before="60"/>
      </w:pPr>
      <w:r>
        <w:rPr>
          <w:color w:val="1A1A2E"/>
          <w:sz w:val="20"/>
          <w:szCs w:val="20"/>
        </w:rPr>
        <w:t xml:space="preserve">AI-generated security test scripts covering all role assignments.</w:t>
      </w:r>
    </w:p>
    <w:p>
      <w:pPr>
        <w:pStyle w:val="ListParagraph"/>
        <w:numPr>
          <w:ilvl w:val="1"/>
          <w:numId w:val="1"/>
        </w:numPr>
        <w:spacing w:after="40" w:before="40"/>
      </w:pPr>
      <w:r>
        <w:rPr>
          <w:color w:val="444466"/>
          <w:sz w:val="19"/>
          <w:szCs w:val="19"/>
        </w:rPr>
        <w:t xml:space="preserve">Estimated effort reduction: 35–45%</w:t>
      </w:r>
    </w:p>
    <w:p>
      <w:pPr>
        <w:spacing w:after="120" w:before="80" w:line="276"/>
      </w:pPr>
      <w:r>
        <w:rPr>
          <w:color w:val="1A1A2E"/>
          <w:sz w:val="20"/>
          <w:szCs w:val="20"/>
        </w:rPr>
        <w:t xml:space="preserve"/>
      </w:r>
    </w:p>
    <w:p>
      <w:pPr>
        <w:pStyle w:val="Heading2"/>
        <w:spacing w:after="120" w:before="300"/>
      </w:pPr>
      <w:r>
        <w:rPr>
          <w:b/>
          <w:bCs/>
          <w:color w:val="1F3F8F"/>
          <w:sz w:val="28"/>
          <w:szCs w:val="28"/>
        </w:rPr>
        <w:t xml:space="preserve">6.2  AI Impact on Estimation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400"/>
        <w:gridCol w:w="1500"/>
      </w:tblGrid>
      <w:tr>
        <w:trPr>
          <w:tblHeader/>
        </w:trPr>
        <w:tc>
          <w:tcPr>
            <w:shd w:fill="2E86AB" w:val="clear"/>
          </w:tcPr>
          <w:p>
            <w:pPr>
              <w:jc w:val="center"/>
            </w:pPr>
            <w:r>
              <w:rPr>
                <w:b/>
                <w:bCs/>
                <w:color w:val="FFFFFF"/>
                <w:sz w:val="18"/>
                <w:szCs w:val="18"/>
              </w:rPr>
              <w:t xml:space="preserve">Work Stream</w:t>
            </w:r>
          </w:p>
        </w:tc>
        <w:tc>
          <w:tcPr>
            <w:shd w:fill="2E86AB" w:val="clear"/>
          </w:tcPr>
          <w:p>
            <w:pPr>
              <w:jc w:val="center"/>
            </w:pPr>
            <w:r>
              <w:rPr>
                <w:b/>
                <w:bCs/>
                <w:color w:val="FFFFFF"/>
                <w:sz w:val="18"/>
                <w:szCs w:val="18"/>
              </w:rPr>
              <w:t xml:space="preserve">Traditional Estimate</w:t>
            </w:r>
          </w:p>
        </w:tc>
        <w:tc>
          <w:tcPr>
            <w:shd w:fill="2E86AB" w:val="clear"/>
          </w:tcPr>
          <w:p>
            <w:pPr>
              <w:jc w:val="center"/>
            </w:pPr>
            <w:r>
              <w:rPr>
                <w:b/>
                <w:bCs/>
                <w:color w:val="FFFFFF"/>
                <w:sz w:val="18"/>
                <w:szCs w:val="18"/>
              </w:rPr>
              <w:t xml:space="preserve">AI-Assisted Estimate</w:t>
            </w:r>
          </w:p>
        </w:tc>
        <w:tc>
          <w:tcPr>
            <w:shd w:fill="2E86AB" w:val="clear"/>
          </w:tcPr>
          <w:p>
            <w:pPr>
              <w:jc w:val="center"/>
            </w:pPr>
            <w:r>
              <w:rPr>
                <w:b/>
                <w:bCs/>
                <w:color w:val="FFFFFF"/>
                <w:sz w:val="18"/>
                <w:szCs w:val="18"/>
              </w:rPr>
              <w:t xml:space="preserve">Saving %</w:t>
            </w:r>
          </w:p>
        </w:tc>
      </w:tr>
      <w:tr>
        <w:tc>
          <w:tcPr>
            <w:shd w:fill="EEF3FB" w:val="clear"/>
          </w:tcPr>
          <w:p>
            <w:r>
              <w:rPr>
                <w:b w:val="false"/>
                <w:bCs w:val="false"/>
                <w:color w:val="1A1A2E"/>
                <w:sz w:val="18"/>
                <w:szCs w:val="18"/>
              </w:rPr>
              <w:t xml:space="preserve">Discovery &amp; Solution Design</w:t>
            </w:r>
          </w:p>
        </w:tc>
        <w:tc>
          <w:tcPr>
            <w:shd w:fill="EEF3FB" w:val="clear"/>
          </w:tcPr>
          <w:p>
            <w:r>
              <w:rPr>
                <w:b w:val="false"/>
                <w:bCs w:val="false"/>
                <w:color w:val="1A1A2E"/>
                <w:sz w:val="18"/>
                <w:szCs w:val="18"/>
              </w:rPr>
              <w:t xml:space="preserve">800–1,500 hrs</w:t>
            </w:r>
          </w:p>
        </w:tc>
        <w:tc>
          <w:tcPr>
            <w:shd w:fill="EEF3FB" w:val="clear"/>
          </w:tcPr>
          <w:p>
            <w:r>
              <w:rPr>
                <w:b w:val="false"/>
                <w:bCs w:val="false"/>
                <w:color w:val="1A1A2E"/>
                <w:sz w:val="18"/>
                <w:szCs w:val="18"/>
              </w:rPr>
              <w:t xml:space="preserve">430–800 hrs</w:t>
            </w:r>
          </w:p>
        </w:tc>
        <w:tc>
          <w:tcPr>
            <w:shd w:fill="EEF3FB" w:val="clear"/>
          </w:tcPr>
          <w:p>
            <w:r>
              <w:rPr>
                <w:b/>
                <w:bCs/>
                <w:color w:val="1A7F37"/>
                <w:sz w:val="18"/>
                <w:szCs w:val="18"/>
              </w:rPr>
              <w:t xml:space="preserve">45–48%</w:t>
            </w:r>
          </w:p>
        </w:tc>
      </w:tr>
      <w:tr>
        <w:tc>
          <w:tcPr>
            <w:shd w:fill="FFFFFF" w:val="clear"/>
          </w:tcPr>
          <w:p>
            <w:r>
              <w:rPr>
                <w:b w:val="false"/>
                <w:bCs w:val="false"/>
                <w:color w:val="1A1A2E"/>
                <w:sz w:val="18"/>
                <w:szCs w:val="18"/>
              </w:rPr>
              <w:t xml:space="preserve">Fusion Configuration (FSM)</w:t>
            </w:r>
          </w:p>
        </w:tc>
        <w:tc>
          <w:tcPr>
            <w:shd w:fill="FFFFFF" w:val="clear"/>
          </w:tcPr>
          <w:p>
            <w:r>
              <w:rPr>
                <w:b w:val="false"/>
                <w:bCs w:val="false"/>
                <w:color w:val="1A1A2E"/>
                <w:sz w:val="18"/>
                <w:szCs w:val="18"/>
              </w:rPr>
              <w:t xml:space="preserve">1,500–3,000 hrs</w:t>
            </w:r>
          </w:p>
        </w:tc>
        <w:tc>
          <w:tcPr>
            <w:shd w:fill="FFFFFF" w:val="clear"/>
          </w:tcPr>
          <w:p>
            <w:r>
              <w:rPr>
                <w:b w:val="false"/>
                <w:bCs w:val="false"/>
                <w:color w:val="1A1A2E"/>
                <w:sz w:val="18"/>
                <w:szCs w:val="18"/>
              </w:rPr>
              <w:t xml:space="preserve">800–1,700 hrs</w:t>
            </w:r>
          </w:p>
        </w:tc>
        <w:tc>
          <w:tcPr>
            <w:shd w:fill="FFFFFF" w:val="clear"/>
          </w:tcPr>
          <w:p>
            <w:r>
              <w:rPr>
                <w:b/>
                <w:bCs/>
                <w:color w:val="1A7F37"/>
                <w:sz w:val="18"/>
                <w:szCs w:val="18"/>
              </w:rPr>
              <w:t xml:space="preserve">42–47%</w:t>
            </w:r>
          </w:p>
        </w:tc>
      </w:tr>
      <w:tr>
        <w:tc>
          <w:tcPr>
            <w:shd w:fill="EEF3FB" w:val="clear"/>
          </w:tcPr>
          <w:p>
            <w:r>
              <w:rPr>
                <w:b w:val="false"/>
                <w:bCs w:val="false"/>
                <w:color w:val="1A1A2E"/>
                <w:sz w:val="18"/>
                <w:szCs w:val="18"/>
              </w:rPr>
              <w:t xml:space="preserve">Reports (OTBI / BIP)</w:t>
            </w:r>
          </w:p>
        </w:tc>
        <w:tc>
          <w:tcPr>
            <w:shd w:fill="EEF3FB" w:val="clear"/>
          </w:tcPr>
          <w:p>
            <w:r>
              <w:rPr>
                <w:b w:val="false"/>
                <w:bCs w:val="false"/>
                <w:color w:val="1A1A2E"/>
                <w:sz w:val="18"/>
                <w:szCs w:val="18"/>
              </w:rPr>
              <w:t xml:space="preserve">600–1,200 hrs</w:t>
            </w:r>
          </w:p>
        </w:tc>
        <w:tc>
          <w:tcPr>
            <w:shd w:fill="EEF3FB" w:val="clear"/>
          </w:tcPr>
          <w:p>
            <w:r>
              <w:rPr>
                <w:b w:val="false"/>
                <w:bCs w:val="false"/>
                <w:color w:val="1A1A2E"/>
                <w:sz w:val="18"/>
                <w:szCs w:val="18"/>
              </w:rPr>
              <w:t xml:space="preserve">280–580 hrs</w:t>
            </w:r>
          </w:p>
        </w:tc>
        <w:tc>
          <w:tcPr>
            <w:shd w:fill="EEF3FB" w:val="clear"/>
          </w:tcPr>
          <w:p>
            <w:r>
              <w:rPr>
                <w:b/>
                <w:bCs/>
                <w:color w:val="1A7F37"/>
                <w:sz w:val="18"/>
                <w:szCs w:val="18"/>
              </w:rPr>
              <w:t xml:space="preserve">50–55%</w:t>
            </w:r>
          </w:p>
        </w:tc>
      </w:tr>
      <w:tr>
        <w:tc>
          <w:tcPr>
            <w:shd w:fill="FFFFFF" w:val="clear"/>
          </w:tcPr>
          <w:p>
            <w:r>
              <w:rPr>
                <w:b w:val="false"/>
                <w:bCs w:val="false"/>
                <w:color w:val="1A1A2E"/>
                <w:sz w:val="18"/>
                <w:szCs w:val="18"/>
              </w:rPr>
              <w:t xml:space="preserve">OIC Integrations</w:t>
            </w:r>
          </w:p>
        </w:tc>
        <w:tc>
          <w:tcPr>
            <w:shd w:fill="FFFFFF" w:val="clear"/>
          </w:tcPr>
          <w:p>
            <w:r>
              <w:rPr>
                <w:b w:val="false"/>
                <w:bCs w:val="false"/>
                <w:color w:val="1A1A2E"/>
                <w:sz w:val="18"/>
                <w:szCs w:val="18"/>
              </w:rPr>
              <w:t xml:space="preserve">1,000–2,500 hrs</w:t>
            </w:r>
          </w:p>
        </w:tc>
        <w:tc>
          <w:tcPr>
            <w:shd w:fill="FFFFFF" w:val="clear"/>
          </w:tcPr>
          <w:p>
            <w:r>
              <w:rPr>
                <w:b w:val="false"/>
                <w:bCs w:val="false"/>
                <w:color w:val="1A1A2E"/>
                <w:sz w:val="18"/>
                <w:szCs w:val="18"/>
              </w:rPr>
              <w:t xml:space="preserve">450–1,200 hrs</w:t>
            </w:r>
          </w:p>
        </w:tc>
        <w:tc>
          <w:tcPr>
            <w:shd w:fill="FFFFFF" w:val="clear"/>
          </w:tcPr>
          <w:p>
            <w:r>
              <w:rPr>
                <w:b/>
                <w:bCs/>
                <w:color w:val="1A7F37"/>
                <w:sz w:val="18"/>
                <w:szCs w:val="18"/>
              </w:rPr>
              <w:t xml:space="preserve">50–55%</w:t>
            </w:r>
          </w:p>
        </w:tc>
      </w:tr>
      <w:tr>
        <w:tc>
          <w:tcPr>
            <w:shd w:fill="EEF3FB" w:val="clear"/>
          </w:tcPr>
          <w:p>
            <w:r>
              <w:rPr>
                <w:b w:val="false"/>
                <w:bCs w:val="false"/>
                <w:color w:val="1A1A2E"/>
                <w:sz w:val="18"/>
                <w:szCs w:val="18"/>
              </w:rPr>
              <w:t xml:space="preserve">Data Migration (FBDI/HDL)</w:t>
            </w:r>
          </w:p>
        </w:tc>
        <w:tc>
          <w:tcPr>
            <w:shd w:fill="EEF3FB" w:val="clear"/>
          </w:tcPr>
          <w:p>
            <w:r>
              <w:rPr>
                <w:b w:val="false"/>
                <w:bCs w:val="false"/>
                <w:color w:val="1A1A2E"/>
                <w:sz w:val="18"/>
                <w:szCs w:val="18"/>
              </w:rPr>
              <w:t xml:space="preserve">2,000–4,000 hrs</w:t>
            </w:r>
          </w:p>
        </w:tc>
        <w:tc>
          <w:tcPr>
            <w:shd w:fill="EEF3FB" w:val="clear"/>
          </w:tcPr>
          <w:p>
            <w:r>
              <w:rPr>
                <w:b w:val="false"/>
                <w:bCs w:val="false"/>
                <w:color w:val="1A1A2E"/>
                <w:sz w:val="18"/>
                <w:szCs w:val="18"/>
              </w:rPr>
              <w:t xml:space="preserve">800–1,800 hrs</w:t>
            </w:r>
          </w:p>
        </w:tc>
        <w:tc>
          <w:tcPr>
            <w:shd w:fill="EEF3FB" w:val="clear"/>
          </w:tcPr>
          <w:p>
            <w:r>
              <w:rPr>
                <w:b/>
                <w:bCs/>
                <w:color w:val="1A7F37"/>
                <w:sz w:val="18"/>
                <w:szCs w:val="18"/>
              </w:rPr>
              <w:t xml:space="preserve">55–60%</w:t>
            </w:r>
          </w:p>
        </w:tc>
      </w:tr>
      <w:tr>
        <w:tc>
          <w:tcPr>
            <w:shd w:fill="FFFFFF" w:val="clear"/>
          </w:tcPr>
          <w:p>
            <w:r>
              <w:rPr>
                <w:b w:val="false"/>
                <w:bCs w:val="false"/>
                <w:color w:val="1A1A2E"/>
                <w:sz w:val="18"/>
                <w:szCs w:val="18"/>
              </w:rPr>
              <w:t xml:space="preserve">Security Design &amp; Test</w:t>
            </w:r>
          </w:p>
        </w:tc>
        <w:tc>
          <w:tcPr>
            <w:shd w:fill="FFFFFF" w:val="clear"/>
          </w:tcPr>
          <w:p>
            <w:r>
              <w:rPr>
                <w:b w:val="false"/>
                <w:bCs w:val="false"/>
                <w:color w:val="1A1A2E"/>
                <w:sz w:val="18"/>
                <w:szCs w:val="18"/>
              </w:rPr>
              <w:t xml:space="preserve">400–800 hrs</w:t>
            </w:r>
          </w:p>
        </w:tc>
        <w:tc>
          <w:tcPr>
            <w:shd w:fill="FFFFFF" w:val="clear"/>
          </w:tcPr>
          <w:p>
            <w:r>
              <w:rPr>
                <w:b w:val="false"/>
                <w:bCs w:val="false"/>
                <w:color w:val="1A1A2E"/>
                <w:sz w:val="18"/>
                <w:szCs w:val="18"/>
              </w:rPr>
              <w:t xml:space="preserve">220–460 hrs</w:t>
            </w:r>
          </w:p>
        </w:tc>
        <w:tc>
          <w:tcPr>
            <w:shd w:fill="FFFFFF" w:val="clear"/>
          </w:tcPr>
          <w:p>
            <w:r>
              <w:rPr>
                <w:b/>
                <w:bCs/>
                <w:color w:val="1A7F37"/>
                <w:sz w:val="18"/>
                <w:szCs w:val="18"/>
              </w:rPr>
              <w:t xml:space="preserve">40–45%</w:t>
            </w:r>
          </w:p>
        </w:tc>
      </w:tr>
      <w:tr>
        <w:tc>
          <w:tcPr>
            <w:shd w:fill="EEF3FB" w:val="clear"/>
          </w:tcPr>
          <w:p>
            <w:r>
              <w:rPr>
                <w:b w:val="false"/>
                <w:bCs w:val="false"/>
                <w:color w:val="1A1A2E"/>
                <w:sz w:val="18"/>
                <w:szCs w:val="18"/>
              </w:rPr>
              <w:t xml:space="preserve">Testing (SIT + UAT + Qtrly)</w:t>
            </w:r>
          </w:p>
        </w:tc>
        <w:tc>
          <w:tcPr>
            <w:shd w:fill="EEF3FB" w:val="clear"/>
          </w:tcPr>
          <w:p>
            <w:r>
              <w:rPr>
                <w:b w:val="false"/>
                <w:bCs w:val="false"/>
                <w:color w:val="1A1A2E"/>
                <w:sz w:val="18"/>
                <w:szCs w:val="18"/>
              </w:rPr>
              <w:t xml:space="preserve">1,500–3,000 hrs</w:t>
            </w:r>
          </w:p>
        </w:tc>
        <w:tc>
          <w:tcPr>
            <w:shd w:fill="EEF3FB" w:val="clear"/>
          </w:tcPr>
          <w:p>
            <w:r>
              <w:rPr>
                <w:b w:val="false"/>
                <w:bCs w:val="false"/>
                <w:color w:val="1A1A2E"/>
                <w:sz w:val="18"/>
                <w:szCs w:val="18"/>
              </w:rPr>
              <w:t xml:space="preserve">560–1,200 hrs</w:t>
            </w:r>
          </w:p>
        </w:tc>
        <w:tc>
          <w:tcPr>
            <w:shd w:fill="EEF3FB" w:val="clear"/>
          </w:tcPr>
          <w:p>
            <w:r>
              <w:rPr>
                <w:b/>
                <w:bCs/>
                <w:color w:val="1A7F37"/>
                <w:sz w:val="18"/>
                <w:szCs w:val="18"/>
              </w:rPr>
              <w:t xml:space="preserve">58–65%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70"/>
          <w:left w:type="dxa" w:w="226"/>
          <w:bottom w:type="dxa" w:w="170"/>
          <w:right w:type="dxa" w:w="226"/>
        </w:tblCellMar>
      </w:tblPr>
      <w:tblGrid>
        <w:gridCol w:w="100"/>
      </w:tblGrid>
      <w:tr>
        <w:tc>
          <w:tcPr>
            <w:tcBorders>
              <w:top w:val="thick" w:color="E8A020" w:sz="8"/>
              <w:left w:val="thick" w:color="E8A020" w:sz="8"/>
              <w:bottom w:val="none"/>
              <w:right w:val="none"/>
            </w:tcBorders>
            <w:shd w:fill="EEF3FB" w:val="clear"/>
          </w:tcPr>
          <w:p>
            <w:r>
              <w:rPr>
                <w:b/>
                <w:bCs/>
                <w:color w:val="E8A020"/>
                <w:sz w:val="20"/>
                <w:szCs w:val="20"/>
              </w:rPr>
              <w:t xml:space="preserve">⚡ Fusion Cloud — The AI Native Platform</w:t>
            </w:r>
          </w:p>
          <w:p>
            <w:pPr>
              <w:spacing w:before="60"/>
            </w:pPr>
            <w:r>
              <w:rPr>
                <w:color w:val="1A1A2E"/>
                <w:sz w:val="19"/>
                <w:szCs w:val="19"/>
              </w:rPr>
              <w:t xml:space="preserve">Oracle Fusion Cloud is uniquely positioned in the AI era: it ships with embedded AI Apps (AI-powered cash forecasting, HR attrition prediction, supply chain disruption sensing). This means the ROI of an AI-augmented delivery program is compounded by the AI capabilities of the product being delivered. Fusion programs should be positioned as "AI-enabled enterprise transformation" not just "ERP implementation".</w:t>
            </w:r>
          </w:p>
        </w:tc>
      </w:tr>
    </w:tbl>
    <w:p>
      <w:r>
        <w:br w:type="page"/>
      </w:r>
    </w:p>
    <w:p>
      <w:pPr>
        <w:sectPr>
          <w:pgSz w:w="11906" w:h="16838" w:orient="portrait"/>
          <w:pgMar w:top="1440" w:right="1440" w:bottom="1440" w:left="1440" w:header="708" w:footer="708" w:gutter="0"/>
          <w:pgNumType/>
          <w:docGrid w:linePitch="360"/>
        </w:sectP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3F8F" w:val="clear"/>
          </w:tcPr>
          <w:p>
            <w:pPr>
              <w:jc w:val="center"/>
            </w:pPr>
            <w:r>
              <w:rPr>
                <w:b/>
                <w:bCs/>
                <w:color w:val="FFFFFF"/>
                <w:sz w:val="22"/>
                <w:szCs w:val="22"/>
              </w:rPr>
              <w:t xml:space="preserve">CHAPTER 7 — AMS / MANAGED SUPPORT PROGRAMS (All Oracle Platforms)</w:t>
            </w:r>
          </w:p>
        </w:tc>
      </w:tr>
    </w:tbl>
    <w:p>
      <w:pPr>
        <w:spacing w:after="120" w:before="80" w:line="276"/>
      </w:pPr>
      <w:r>
        <w:rPr>
          <w:color w:val="1A1A2E"/>
          <w:sz w:val="20"/>
          <w:szCs w:val="20"/>
        </w:rPr>
        <w:t xml:space="preserve"/>
      </w:r>
    </w:p>
    <w:p>
      <w:pPr>
        <w:pStyle w:val="Heading2"/>
        <w:spacing w:after="120" w:before="300"/>
      </w:pPr>
      <w:r>
        <w:rPr>
          <w:b/>
          <w:bCs/>
          <w:color w:val="2E86AB"/>
          <w:sz w:val="28"/>
          <w:szCs w:val="28"/>
        </w:rPr>
        <w:t xml:space="preserve">Program Type: Application Managed Services — Covering ECC, PeopleSoft, Siebel, CX, Fusion</w:t>
      </w:r>
    </w:p>
    <w:p>
      <w:pPr>
        <w:spacing w:after="120" w:before="80" w:line="276"/>
      </w:pPr>
      <w:r>
        <w:rPr>
          <w:color w:val="1A1A2E"/>
          <w:sz w:val="20"/>
          <w:szCs w:val="20"/>
        </w:rPr>
        <w:t xml:space="preserve">AMS programs provide ongoing support, maintenance, and enhancement services post go-live. They are typically structured around SLA-based incident/problem management, quarterly change delivery, and continuous improvement. AI has a profound impact on AMS economics — both in productivity and in how SLAs are defined and priced.</w:t>
      </w:r>
    </w:p>
    <w:p>
      <w:pPr>
        <w:spacing w:after="120" w:before="80" w:line="276"/>
      </w:pPr>
      <w:r>
        <w:rPr>
          <w:color w:val="1A1A2E"/>
          <w:sz w:val="20"/>
          <w:szCs w:val="20"/>
        </w:rPr>
        <w:t xml:space="preserve"/>
      </w:r>
    </w:p>
    <w:p>
      <w:pPr>
        <w:pStyle w:val="Heading2"/>
        <w:spacing w:after="120" w:before="300"/>
      </w:pPr>
      <w:r>
        <w:rPr>
          <w:b/>
          <w:bCs/>
          <w:color w:val="1F3F8F"/>
          <w:sz w:val="28"/>
          <w:szCs w:val="28"/>
        </w:rPr>
        <w:t xml:space="preserve">7.1  AI Impact on AMS Activities</w:t>
      </w:r>
    </w:p>
    <w:p>
      <w:pPr>
        <w:pStyle w:val="Heading3"/>
        <w:spacing w:after="120" w:before="300"/>
      </w:pPr>
      <w:r>
        <w:rPr>
          <w:b/>
          <w:bCs/>
          <w:color w:val="1F3F8F"/>
          <w:sz w:val="24"/>
          <w:szCs w:val="24"/>
        </w:rPr>
        <w:t xml:space="preserve">Incident Management &amp; L1/L2 Support</w:t>
      </w:r>
    </w:p>
    <w:p>
      <w:pPr>
        <w:pStyle w:val="ListParagraph"/>
        <w:numPr>
          <w:ilvl w:val="0"/>
          <w:numId w:val="1"/>
        </w:numPr>
        <w:spacing w:after="60" w:before="60"/>
      </w:pPr>
      <w:r>
        <w:rPr>
          <w:color w:val="1A1A2E"/>
          <w:sz w:val="20"/>
          <w:szCs w:val="20"/>
        </w:rPr>
        <w:t xml:space="preserve">AI-powered ticket triage and classification: incoming incidents are automatically categorised, prioritised, and routed — reducing L1 handling time by 50–70%.</w:t>
      </w:r>
    </w:p>
    <w:p>
      <w:pPr>
        <w:pStyle w:val="ListParagraph"/>
        <w:numPr>
          <w:ilvl w:val="0"/>
          <w:numId w:val="1"/>
        </w:numPr>
        <w:spacing w:after="60" w:before="60"/>
      </w:pPr>
      <w:r>
        <w:rPr>
          <w:color w:val="1A1A2E"/>
          <w:sz w:val="20"/>
          <w:szCs w:val="20"/>
        </w:rPr>
        <w:t xml:space="preserve">AI knowledge base integration: for every incident, AI surfaces relevant past resolutions from the knowledge base — reducing MTTR (Mean Time to Resolve) significantly.</w:t>
      </w:r>
    </w:p>
    <w:p>
      <w:pPr>
        <w:pStyle w:val="ListParagraph"/>
        <w:numPr>
          <w:ilvl w:val="0"/>
          <w:numId w:val="1"/>
        </w:numPr>
        <w:spacing w:after="60" w:before="60"/>
      </w:pPr>
      <w:r>
        <w:rPr>
          <w:color w:val="1A1A2E"/>
          <w:sz w:val="20"/>
          <w:szCs w:val="20"/>
        </w:rPr>
        <w:t xml:space="preserve">Intelligent virtual agents (chatbots) handle standard user queries (password resets, navigation help, process guidance) without human intervention.</w:t>
      </w:r>
    </w:p>
    <w:p>
      <w:pPr>
        <w:pStyle w:val="ListParagraph"/>
        <w:numPr>
          <w:ilvl w:val="0"/>
          <w:numId w:val="1"/>
        </w:numPr>
        <w:spacing w:after="60" w:before="60"/>
      </w:pPr>
      <w:r>
        <w:rPr>
          <w:color w:val="1A1A2E"/>
          <w:sz w:val="20"/>
          <w:szCs w:val="20"/>
        </w:rPr>
        <w:t xml:space="preserve">AI predicts incident surges before period-end processing, payroll runs, or batch cycles — allowing proactive capacity planning.</w:t>
      </w:r>
    </w:p>
    <w:p>
      <w:pPr>
        <w:pStyle w:val="ListParagraph"/>
        <w:numPr>
          <w:ilvl w:val="1"/>
          <w:numId w:val="1"/>
        </w:numPr>
        <w:spacing w:after="40" w:before="40"/>
      </w:pPr>
      <w:r>
        <w:rPr>
          <w:color w:val="444466"/>
          <w:sz w:val="19"/>
          <w:szCs w:val="19"/>
        </w:rPr>
        <w:t xml:space="preserve">Estimated L1/L2 effort reduction: 40–60%</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Problem Management &amp; Root Cause Analysis</w:t>
      </w:r>
    </w:p>
    <w:p>
      <w:pPr>
        <w:pStyle w:val="ListParagraph"/>
        <w:numPr>
          <w:ilvl w:val="0"/>
          <w:numId w:val="1"/>
        </w:numPr>
        <w:spacing w:after="60" w:before="60"/>
      </w:pPr>
      <w:r>
        <w:rPr>
          <w:color w:val="1A1A2E"/>
          <w:sz w:val="20"/>
          <w:szCs w:val="20"/>
        </w:rPr>
        <w:t xml:space="preserve">AI correlates recurring incidents and identifies underlying problems automatically — replacing manual problem reviews.</w:t>
      </w:r>
    </w:p>
    <w:p>
      <w:pPr>
        <w:pStyle w:val="ListParagraph"/>
        <w:numPr>
          <w:ilvl w:val="0"/>
          <w:numId w:val="1"/>
        </w:numPr>
        <w:spacing w:after="60" w:before="60"/>
      </w:pPr>
      <w:r>
        <w:rPr>
          <w:color w:val="1A1A2E"/>
          <w:sz w:val="20"/>
          <w:szCs w:val="20"/>
        </w:rPr>
        <w:t xml:space="preserve">Root cause analysis using AI — reading application logs, database trace files, and system metrics to identify the root cause of performance issues.</w:t>
      </w:r>
    </w:p>
    <w:p>
      <w:pPr>
        <w:pStyle w:val="ListParagraph"/>
        <w:numPr>
          <w:ilvl w:val="0"/>
          <w:numId w:val="1"/>
        </w:numPr>
        <w:spacing w:after="60" w:before="60"/>
      </w:pPr>
      <w:r>
        <w:rPr>
          <w:color w:val="1A1A2E"/>
          <w:sz w:val="20"/>
          <w:szCs w:val="20"/>
        </w:rPr>
        <w:t xml:space="preserve">AI-generated RCA reports with recommended permanent fixes and prevention strategies.</w:t>
      </w:r>
    </w:p>
    <w:p>
      <w:pPr>
        <w:pStyle w:val="ListParagraph"/>
        <w:numPr>
          <w:ilvl w:val="1"/>
          <w:numId w:val="1"/>
        </w:numPr>
        <w:spacing w:after="40" w:before="40"/>
      </w:pPr>
      <w:r>
        <w:rPr>
          <w:color w:val="444466"/>
          <w:sz w:val="19"/>
          <w:szCs w:val="19"/>
        </w:rPr>
        <w:t xml:space="preserve">Estimated effort reduction: 35–50%</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Change Requests &amp; Enhancements</w:t>
      </w:r>
    </w:p>
    <w:p>
      <w:pPr>
        <w:pStyle w:val="ListParagraph"/>
        <w:numPr>
          <w:ilvl w:val="0"/>
          <w:numId w:val="1"/>
        </w:numPr>
        <w:spacing w:after="60" w:before="60"/>
      </w:pPr>
      <w:r>
        <w:rPr>
          <w:color w:val="1A1A2E"/>
          <w:sz w:val="20"/>
          <w:szCs w:val="20"/>
        </w:rPr>
        <w:t xml:space="preserve">AI-accelerated change impact analysis: for every change request, AI assesses downstream configuration, code, integration, and data impacts automatically.</w:t>
      </w:r>
    </w:p>
    <w:p>
      <w:pPr>
        <w:pStyle w:val="ListParagraph"/>
        <w:numPr>
          <w:ilvl w:val="0"/>
          <w:numId w:val="1"/>
        </w:numPr>
        <w:spacing w:after="60" w:before="60"/>
      </w:pPr>
      <w:r>
        <w:rPr>
          <w:color w:val="1A1A2E"/>
          <w:sz w:val="20"/>
          <w:szCs w:val="20"/>
        </w:rPr>
        <w:t xml:space="preserve">AI-assisted development of change request code/configuration — applying the same AI code generation benefits as in project delivery but at change-unit scale.</w:t>
      </w:r>
    </w:p>
    <w:p>
      <w:pPr>
        <w:pStyle w:val="ListParagraph"/>
        <w:numPr>
          <w:ilvl w:val="0"/>
          <w:numId w:val="1"/>
        </w:numPr>
        <w:spacing w:after="60" w:before="60"/>
      </w:pPr>
      <w:r>
        <w:rPr>
          <w:color w:val="1A1A2E"/>
          <w:sz w:val="20"/>
          <w:szCs w:val="20"/>
        </w:rPr>
        <w:t xml:space="preserve">AI-generated test cases for every change request, executed automatically in regression.</w:t>
      </w:r>
    </w:p>
    <w:p>
      <w:pPr>
        <w:pStyle w:val="ListParagraph"/>
        <w:numPr>
          <w:ilvl w:val="1"/>
          <w:numId w:val="1"/>
        </w:numPr>
        <w:spacing w:after="40" w:before="40"/>
      </w:pPr>
      <w:r>
        <w:rPr>
          <w:color w:val="444466"/>
          <w:sz w:val="19"/>
          <w:szCs w:val="19"/>
        </w:rPr>
        <w:t xml:space="preserve">Estimated effort reduction: 35–50% on change delivery</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Quarterly / Annual Patching (Fusion / CX)</w:t>
      </w:r>
    </w:p>
    <w:p>
      <w:pPr>
        <w:pStyle w:val="ListParagraph"/>
        <w:numPr>
          <w:ilvl w:val="0"/>
          <w:numId w:val="1"/>
        </w:numPr>
        <w:spacing w:after="60" w:before="60"/>
      </w:pPr>
      <w:r>
        <w:rPr>
          <w:color w:val="1A1A2E"/>
          <w:sz w:val="20"/>
          <w:szCs w:val="20"/>
        </w:rPr>
        <w:t xml:space="preserve">For Fusion and CX Cloud: AI analyses quarterly release notes and auto-generates impact assessments for the customer's specific configuration.</w:t>
      </w:r>
    </w:p>
    <w:p>
      <w:pPr>
        <w:pStyle w:val="ListParagraph"/>
        <w:numPr>
          <w:ilvl w:val="0"/>
          <w:numId w:val="1"/>
        </w:numPr>
        <w:spacing w:after="60" w:before="60"/>
      </w:pPr>
      <w:r>
        <w:rPr>
          <w:color w:val="1A1A2E"/>
          <w:sz w:val="20"/>
          <w:szCs w:val="20"/>
        </w:rPr>
        <w:t xml:space="preserve">AI-driven regression test selection: only test cases affected by the quarterly release are re-executed — not the full suite.</w:t>
      </w:r>
    </w:p>
    <w:p>
      <w:pPr>
        <w:pStyle w:val="ListParagraph"/>
        <w:numPr>
          <w:ilvl w:val="0"/>
          <w:numId w:val="1"/>
        </w:numPr>
        <w:spacing w:after="60" w:before="60"/>
      </w:pPr>
      <w:r>
        <w:rPr>
          <w:color w:val="1A1A2E"/>
          <w:sz w:val="20"/>
          <w:szCs w:val="20"/>
        </w:rPr>
        <w:t xml:space="preserve">AI monitors post-patch system behaviour and flags anomalies vs. pre-patch baselines within hours.</w:t>
      </w:r>
    </w:p>
    <w:p>
      <w:pPr>
        <w:pStyle w:val="ListParagraph"/>
        <w:numPr>
          <w:ilvl w:val="1"/>
          <w:numId w:val="1"/>
        </w:numPr>
        <w:spacing w:after="40" w:before="40"/>
      </w:pPr>
      <w:r>
        <w:rPr>
          <w:color w:val="444466"/>
          <w:sz w:val="19"/>
          <w:szCs w:val="19"/>
        </w:rPr>
        <w:t xml:space="preserve">Estimated effort reduction per quarterly cycle: 45–60%</w:t>
      </w:r>
    </w:p>
    <w:p>
      <w:pPr>
        <w:spacing w:after="120" w:before="80" w:line="276"/>
      </w:pPr>
      <w:r>
        <w:rPr>
          <w:color w:val="1A1A2E"/>
          <w:sz w:val="20"/>
          <w:szCs w:val="20"/>
        </w:rPr>
        <w:t xml:space="preserve"/>
      </w:r>
    </w:p>
    <w:p>
      <w:pPr>
        <w:pStyle w:val="Heading3"/>
        <w:spacing w:after="120" w:before="300"/>
      </w:pPr>
      <w:r>
        <w:rPr>
          <w:b/>
          <w:bCs/>
          <w:color w:val="1F3F8F"/>
          <w:sz w:val="24"/>
          <w:szCs w:val="24"/>
        </w:rPr>
        <w:t xml:space="preserve">Performance Monitoring &amp; Proactive Management</w:t>
      </w:r>
    </w:p>
    <w:p>
      <w:pPr>
        <w:pStyle w:val="ListParagraph"/>
        <w:numPr>
          <w:ilvl w:val="0"/>
          <w:numId w:val="1"/>
        </w:numPr>
        <w:spacing w:after="60" w:before="60"/>
      </w:pPr>
      <w:r>
        <w:rPr>
          <w:color w:val="1A1A2E"/>
          <w:sz w:val="20"/>
          <w:szCs w:val="20"/>
        </w:rPr>
        <w:t xml:space="preserve">AI-powered APM (Application Performance Monitoring) for Oracle — predicting performance degradation before users experience it.</w:t>
      </w:r>
    </w:p>
    <w:p>
      <w:pPr>
        <w:pStyle w:val="ListParagraph"/>
        <w:numPr>
          <w:ilvl w:val="0"/>
          <w:numId w:val="1"/>
        </w:numPr>
        <w:spacing w:after="60" w:before="60"/>
      </w:pPr>
      <w:r>
        <w:rPr>
          <w:color w:val="1A1A2E"/>
          <w:sz w:val="20"/>
          <w:szCs w:val="20"/>
        </w:rPr>
        <w:t xml:space="preserve">Intelligent batch scheduling optimisation using AI — adjusting job schedules based on system load patterns.</w:t>
      </w:r>
    </w:p>
    <w:p>
      <w:pPr>
        <w:pStyle w:val="ListParagraph"/>
        <w:numPr>
          <w:ilvl w:val="0"/>
          <w:numId w:val="1"/>
        </w:numPr>
        <w:spacing w:after="60" w:before="60"/>
      </w:pPr>
      <w:r>
        <w:rPr>
          <w:color w:val="1A1A2E"/>
          <w:sz w:val="20"/>
          <w:szCs w:val="20"/>
        </w:rPr>
        <w:t xml:space="preserve">AI-driven capacity planning recommendations for on-premise Oracle platforms.</w:t>
      </w:r>
    </w:p>
    <w:p>
      <w:pPr>
        <w:pStyle w:val="ListParagraph"/>
        <w:numPr>
          <w:ilvl w:val="1"/>
          <w:numId w:val="1"/>
        </w:numPr>
        <w:spacing w:after="40" w:before="40"/>
      </w:pPr>
      <w:r>
        <w:rPr>
          <w:color w:val="444466"/>
          <w:sz w:val="19"/>
          <w:szCs w:val="19"/>
        </w:rPr>
        <w:t xml:space="preserve">Estimated effort reduction: 30–45% (and prevention of unplanned incidents)</w:t>
      </w:r>
    </w:p>
    <w:p>
      <w:pPr>
        <w:spacing w:after="120" w:before="80" w:line="276"/>
      </w:pPr>
      <w:r>
        <w:rPr>
          <w:color w:val="1A1A2E"/>
          <w:sz w:val="20"/>
          <w:szCs w:val="20"/>
        </w:rPr>
        <w:t xml:space="preserve"/>
      </w:r>
    </w:p>
    <w:p>
      <w:pPr>
        <w:pStyle w:val="Heading2"/>
        <w:spacing w:after="120" w:before="300"/>
      </w:pPr>
      <w:r>
        <w:rPr>
          <w:b/>
          <w:bCs/>
          <w:color w:val="1F3F8F"/>
          <w:sz w:val="28"/>
          <w:szCs w:val="28"/>
        </w:rPr>
        <w:t xml:space="preserve">7.2  AI Impact on AMS Estimation &amp; Commercials</w:t>
      </w:r>
    </w:p>
    <w:p>
      <w:pPr>
        <w:spacing w:after="120" w:before="80" w:line="276"/>
      </w:pPr>
      <w:r>
        <w:rPr>
          <w:color w:val="1A1A2E"/>
          <w:sz w:val="20"/>
          <w:szCs w:val="20"/>
        </w:rPr>
        <w:t xml:space="preserve">AMS is priced on FTE (Full-Time Equivalent) resources or transaction-based SLAs. AI fundamentally changes AMS commercials.</w:t>
      </w:r>
    </w:p>
    <w:p>
      <w:pPr>
        <w:spacing w:after="120" w:before="80" w:line="276"/>
      </w:pPr>
      <w:r>
        <w:rPr>
          <w:color w:val="1A1A2E"/>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gridCol w:w="1500"/>
      </w:tblGrid>
      <w:tr>
        <w:trPr>
          <w:tblHeader/>
        </w:trPr>
        <w:tc>
          <w:tcPr>
            <w:shd w:fill="1F3F8F" w:val="clear"/>
          </w:tcPr>
          <w:p>
            <w:pPr>
              <w:jc w:val="center"/>
            </w:pPr>
            <w:r>
              <w:rPr>
                <w:b/>
                <w:bCs/>
                <w:color w:val="FFFFFF"/>
                <w:sz w:val="18"/>
                <w:szCs w:val="18"/>
              </w:rPr>
              <w:t xml:space="preserve">SDLC Activity</w:t>
            </w:r>
          </w:p>
        </w:tc>
        <w:tc>
          <w:tcPr>
            <w:shd w:fill="1F3F8F" w:val="clear"/>
          </w:tcPr>
          <w:p>
            <w:pPr>
              <w:jc w:val="center"/>
            </w:pPr>
            <w:r>
              <w:rPr>
                <w:b/>
                <w:bCs/>
                <w:color w:val="FFFFFF"/>
                <w:sz w:val="18"/>
                <w:szCs w:val="18"/>
              </w:rPr>
              <w:t xml:space="preserve">Current State (Without AI)</w:t>
            </w:r>
          </w:p>
        </w:tc>
        <w:tc>
          <w:tcPr>
            <w:shd w:fill="1F3F8F" w:val="clear"/>
          </w:tcPr>
          <w:p>
            <w:pPr>
              <w:jc w:val="center"/>
            </w:pPr>
            <w:r>
              <w:rPr>
                <w:b/>
                <w:bCs/>
                <w:color w:val="FFFFFF"/>
                <w:sz w:val="18"/>
                <w:szCs w:val="18"/>
              </w:rPr>
              <w:t xml:space="preserve">AI-Enabled Approach</w:t>
            </w:r>
          </w:p>
        </w:tc>
        <w:tc>
          <w:tcPr>
            <w:shd w:fill="1F3F8F" w:val="clear"/>
          </w:tcPr>
          <w:p>
            <w:pPr>
              <w:jc w:val="center"/>
            </w:pPr>
            <w:r>
              <w:rPr>
                <w:b/>
                <w:bCs/>
                <w:color w:val="FFFFFF"/>
                <w:sz w:val="18"/>
                <w:szCs w:val="18"/>
              </w:rPr>
              <w:t xml:space="preserve">Effort Reduction</w:t>
            </w:r>
          </w:p>
        </w:tc>
      </w:tr>
      <w:tr>
        <w:tc>
          <w:tcPr>
            <w:shd w:fill="EEF3FB" w:val="clear"/>
          </w:tcPr>
          <w:p>
            <w:r>
              <w:rPr>
                <w:b w:val="false"/>
                <w:bCs w:val="false"/>
                <w:color w:val="1A1A2E"/>
                <w:sz w:val="18"/>
                <w:szCs w:val="18"/>
              </w:rPr>
              <w:t xml:space="preserve">L1 Ticket Handling</w:t>
            </w:r>
          </w:p>
        </w:tc>
        <w:tc>
          <w:tcPr>
            <w:shd w:fill="EEF3FB" w:val="clear"/>
          </w:tcPr>
          <w:p>
            <w:r>
              <w:rPr>
                <w:b w:val="false"/>
                <w:bCs w:val="false"/>
                <w:color w:val="1A1A2E"/>
                <w:sz w:val="18"/>
                <w:szCs w:val="18"/>
              </w:rPr>
              <w:t xml:space="preserve">Human agent reviews each ticket</w:t>
            </w:r>
          </w:p>
        </w:tc>
        <w:tc>
          <w:tcPr>
            <w:shd w:fill="EEF3FB" w:val="clear"/>
          </w:tcPr>
          <w:p>
            <w:r>
              <w:rPr>
                <w:b w:val="false"/>
                <w:bCs w:val="false"/>
                <w:color w:val="1A1A2E"/>
                <w:sz w:val="18"/>
                <w:szCs w:val="18"/>
              </w:rPr>
              <w:t xml:space="preserve">AI triage + chatbot resolution</w:t>
            </w:r>
          </w:p>
        </w:tc>
        <w:tc>
          <w:tcPr>
            <w:shd w:fill="EEF3FB" w:val="clear"/>
          </w:tcPr>
          <w:p>
            <w:r>
              <w:rPr>
                <w:b/>
                <w:bCs/>
                <w:color w:val="1A7F37"/>
                <w:sz w:val="18"/>
                <w:szCs w:val="18"/>
              </w:rPr>
              <w:t xml:space="preserve">50–70%</w:t>
            </w:r>
          </w:p>
        </w:tc>
      </w:tr>
      <w:tr>
        <w:tc>
          <w:tcPr>
            <w:shd w:fill="FFFFFF" w:val="clear"/>
          </w:tcPr>
          <w:p>
            <w:r>
              <w:rPr>
                <w:b w:val="false"/>
                <w:bCs w:val="false"/>
                <w:color w:val="1A1A2E"/>
                <w:sz w:val="18"/>
                <w:szCs w:val="18"/>
              </w:rPr>
              <w:t xml:space="preserve">L2 Incident Resolution</w:t>
            </w:r>
          </w:p>
        </w:tc>
        <w:tc>
          <w:tcPr>
            <w:shd w:fill="FFFFFF" w:val="clear"/>
          </w:tcPr>
          <w:p>
            <w:r>
              <w:rPr>
                <w:b w:val="false"/>
                <w:bCs w:val="false"/>
                <w:color w:val="1A1A2E"/>
                <w:sz w:val="18"/>
                <w:szCs w:val="18"/>
              </w:rPr>
              <w:t xml:space="preserve">Manual log analysis &amp; fix</w:t>
            </w:r>
          </w:p>
        </w:tc>
        <w:tc>
          <w:tcPr>
            <w:shd w:fill="FFFFFF" w:val="clear"/>
          </w:tcPr>
          <w:p>
            <w:r>
              <w:rPr>
                <w:b w:val="false"/>
                <w:bCs w:val="false"/>
                <w:color w:val="1A1A2E"/>
                <w:sz w:val="18"/>
                <w:szCs w:val="18"/>
              </w:rPr>
              <w:t xml:space="preserve">AI-assisted RCA + fix recommendation</w:t>
            </w:r>
          </w:p>
        </w:tc>
        <w:tc>
          <w:tcPr>
            <w:shd w:fill="FFFFFF" w:val="clear"/>
          </w:tcPr>
          <w:p>
            <w:r>
              <w:rPr>
                <w:b/>
                <w:bCs/>
                <w:color w:val="1A7F37"/>
                <w:sz w:val="18"/>
                <w:szCs w:val="18"/>
              </w:rPr>
              <w:t xml:space="preserve">35–50%</w:t>
            </w:r>
          </w:p>
        </w:tc>
      </w:tr>
      <w:tr>
        <w:tc>
          <w:tcPr>
            <w:shd w:fill="EEF3FB" w:val="clear"/>
          </w:tcPr>
          <w:p>
            <w:r>
              <w:rPr>
                <w:b w:val="false"/>
                <w:bCs w:val="false"/>
                <w:color w:val="1A1A2E"/>
                <w:sz w:val="18"/>
                <w:szCs w:val="18"/>
              </w:rPr>
              <w:t xml:space="preserve">Change Request Delivery</w:t>
            </w:r>
          </w:p>
        </w:tc>
        <w:tc>
          <w:tcPr>
            <w:shd w:fill="EEF3FB" w:val="clear"/>
          </w:tcPr>
          <w:p>
            <w:r>
              <w:rPr>
                <w:b w:val="false"/>
                <w:bCs w:val="false"/>
                <w:color w:val="1A1A2E"/>
                <w:sz w:val="18"/>
                <w:szCs w:val="18"/>
              </w:rPr>
              <w:t xml:space="preserve">Manual CR dev + test</w:t>
            </w:r>
          </w:p>
        </w:tc>
        <w:tc>
          <w:tcPr>
            <w:shd w:fill="EEF3FB" w:val="clear"/>
          </w:tcPr>
          <w:p>
            <w:r>
              <w:rPr>
                <w:b w:val="false"/>
                <w:bCs w:val="false"/>
                <w:color w:val="1A1A2E"/>
                <w:sz w:val="18"/>
                <w:szCs w:val="18"/>
              </w:rPr>
              <w:t xml:space="preserve">AI-accelerated dev + auto-test</w:t>
            </w:r>
          </w:p>
        </w:tc>
        <w:tc>
          <w:tcPr>
            <w:shd w:fill="EEF3FB" w:val="clear"/>
          </w:tcPr>
          <w:p>
            <w:r>
              <w:rPr>
                <w:b/>
                <w:bCs/>
                <w:color w:val="1A7F37"/>
                <w:sz w:val="18"/>
                <w:szCs w:val="18"/>
              </w:rPr>
              <w:t xml:space="preserve">35–50%</w:t>
            </w:r>
          </w:p>
        </w:tc>
      </w:tr>
      <w:tr>
        <w:tc>
          <w:tcPr>
            <w:shd w:fill="FFFFFF" w:val="clear"/>
          </w:tcPr>
          <w:p>
            <w:r>
              <w:rPr>
                <w:b w:val="false"/>
                <w:bCs w:val="false"/>
                <w:color w:val="1A1A2E"/>
                <w:sz w:val="18"/>
                <w:szCs w:val="18"/>
              </w:rPr>
              <w:t xml:space="preserve">Quarterly Patch Mgmt</w:t>
            </w:r>
          </w:p>
        </w:tc>
        <w:tc>
          <w:tcPr>
            <w:shd w:fill="FFFFFF" w:val="clear"/>
          </w:tcPr>
          <w:p>
            <w:r>
              <w:rPr>
                <w:b w:val="false"/>
                <w:bCs w:val="false"/>
                <w:color w:val="1A1A2E"/>
                <w:sz w:val="18"/>
                <w:szCs w:val="18"/>
              </w:rPr>
              <w:t xml:space="preserve">Full regression cycle</w:t>
            </w:r>
          </w:p>
        </w:tc>
        <w:tc>
          <w:tcPr>
            <w:shd w:fill="FFFFFF" w:val="clear"/>
          </w:tcPr>
          <w:p>
            <w:r>
              <w:rPr>
                <w:b w:val="false"/>
                <w:bCs w:val="false"/>
                <w:color w:val="1A1A2E"/>
                <w:sz w:val="18"/>
                <w:szCs w:val="18"/>
              </w:rPr>
              <w:t xml:space="preserve">AI-scoped selective regression</w:t>
            </w:r>
          </w:p>
        </w:tc>
        <w:tc>
          <w:tcPr>
            <w:shd w:fill="FFFFFF" w:val="clear"/>
          </w:tcPr>
          <w:p>
            <w:r>
              <w:rPr>
                <w:b/>
                <w:bCs/>
                <w:color w:val="1A7F37"/>
                <w:sz w:val="18"/>
                <w:szCs w:val="18"/>
              </w:rPr>
              <w:t xml:space="preserve">50–60%</w:t>
            </w:r>
          </w:p>
        </w:tc>
      </w:tr>
      <w:tr>
        <w:tc>
          <w:tcPr>
            <w:shd w:fill="EEF3FB" w:val="clear"/>
          </w:tcPr>
          <w:p>
            <w:r>
              <w:rPr>
                <w:b w:val="false"/>
                <w:bCs w:val="false"/>
                <w:color w:val="1A1A2E"/>
                <w:sz w:val="18"/>
                <w:szCs w:val="18"/>
              </w:rPr>
              <w:t xml:space="preserve">Problem Management</w:t>
            </w:r>
          </w:p>
        </w:tc>
        <w:tc>
          <w:tcPr>
            <w:shd w:fill="EEF3FB" w:val="clear"/>
          </w:tcPr>
          <w:p>
            <w:r>
              <w:rPr>
                <w:b w:val="false"/>
                <w:bCs w:val="false"/>
                <w:color w:val="1A1A2E"/>
                <w:sz w:val="18"/>
                <w:szCs w:val="18"/>
              </w:rPr>
              <w:t xml:space="preserve">Weekly problem reviews</w:t>
            </w:r>
          </w:p>
        </w:tc>
        <w:tc>
          <w:tcPr>
            <w:shd w:fill="EEF3FB" w:val="clear"/>
          </w:tcPr>
          <w:p>
            <w:r>
              <w:rPr>
                <w:b w:val="false"/>
                <w:bCs w:val="false"/>
                <w:color w:val="1A1A2E"/>
                <w:sz w:val="18"/>
                <w:szCs w:val="18"/>
              </w:rPr>
              <w:t xml:space="preserve">AI continuous correlation</w:t>
            </w:r>
          </w:p>
        </w:tc>
        <w:tc>
          <w:tcPr>
            <w:shd w:fill="EEF3FB" w:val="clear"/>
          </w:tcPr>
          <w:p>
            <w:r>
              <w:rPr>
                <w:b/>
                <w:bCs/>
                <w:color w:val="1A7F37"/>
                <w:sz w:val="18"/>
                <w:szCs w:val="18"/>
              </w:rPr>
              <w:t xml:space="preserve">40–55%</w:t>
            </w:r>
          </w:p>
        </w:tc>
      </w:tr>
    </w:tbl>
    <w:p>
      <w:pPr>
        <w:spacing w:after="120" w:before="80" w:line="276"/>
      </w:pPr>
      <w:r>
        <w:rPr>
          <w:color w:val="1A1A2E"/>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70"/>
          <w:left w:type="dxa" w:w="226"/>
          <w:bottom w:type="dxa" w:w="170"/>
          <w:right w:type="dxa" w:w="226"/>
        </w:tblCellMar>
      </w:tblPr>
      <w:tblGrid>
        <w:gridCol w:w="100"/>
      </w:tblGrid>
      <w:tr>
        <w:tc>
          <w:tcPr>
            <w:tcBorders>
              <w:top w:val="thick" w:color="E8A020" w:sz="8"/>
              <w:left w:val="thick" w:color="E8A020" w:sz="8"/>
              <w:bottom w:val="none"/>
              <w:right w:val="none"/>
            </w:tcBorders>
            <w:shd w:fill="EEF3FB" w:val="clear"/>
          </w:tcPr>
          <w:p>
            <w:r>
              <w:rPr>
                <w:b/>
                <w:bCs/>
                <w:color w:val="E8A020"/>
                <w:sz w:val="20"/>
                <w:szCs w:val="20"/>
              </w:rPr>
              <w:t xml:space="preserve">⚡ AMS Commercial Model Shift</w:t>
            </w:r>
          </w:p>
          <w:p>
            <w:pPr>
              <w:spacing w:before="60"/>
            </w:pPr>
            <w:r>
              <w:rPr>
                <w:color w:val="1A1A2E"/>
                <w:sz w:val="19"/>
                <w:szCs w:val="19"/>
              </w:rPr>
              <w:t xml:space="preserve">AI forces a rethinking of AMS commercial models. Pure FTE-based pricing is unsustainable when AI doubles or triples productivity. Move toward outcome-based SLAs (MTTR, first-call-resolution rate, system availability) rather than input-based (number of FTEs). Clients increasingly expect AI productivity gains to be passed through as cost reductions — typically 20–35% in year 1, growing as AI matures.</w:t>
            </w:r>
          </w:p>
        </w:tc>
      </w:tr>
    </w:tbl>
    <w:p>
      <w:pPr>
        <w:spacing w:after="120" w:before="80" w:line="276"/>
      </w:pPr>
      <w:r>
        <w:rPr>
          <w:color w:val="1A1A2E"/>
          <w:sz w:val="20"/>
          <w:szCs w:val="20"/>
        </w:rPr>
        <w:t xml:space="preserve"/>
      </w:r>
    </w:p>
    <w:p>
      <w:pPr>
        <w:pStyle w:val="Heading3"/>
        <w:spacing w:after="120" w:before="300"/>
      </w:pPr>
      <w:r>
        <w:rPr>
          <w:b/>
          <w:bCs/>
          <w:color w:val="1F3F8F"/>
          <w:sz w:val="24"/>
          <w:szCs w:val="24"/>
        </w:rPr>
        <w:t xml:space="preserve">New AMS Roles in the AI Era</w:t>
      </w:r>
    </w:p>
    <w:p>
      <w:pPr>
        <w:pStyle w:val="ListParagraph"/>
        <w:numPr>
          <w:ilvl w:val="0"/>
          <w:numId w:val="1"/>
        </w:numPr>
        <w:spacing w:after="60" w:before="60"/>
      </w:pPr>
      <w:r>
        <w:rPr>
          <w:color w:val="1A1A2E"/>
          <w:sz w:val="20"/>
          <w:szCs w:val="20"/>
        </w:rPr>
        <w:t xml:space="preserve">AI Operations Manager: governs AI tooling, prompt libraries, and AI output quality on the AMS program.</w:t>
      </w:r>
    </w:p>
    <w:p>
      <w:pPr>
        <w:pStyle w:val="ListParagraph"/>
        <w:numPr>
          <w:ilvl w:val="0"/>
          <w:numId w:val="1"/>
        </w:numPr>
        <w:spacing w:after="60" w:before="60"/>
      </w:pPr>
      <w:r>
        <w:rPr>
          <w:color w:val="1A1A2E"/>
          <w:sz w:val="20"/>
          <w:szCs w:val="20"/>
        </w:rPr>
        <w:t xml:space="preserve">Knowledge Engineer: maintains and curates the AI knowledge base with verified resolutions.</w:t>
      </w:r>
    </w:p>
    <w:p>
      <w:pPr>
        <w:pStyle w:val="ListParagraph"/>
        <w:numPr>
          <w:ilvl w:val="0"/>
          <w:numId w:val="1"/>
        </w:numPr>
        <w:spacing w:after="60" w:before="60"/>
      </w:pPr>
      <w:r>
        <w:rPr>
          <w:color w:val="1A1A2E"/>
          <w:sz w:val="20"/>
          <w:szCs w:val="20"/>
        </w:rPr>
        <w:t xml:space="preserve">Automation Engineer: builds and maintains AI-powered automation scripts and virtual agents.</w:t>
      </w:r>
    </w:p>
    <w:p>
      <w:pPr>
        <w:pStyle w:val="ListParagraph"/>
        <w:numPr>
          <w:ilvl w:val="0"/>
          <w:numId w:val="1"/>
        </w:numPr>
        <w:spacing w:after="60" w:before="60"/>
      </w:pPr>
      <w:r>
        <w:rPr>
          <w:color w:val="1A1A2E"/>
          <w:sz w:val="20"/>
          <w:szCs w:val="20"/>
        </w:rPr>
        <w:t xml:space="preserve">Reduction in traditional L1 agents; increase in L2/L3 specialists who handle AI-escalated complex issues.</w:t>
      </w:r>
    </w:p>
    <w:p>
      <w:r>
        <w:br w:type="page"/>
      </w:r>
    </w:p>
    <w:p>
      <w:pPr>
        <w:sectPr>
          <w:pgSz w:w="11906" w:h="16838" w:orient="portrait"/>
          <w:pgMar w:top="1440" w:right="1440" w:bottom="1440" w:left="1440" w:header="708" w:footer="708" w:gutter="0"/>
          <w:pgNumType/>
          <w:docGrid w:linePitch="360"/>
        </w:sectPr>
      </w:pPr>
    </w:p>
    <w:p>
      <w:pPr>
        <w:pStyle w:val="Heading1"/>
        <w:spacing w:after="120" w:before="300"/>
      </w:pPr>
      <w:r>
        <w:rPr>
          <w:b/>
          <w:bCs/>
          <w:color w:val="1F3F8F"/>
          <w:sz w:val="36"/>
          <w:szCs w:val="36"/>
        </w:rPr>
        <w:t xml:space="preserve">Conclusion &amp; AI Maturity Roadmap</w:t>
      </w:r>
    </w:p>
    <w:p>
      <w:pPr>
        <w:spacing w:after="120" w:before="80" w:line="276"/>
      </w:pPr>
      <w:r>
        <w:rPr>
          <w:color w:val="1A1A2E"/>
          <w:sz w:val="20"/>
          <w:szCs w:val="20"/>
        </w:rPr>
        <w:t xml:space="preserve"/>
      </w:r>
    </w:p>
    <w:p>
      <w:pPr>
        <w:spacing w:after="120" w:before="80" w:line="276"/>
      </w:pPr>
      <w:r>
        <w:rPr>
          <w:color w:val="1A1A2E"/>
          <w:sz w:val="20"/>
          <w:szCs w:val="20"/>
        </w:rPr>
        <w:t xml:space="preserve">AI is not a future consideration for Oracle program delivery — it is a present competitive imperative. Organisations and delivery partners who fail to integrate AI into their Oracle SDLC practices will face increasing cost and timeline disadvantages versus AI-augmented competitors.</w:t>
      </w:r>
    </w:p>
    <w:p>
      <w:pPr>
        <w:spacing w:after="120" w:before="80" w:line="276"/>
      </w:pPr>
      <w:r>
        <w:rPr>
          <w:color w:val="1A1A2E"/>
          <w:sz w:val="20"/>
          <w:szCs w:val="20"/>
        </w:rPr>
        <w:t xml:space="preserve"/>
      </w:r>
    </w:p>
    <w:p>
      <w:pPr>
        <w:pStyle w:val="Heading2"/>
        <w:spacing w:after="120" w:before="300"/>
      </w:pPr>
      <w:r>
        <w:rPr>
          <w:b/>
          <w:bCs/>
          <w:color w:val="1F3F8F"/>
          <w:sz w:val="28"/>
          <w:szCs w:val="28"/>
        </w:rPr>
        <w:t xml:space="preserve">Overall Effort Reduction Summary by Program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400"/>
        <w:gridCol w:w="1500"/>
      </w:tblGrid>
      <w:tr>
        <w:trPr>
          <w:tblHeader/>
        </w:trPr>
        <w:tc>
          <w:tcPr>
            <w:shd w:fill="2E86AB" w:val="clear"/>
          </w:tcPr>
          <w:p>
            <w:pPr>
              <w:jc w:val="center"/>
            </w:pPr>
            <w:r>
              <w:rPr>
                <w:b/>
                <w:bCs/>
                <w:color w:val="FFFFFF"/>
                <w:sz w:val="18"/>
                <w:szCs w:val="18"/>
              </w:rPr>
              <w:t xml:space="preserve">Work Stream</w:t>
            </w:r>
          </w:p>
        </w:tc>
        <w:tc>
          <w:tcPr>
            <w:shd w:fill="2E86AB" w:val="clear"/>
          </w:tcPr>
          <w:p>
            <w:pPr>
              <w:jc w:val="center"/>
            </w:pPr>
            <w:r>
              <w:rPr>
                <w:b/>
                <w:bCs/>
                <w:color w:val="FFFFFF"/>
                <w:sz w:val="18"/>
                <w:szCs w:val="18"/>
              </w:rPr>
              <w:t xml:space="preserve">Traditional Estimate</w:t>
            </w:r>
          </w:p>
        </w:tc>
        <w:tc>
          <w:tcPr>
            <w:shd w:fill="2E86AB" w:val="clear"/>
          </w:tcPr>
          <w:p>
            <w:pPr>
              <w:jc w:val="center"/>
            </w:pPr>
            <w:r>
              <w:rPr>
                <w:b/>
                <w:bCs/>
                <w:color w:val="FFFFFF"/>
                <w:sz w:val="18"/>
                <w:szCs w:val="18"/>
              </w:rPr>
              <w:t xml:space="preserve">AI-Assisted Estimate</w:t>
            </w:r>
          </w:p>
        </w:tc>
        <w:tc>
          <w:tcPr>
            <w:shd w:fill="2E86AB" w:val="clear"/>
          </w:tcPr>
          <w:p>
            <w:pPr>
              <w:jc w:val="center"/>
            </w:pPr>
            <w:r>
              <w:rPr>
                <w:b/>
                <w:bCs/>
                <w:color w:val="FFFFFF"/>
                <w:sz w:val="18"/>
                <w:szCs w:val="18"/>
              </w:rPr>
              <w:t xml:space="preserve">Saving %</w:t>
            </w:r>
          </w:p>
        </w:tc>
      </w:tr>
      <w:tr>
        <w:tc>
          <w:tcPr>
            <w:shd w:fill="EEF3FB" w:val="clear"/>
          </w:tcPr>
          <w:p>
            <w:r>
              <w:rPr>
                <w:b w:val="false"/>
                <w:bCs w:val="false"/>
                <w:color w:val="1A1A2E"/>
                <w:sz w:val="18"/>
                <w:szCs w:val="18"/>
              </w:rPr>
              <w:t xml:space="preserve">Oracle ECC Implementation</w:t>
            </w:r>
          </w:p>
        </w:tc>
        <w:tc>
          <w:tcPr>
            <w:shd w:fill="EEF3FB" w:val="clear"/>
          </w:tcPr>
          <w:p>
            <w:r>
              <w:rPr>
                <w:b w:val="false"/>
                <w:bCs w:val="false"/>
                <w:color w:val="1A1A2E"/>
                <w:sz w:val="18"/>
                <w:szCs w:val="18"/>
              </w:rPr>
              <w:t xml:space="preserve">~15,000–25,000 hrs typical</w:t>
            </w:r>
          </w:p>
        </w:tc>
        <w:tc>
          <w:tcPr>
            <w:shd w:fill="EEF3FB" w:val="clear"/>
          </w:tcPr>
          <w:p>
            <w:r>
              <w:rPr>
                <w:b w:val="false"/>
                <w:bCs w:val="false"/>
                <w:color w:val="1A1A2E"/>
                <w:sz w:val="18"/>
                <w:szCs w:val="18"/>
              </w:rPr>
              <w:t xml:space="preserve">~8,500–15,000 hrs</w:t>
            </w:r>
          </w:p>
        </w:tc>
        <w:tc>
          <w:tcPr>
            <w:shd w:fill="EEF3FB" w:val="clear"/>
          </w:tcPr>
          <w:p>
            <w:r>
              <w:rPr>
                <w:b/>
                <w:bCs/>
                <w:color w:val="1A7F37"/>
                <w:sz w:val="18"/>
                <w:szCs w:val="18"/>
              </w:rPr>
              <w:t xml:space="preserve">35–42%</w:t>
            </w:r>
          </w:p>
        </w:tc>
      </w:tr>
      <w:tr>
        <w:tc>
          <w:tcPr>
            <w:shd w:fill="FFFFFF" w:val="clear"/>
          </w:tcPr>
          <w:p>
            <w:r>
              <w:rPr>
                <w:b w:val="false"/>
                <w:bCs w:val="false"/>
                <w:color w:val="1A1A2E"/>
                <w:sz w:val="18"/>
                <w:szCs w:val="18"/>
              </w:rPr>
              <w:t xml:space="preserve">Oracle ECC Upgrade (R12→12.2)</w:t>
            </w:r>
          </w:p>
        </w:tc>
        <w:tc>
          <w:tcPr>
            <w:shd w:fill="FFFFFF" w:val="clear"/>
          </w:tcPr>
          <w:p>
            <w:r>
              <w:rPr>
                <w:b w:val="false"/>
                <w:bCs w:val="false"/>
                <w:color w:val="1A1A2E"/>
                <w:sz w:val="18"/>
                <w:szCs w:val="18"/>
              </w:rPr>
              <w:t xml:space="preserve">~8,000–15,000 hrs typical</w:t>
            </w:r>
          </w:p>
        </w:tc>
        <w:tc>
          <w:tcPr>
            <w:shd w:fill="FFFFFF" w:val="clear"/>
          </w:tcPr>
          <w:p>
            <w:r>
              <w:rPr>
                <w:b w:val="false"/>
                <w:bCs w:val="false"/>
                <w:color w:val="1A1A2E"/>
                <w:sz w:val="18"/>
                <w:szCs w:val="18"/>
              </w:rPr>
              <w:t xml:space="preserve">~4,500–8,500 hrs</w:t>
            </w:r>
          </w:p>
        </w:tc>
        <w:tc>
          <w:tcPr>
            <w:shd w:fill="FFFFFF" w:val="clear"/>
          </w:tcPr>
          <w:p>
            <w:r>
              <w:rPr>
                <w:b/>
                <w:bCs/>
                <w:color w:val="1A7F37"/>
                <w:sz w:val="18"/>
                <w:szCs w:val="18"/>
              </w:rPr>
              <w:t xml:space="preserve">40–45%</w:t>
            </w:r>
          </w:p>
        </w:tc>
      </w:tr>
      <w:tr>
        <w:tc>
          <w:tcPr>
            <w:shd w:fill="EEF3FB" w:val="clear"/>
          </w:tcPr>
          <w:p>
            <w:r>
              <w:rPr>
                <w:b w:val="false"/>
                <w:bCs w:val="false"/>
                <w:color w:val="1A1A2E"/>
                <w:sz w:val="18"/>
                <w:szCs w:val="18"/>
              </w:rPr>
              <w:t xml:space="preserve">EBS → Fusion Migration</w:t>
            </w:r>
          </w:p>
        </w:tc>
        <w:tc>
          <w:tcPr>
            <w:shd w:fill="EEF3FB" w:val="clear"/>
          </w:tcPr>
          <w:p>
            <w:r>
              <w:rPr>
                <w:b w:val="false"/>
                <w:bCs w:val="false"/>
                <w:color w:val="1A1A2E"/>
                <w:sz w:val="18"/>
                <w:szCs w:val="18"/>
              </w:rPr>
              <w:t xml:space="preserve">~20,000–40,000 hrs typical</w:t>
            </w:r>
          </w:p>
        </w:tc>
        <w:tc>
          <w:tcPr>
            <w:shd w:fill="EEF3FB" w:val="clear"/>
          </w:tcPr>
          <w:p>
            <w:r>
              <w:rPr>
                <w:b w:val="false"/>
                <w:bCs w:val="false"/>
                <w:color w:val="1A1A2E"/>
                <w:sz w:val="18"/>
                <w:szCs w:val="18"/>
              </w:rPr>
              <w:t xml:space="preserve">~10,000–22,000 hrs</w:t>
            </w:r>
          </w:p>
        </w:tc>
        <w:tc>
          <w:tcPr>
            <w:shd w:fill="EEF3FB" w:val="clear"/>
          </w:tcPr>
          <w:p>
            <w:r>
              <w:rPr>
                <w:b/>
                <w:bCs/>
                <w:color w:val="1A7F37"/>
                <w:sz w:val="18"/>
                <w:szCs w:val="18"/>
              </w:rPr>
              <w:t xml:space="preserve">42–50%</w:t>
            </w:r>
          </w:p>
        </w:tc>
      </w:tr>
      <w:tr>
        <w:tc>
          <w:tcPr>
            <w:shd w:fill="FFFFFF" w:val="clear"/>
          </w:tcPr>
          <w:p>
            <w:r>
              <w:rPr>
                <w:b w:val="false"/>
                <w:bCs w:val="false"/>
                <w:color w:val="1A1A2E"/>
                <w:sz w:val="18"/>
                <w:szCs w:val="18"/>
              </w:rPr>
              <w:t xml:space="preserve">PeopleSoft Implementation</w:t>
            </w:r>
          </w:p>
        </w:tc>
        <w:tc>
          <w:tcPr>
            <w:shd w:fill="FFFFFF" w:val="clear"/>
          </w:tcPr>
          <w:p>
            <w:r>
              <w:rPr>
                <w:b w:val="false"/>
                <w:bCs w:val="false"/>
                <w:color w:val="1A1A2E"/>
                <w:sz w:val="18"/>
                <w:szCs w:val="18"/>
              </w:rPr>
              <w:t xml:space="preserve">~12,000–22,000 hrs typical</w:t>
            </w:r>
          </w:p>
        </w:tc>
        <w:tc>
          <w:tcPr>
            <w:shd w:fill="FFFFFF" w:val="clear"/>
          </w:tcPr>
          <w:p>
            <w:r>
              <w:rPr>
                <w:b w:val="false"/>
                <w:bCs w:val="false"/>
                <w:color w:val="1A1A2E"/>
                <w:sz w:val="18"/>
                <w:szCs w:val="18"/>
              </w:rPr>
              <w:t xml:space="preserve">~6,500–12,500 hrs</w:t>
            </w:r>
          </w:p>
        </w:tc>
        <w:tc>
          <w:tcPr>
            <w:shd w:fill="FFFFFF" w:val="clear"/>
          </w:tcPr>
          <w:p>
            <w:r>
              <w:rPr>
                <w:b/>
                <w:bCs/>
                <w:color w:val="1A7F37"/>
                <w:sz w:val="18"/>
                <w:szCs w:val="18"/>
              </w:rPr>
              <w:t xml:space="preserve">42–48%</w:t>
            </w:r>
          </w:p>
        </w:tc>
      </w:tr>
      <w:tr>
        <w:tc>
          <w:tcPr>
            <w:shd w:fill="EEF3FB" w:val="clear"/>
          </w:tcPr>
          <w:p>
            <w:r>
              <w:rPr>
                <w:b w:val="false"/>
                <w:bCs w:val="false"/>
                <w:color w:val="1A1A2E"/>
                <w:sz w:val="18"/>
                <w:szCs w:val="18"/>
              </w:rPr>
              <w:t xml:space="preserve">Siebel Upgrade</w:t>
            </w:r>
          </w:p>
        </w:tc>
        <w:tc>
          <w:tcPr>
            <w:shd w:fill="EEF3FB" w:val="clear"/>
          </w:tcPr>
          <w:p>
            <w:r>
              <w:rPr>
                <w:b w:val="false"/>
                <w:bCs w:val="false"/>
                <w:color w:val="1A1A2E"/>
                <w:sz w:val="18"/>
                <w:szCs w:val="18"/>
              </w:rPr>
              <w:t xml:space="preserve">~10,000–20,000 hrs typical</w:t>
            </w:r>
          </w:p>
        </w:tc>
        <w:tc>
          <w:tcPr>
            <w:shd w:fill="EEF3FB" w:val="clear"/>
          </w:tcPr>
          <w:p>
            <w:r>
              <w:rPr>
                <w:b w:val="false"/>
                <w:bCs w:val="false"/>
                <w:color w:val="1A1A2E"/>
                <w:sz w:val="18"/>
                <w:szCs w:val="18"/>
              </w:rPr>
              <w:t xml:space="preserve">~5,000–10,500 hrs</w:t>
            </w:r>
          </w:p>
        </w:tc>
        <w:tc>
          <w:tcPr>
            <w:shd w:fill="EEF3FB" w:val="clear"/>
          </w:tcPr>
          <w:p>
            <w:r>
              <w:rPr>
                <w:b/>
                <w:bCs/>
                <w:color w:val="1A7F37"/>
                <w:sz w:val="18"/>
                <w:szCs w:val="18"/>
              </w:rPr>
              <w:t xml:space="preserve">47–53%</w:t>
            </w:r>
          </w:p>
        </w:tc>
      </w:tr>
      <w:tr>
        <w:tc>
          <w:tcPr>
            <w:shd w:fill="FFFFFF" w:val="clear"/>
          </w:tcPr>
          <w:p>
            <w:r>
              <w:rPr>
                <w:b w:val="false"/>
                <w:bCs w:val="false"/>
                <w:color w:val="1A1A2E"/>
                <w:sz w:val="18"/>
                <w:szCs w:val="18"/>
              </w:rPr>
              <w:t xml:space="preserve">Oracle CX Implementation</w:t>
            </w:r>
          </w:p>
        </w:tc>
        <w:tc>
          <w:tcPr>
            <w:shd w:fill="FFFFFF" w:val="clear"/>
          </w:tcPr>
          <w:p>
            <w:r>
              <w:rPr>
                <w:b w:val="false"/>
                <w:bCs w:val="false"/>
                <w:color w:val="1A1A2E"/>
                <w:sz w:val="18"/>
                <w:szCs w:val="18"/>
              </w:rPr>
              <w:t xml:space="preserve">~6,000–12,000 hrs typical</w:t>
            </w:r>
          </w:p>
        </w:tc>
        <w:tc>
          <w:tcPr>
            <w:shd w:fill="FFFFFF" w:val="clear"/>
          </w:tcPr>
          <w:p>
            <w:r>
              <w:rPr>
                <w:b w:val="false"/>
                <w:bCs w:val="false"/>
                <w:color w:val="1A1A2E"/>
                <w:sz w:val="18"/>
                <w:szCs w:val="18"/>
              </w:rPr>
              <w:t xml:space="preserve">~3,000–6,500 hrs</w:t>
            </w:r>
          </w:p>
        </w:tc>
        <w:tc>
          <w:tcPr>
            <w:shd w:fill="FFFFFF" w:val="clear"/>
          </w:tcPr>
          <w:p>
            <w:r>
              <w:rPr>
                <w:b/>
                <w:bCs/>
                <w:color w:val="1A7F37"/>
                <w:sz w:val="18"/>
                <w:szCs w:val="18"/>
              </w:rPr>
              <w:t xml:space="preserve">45–50%</w:t>
            </w:r>
          </w:p>
        </w:tc>
      </w:tr>
      <w:tr>
        <w:tc>
          <w:tcPr>
            <w:shd w:fill="EEF3FB" w:val="clear"/>
          </w:tcPr>
          <w:p>
            <w:r>
              <w:rPr>
                <w:b w:val="false"/>
                <w:bCs w:val="false"/>
                <w:color w:val="1A1A2E"/>
                <w:sz w:val="18"/>
                <w:szCs w:val="18"/>
              </w:rPr>
              <w:t xml:space="preserve">Oracle Fusion Cloud (Greenfield)</w:t>
            </w:r>
          </w:p>
        </w:tc>
        <w:tc>
          <w:tcPr>
            <w:shd w:fill="EEF3FB" w:val="clear"/>
          </w:tcPr>
          <w:p>
            <w:r>
              <w:rPr>
                <w:b w:val="false"/>
                <w:bCs w:val="false"/>
                <w:color w:val="1A1A2E"/>
                <w:sz w:val="18"/>
                <w:szCs w:val="18"/>
              </w:rPr>
              <w:t xml:space="preserve">~15,000–35,000 hrs typical</w:t>
            </w:r>
          </w:p>
        </w:tc>
        <w:tc>
          <w:tcPr>
            <w:shd w:fill="EEF3FB" w:val="clear"/>
          </w:tcPr>
          <w:p>
            <w:r>
              <w:rPr>
                <w:b w:val="false"/>
                <w:bCs w:val="false"/>
                <w:color w:val="1A1A2E"/>
                <w:sz w:val="18"/>
                <w:szCs w:val="18"/>
              </w:rPr>
              <w:t xml:space="preserve">~7,500–18,000 hrs</w:t>
            </w:r>
          </w:p>
        </w:tc>
        <w:tc>
          <w:tcPr>
            <w:shd w:fill="EEF3FB" w:val="clear"/>
          </w:tcPr>
          <w:p>
            <w:r>
              <w:rPr>
                <w:b/>
                <w:bCs/>
                <w:color w:val="1A7F37"/>
                <w:sz w:val="18"/>
                <w:szCs w:val="18"/>
              </w:rPr>
              <w:t xml:space="preserve">47–52%</w:t>
            </w:r>
          </w:p>
        </w:tc>
      </w:tr>
      <w:tr>
        <w:tc>
          <w:tcPr>
            <w:shd w:fill="FFFFFF" w:val="clear"/>
          </w:tcPr>
          <w:p>
            <w:r>
              <w:rPr>
                <w:b w:val="false"/>
                <w:bCs w:val="false"/>
                <w:color w:val="1A1A2E"/>
                <w:sz w:val="18"/>
                <w:szCs w:val="18"/>
              </w:rPr>
              <w:t xml:space="preserve">AMS Program (Annual FTE)</w:t>
            </w:r>
          </w:p>
        </w:tc>
        <w:tc>
          <w:tcPr>
            <w:shd w:fill="FFFFFF" w:val="clear"/>
          </w:tcPr>
          <w:p>
            <w:r>
              <w:rPr>
                <w:b w:val="false"/>
                <w:bCs w:val="false"/>
                <w:color w:val="1A1A2E"/>
                <w:sz w:val="18"/>
                <w:szCs w:val="18"/>
              </w:rPr>
              <w:t xml:space="preserve">~8,000–15,000 hrs/yr typical</w:t>
            </w:r>
          </w:p>
        </w:tc>
        <w:tc>
          <w:tcPr>
            <w:shd w:fill="FFFFFF" w:val="clear"/>
          </w:tcPr>
          <w:p>
            <w:r>
              <w:rPr>
                <w:b w:val="false"/>
                <w:bCs w:val="false"/>
                <w:color w:val="1A1A2E"/>
                <w:sz w:val="18"/>
                <w:szCs w:val="18"/>
              </w:rPr>
              <w:t xml:space="preserve">~4,500–9,000 hrs/yr</w:t>
            </w:r>
          </w:p>
        </w:tc>
        <w:tc>
          <w:tcPr>
            <w:shd w:fill="FFFFFF" w:val="clear"/>
          </w:tcPr>
          <w:p>
            <w:r>
              <w:rPr>
                <w:b/>
                <w:bCs/>
                <w:color w:val="1A7F37"/>
                <w:sz w:val="18"/>
                <w:szCs w:val="18"/>
              </w:rPr>
              <w:t xml:space="preserve">38–45%</w:t>
            </w:r>
          </w:p>
        </w:tc>
      </w:tr>
    </w:tbl>
    <w:p>
      <w:pPr>
        <w:spacing w:after="120" w:before="80" w:line="276"/>
      </w:pPr>
      <w:r>
        <w:rPr>
          <w:color w:val="1A1A2E"/>
          <w:sz w:val="20"/>
          <w:szCs w:val="20"/>
        </w:rPr>
        <w:t xml:space="preserve"/>
      </w:r>
    </w:p>
    <w:p>
      <w:pPr>
        <w:pStyle w:val="Heading2"/>
        <w:spacing w:after="120" w:before="300"/>
      </w:pPr>
      <w:r>
        <w:rPr>
          <w:b/>
          <w:bCs/>
          <w:color w:val="1F3F8F"/>
          <w:sz w:val="28"/>
          <w:szCs w:val="28"/>
        </w:rPr>
        <w:t xml:space="preserve">AI Maturity Roadmap for Oracle Delivery Teams</w:t>
      </w:r>
    </w:p>
    <w:p>
      <w:pPr>
        <w:pStyle w:val="ListParagraph"/>
        <w:numPr>
          <w:ilvl w:val="0"/>
          <w:numId w:val="1"/>
        </w:numPr>
        <w:spacing w:after="60" w:before="60"/>
      </w:pPr>
      <w:r>
        <w:rPr>
          <w:b/>
          <w:bCs/>
          <w:color w:val="1F3F8F"/>
          <w:sz w:val="20"/>
          <w:szCs w:val="20"/>
        </w:rPr>
        <w:t xml:space="preserve">Stage 1: </w:t>
      </w:r>
      <w:r>
        <w:rPr>
          <w:color w:val="1A1A2E"/>
          <w:sz w:val="20"/>
          <w:szCs w:val="20"/>
        </w:rPr>
        <w:t xml:space="preserve">Stage 1 — Foundational (0–6 months): Adopt AI code assistants (Copilot, Oracle Code Assist). Train all developers. Establish prompt libraries. Begin AI test case generation.</w:t>
      </w:r>
    </w:p>
    <w:p>
      <w:pPr>
        <w:pStyle w:val="ListParagraph"/>
        <w:numPr>
          <w:ilvl w:val="0"/>
          <w:numId w:val="1"/>
        </w:numPr>
        <w:spacing w:after="60" w:before="60"/>
      </w:pPr>
      <w:r>
        <w:rPr>
          <w:b/>
          <w:bCs/>
          <w:color w:val="1F3F8F"/>
          <w:sz w:val="20"/>
          <w:szCs w:val="20"/>
        </w:rPr>
        <w:t xml:space="preserve">Stage 2: </w:t>
      </w:r>
      <w:r>
        <w:rPr>
          <w:color w:val="1A1A2E"/>
          <w:sz w:val="20"/>
          <w:szCs w:val="20"/>
        </w:rPr>
        <w:t xml:space="preserve">Stage 2 — Accelerated (6–18 months): Implement AI-powered data migration tooling. Automate regression testing fully. Integrate AI into AMS ticket management. Begin AI-assisted configuration workbooks.</w:t>
      </w:r>
    </w:p>
    <w:p>
      <w:pPr>
        <w:pStyle w:val="ListParagraph"/>
        <w:numPr>
          <w:ilvl w:val="0"/>
          <w:numId w:val="1"/>
        </w:numPr>
        <w:spacing w:after="60" w:before="60"/>
      </w:pPr>
      <w:r>
        <w:rPr>
          <w:b/>
          <w:bCs/>
          <w:color w:val="1F3F8F"/>
          <w:sz w:val="20"/>
          <w:szCs w:val="20"/>
        </w:rPr>
        <w:t xml:space="preserve">Stage 3: </w:t>
      </w:r>
      <w:r>
        <w:rPr>
          <w:color w:val="1A1A2E"/>
          <w:sz w:val="20"/>
          <w:szCs w:val="20"/>
        </w:rPr>
        <w:t xml:space="preserve">Stage 3 — Transformative (18–36 months): Full AI-augmented estimation models. AI-driven project monitoring. Oracle embedded AI (Fusion AI Apps) as core delivery output. Outcome-based AMS commercials.</w:t>
      </w:r>
    </w:p>
    <w:p>
      <w:pPr>
        <w:pStyle w:val="ListParagraph"/>
        <w:numPr>
          <w:ilvl w:val="0"/>
          <w:numId w:val="1"/>
        </w:numPr>
        <w:spacing w:after="60" w:before="60"/>
      </w:pPr>
      <w:r>
        <w:rPr>
          <w:b/>
          <w:bCs/>
          <w:color w:val="1F3F8F"/>
          <w:sz w:val="20"/>
          <w:szCs w:val="20"/>
        </w:rPr>
        <w:t xml:space="preserve">Stage 4: </w:t>
      </w:r>
      <w:r>
        <w:rPr>
          <w:color w:val="1A1A2E"/>
          <w:sz w:val="20"/>
          <w:szCs w:val="20"/>
        </w:rPr>
        <w:t xml:space="preserve">Stage 4 — AI-Native Delivery (36+ months): AI orchestrates routine SDLC tasks autonomously. Human consultants focus on business judgement, stakeholder management, and complex problem solving. Delivery velocity 2–3x current benchmarks.</w:t>
      </w:r>
    </w:p>
    <w:p>
      <w:pPr>
        <w:spacing w:after="120" w:before="80" w:line="276"/>
      </w:pPr>
      <w:r>
        <w:rPr>
          <w:color w:val="1A1A2E"/>
          <w:sz w:val="20"/>
          <w:szCs w:val="20"/>
        </w:rPr>
        <w:t xml:space="preserve"/>
      </w:r>
    </w:p>
    <w:p>
      <w:pPr>
        <w:pStyle w:val="Heading2"/>
        <w:spacing w:after="120" w:before="300"/>
      </w:pPr>
      <w:r>
        <w:rPr>
          <w:b/>
          <w:bCs/>
          <w:color w:val="1F3F8F"/>
          <w:sz w:val="28"/>
          <w:szCs w:val="28"/>
        </w:rPr>
        <w:t xml:space="preserve">What AI Cannot Replace</w:t>
      </w:r>
    </w:p>
    <w:p>
      <w:pPr>
        <w:pStyle w:val="ListParagraph"/>
        <w:numPr>
          <w:ilvl w:val="0"/>
          <w:numId w:val="1"/>
        </w:numPr>
        <w:spacing w:after="60" w:before="60"/>
      </w:pPr>
      <w:r>
        <w:rPr>
          <w:color w:val="1A1A2E"/>
          <w:sz w:val="20"/>
          <w:szCs w:val="20"/>
        </w:rPr>
        <w:t xml:space="preserve">Business Process Expertise: AI cannot design better business processes without human understanding of organizational dynamics, political context, and strategic intent.</w:t>
      </w:r>
    </w:p>
    <w:p>
      <w:pPr>
        <w:pStyle w:val="ListParagraph"/>
        <w:numPr>
          <w:ilvl w:val="0"/>
          <w:numId w:val="1"/>
        </w:numPr>
        <w:spacing w:after="60" w:before="60"/>
      </w:pPr>
      <w:r>
        <w:rPr>
          <w:color w:val="1A1A2E"/>
          <w:sz w:val="20"/>
          <w:szCs w:val="20"/>
        </w:rPr>
        <w:t xml:space="preserve">Stakeholder Management: Change management, executive alignment, and user adoption remain fundamentally human activities.</w:t>
      </w:r>
    </w:p>
    <w:p>
      <w:pPr>
        <w:pStyle w:val="ListParagraph"/>
        <w:numPr>
          <w:ilvl w:val="0"/>
          <w:numId w:val="1"/>
        </w:numPr>
        <w:spacing w:after="60" w:before="60"/>
      </w:pPr>
      <w:r>
        <w:rPr>
          <w:color w:val="1A1A2E"/>
          <w:sz w:val="20"/>
          <w:szCs w:val="20"/>
        </w:rPr>
        <w:t xml:space="preserve">Oracle Product Roadmap Judgment: Deciding which Oracle capabilities to adopt, defer, or customise requires experienced Oracle architects.</w:t>
      </w:r>
    </w:p>
    <w:p>
      <w:pPr>
        <w:pStyle w:val="ListParagraph"/>
        <w:numPr>
          <w:ilvl w:val="0"/>
          <w:numId w:val="1"/>
        </w:numPr>
        <w:spacing w:after="60" w:before="60"/>
      </w:pPr>
      <w:r>
        <w:rPr>
          <w:color w:val="1A1A2E"/>
          <w:sz w:val="20"/>
          <w:szCs w:val="20"/>
        </w:rPr>
        <w:t xml:space="preserve">AI Output Validation: All AI-generated code, configuration, and documentation must be reviewed by subject matter experts. AI amplifies human capability; it does not replace human accountability.</w:t>
      </w:r>
    </w:p>
    <w:p>
      <w:pPr>
        <w:spacing w:after="120" w:before="80" w:line="276"/>
      </w:pPr>
      <w:r>
        <w:rPr>
          <w:color w:val="1A1A2E"/>
          <w:sz w:val="20"/>
          <w:szCs w:val="20"/>
        </w:rPr>
        <w:t xml:space="preserve"/>
      </w:r>
    </w:p>
    <w:p>
      <w:pPr>
        <w:pBdr>
          <w:bottom w:val="single" w:color="2E86AB" w:sz="6"/>
        </w:pBdr>
        <w:spacing w:after="200" w:before="200"/>
      </w:pPr>
    </w:p>
    <w:p>
      <w:pPr>
        <w:spacing w:before="200"/>
        <w:jc w:val="center"/>
      </w:pPr>
      <w:r>
        <w:rPr>
          <w:i/>
          <w:iCs/>
          <w:color w:val="888888"/>
          <w:sz w:val="18"/>
          <w:szCs w:val="18"/>
        </w:rPr>
        <w:t xml:space="preserve">Point of View — Oracle AI Impact | July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2026-07-12T14:30:11.714Z</dcterms:created>
  <dcterms:modified xsi:type="dcterms:W3CDTF">2026-07-12T14:30:11.727Z</dcterms:modified>
</cp:coreProperties>
</file>

<file path=docProps/custom.xml><?xml version="1.0" encoding="utf-8"?>
<Properties xmlns="http://schemas.openxmlformats.org/officeDocument/2006/custom-properties" xmlns:vt="http://schemas.openxmlformats.org/officeDocument/2006/docPropsVTypes"/>
</file>