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jc w:val="center"/>
      </w:pPr>
      <w:r>
        <w:rPr>
          <w:b/>
          <w:bCs/>
          <w:color w:val="E8A020"/>
          <w:sz w:val="22"/>
          <w:szCs w:val="22"/>
        </w:rPr>
        <w:t xml:space="preserve">POINT OF VIEW — ADDENDUM II</w:t>
      </w:r>
    </w:p>
    <w:p>
      <w:pPr>
        <w:spacing w:after="0" w:before="200"/>
      </w:pPr>
      <w:r>
        <w:t xml:space="preserve"/>
      </w:r>
    </w:p>
    <w:p>
      <w:pPr>
        <w:jc w:val="center"/>
      </w:pPr>
      <w:r>
        <w:rPr>
          <w:b/>
          <w:bCs/>
          <w:color w:val="1F3F8F"/>
          <w:sz w:val="42"/>
          <w:szCs w:val="42"/>
        </w:rPr>
        <w:t xml:space="preserve">Sizing Volumetrics in the AI Era:</w:t>
      </w:r>
    </w:p>
    <w:p>
      <w:pPr>
        <w:jc w:val="center"/>
      </w:pPr>
      <w:r>
        <w:rPr>
          <w:b/>
          <w:bCs/>
          <w:color w:val="1F3F8F"/>
          <w:sz w:val="36"/>
          <w:szCs w:val="36"/>
        </w:rPr>
        <w:t xml:space="preserve">Greenfield vs Brownfield Oracle Programs</w:t>
      </w:r>
    </w:p>
    <w:p>
      <w:pPr>
        <w:spacing w:after="0" w:before="300"/>
      </w:pPr>
      <w:r>
        <w:t xml:space="preserve"/>
      </w:r>
    </w:p>
    <w:p>
      <w:pPr>
        <w:jc w:val="center"/>
      </w:pPr>
      <w:r>
        <w:rPr>
          <w:color w:val="2E86AB"/>
          <w:sz w:val="20"/>
          <w:szCs w:val="20"/>
        </w:rPr>
        <w:t xml:space="preserve">Why sizing drivers, volumetric inputs, and measurement techniques are fundamentally different</w:t>
      </w:r>
    </w:p>
    <w:p>
      <w:pPr>
        <w:spacing w:after="0" w:before="500"/>
      </w:pPr>
      <w:r>
        <w:t xml:space="preserve"/>
      </w:r>
    </w:p>
    <w:p>
      <w:pPr>
        <w:pBdr>
          <w:bottom w:val="single" w:color="E8A020" w:sz="6"/>
        </w:pBdr>
        <w:spacing w:after="160" w:before="160"/>
      </w:pPr>
    </w:p>
    <w:p>
      <w:pPr>
        <w:spacing w:before="120"/>
        <w:jc w:val="center"/>
      </w:pPr>
      <w:r>
        <w:rPr>
          <w:color w:val="555577"/>
          <w:sz w:val="20"/>
          <w:szCs w:val="20"/>
        </w:rPr>
        <w:t xml:space="preserve">July 2026</w:t>
      </w:r>
    </w:p>
    <w:p>
      <w:r>
        <w:br w:type="page"/>
      </w:r>
    </w:p>
    <w:p>
      <w:pPr>
        <w:pStyle w:val="Heading1"/>
        <w:spacing w:after="100" w:before="240"/>
      </w:pPr>
      <w:r>
        <w:rPr>
          <w:b/>
          <w:bCs/>
          <w:color w:val="1F3F8F"/>
          <w:sz w:val="20"/>
          <w:szCs w:val="20"/>
        </w:rPr>
        <w:t xml:space="preserve">The Core Difference: What You Are Measuring</w:t>
      </w:r>
    </w:p>
    <w:p>
      <w:pPr>
        <w:spacing w:after="100" w:before="80" w:line="280"/>
      </w:pPr>
      <w:r>
        <w:rPr>
          <w:i w:val="false"/>
          <w:iCs w:val="false"/>
          <w:color w:val="1A1A2E"/>
          <w:sz w:val="20"/>
          <w:szCs w:val="20"/>
        </w:rPr>
        <w:t xml:space="preserve">In Greenfield, you are measuring the VOID — what needs to be built from scratch. In Brownfield, you are measuring the EXISTING SYSTEM — what already exists and how much of it needs to change, move, or be retired. These require completely different inputs, different data collection techniques, and different volumetric parameters.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86AB" w:sz="10"/>
              <w:left w:val="thick" w:color="2E86AB" w:sz="10"/>
              <w:bottom w:val="none"/>
              <w:right w:val="none"/>
            </w:tcBorders>
            <w:shd w:fill="EEF3FB" w:val="clear"/>
            <w:tcMar>
              <w:top w:type="dxa" w:w="170"/>
              <w:left w:type="dxa" w:w="283"/>
              <w:bottom w:type="dxa" w:w="170"/>
              <w:right w:type="dxa" w:w="283"/>
            </w:tcMar>
          </w:tcPr>
          <w:p>
            <w:pPr>
              <w:spacing w:after="80"/>
            </w:pPr>
            <w:r>
              <w:rPr>
                <w:b/>
                <w:bCs/>
                <w:color w:val="2E86AB"/>
                <w:sz w:val="20"/>
                <w:szCs w:val="20"/>
              </w:rPr>
              <w:t xml:space="preserve">⚡  The Fundamental Distinction</w:t>
            </w:r>
          </w:p>
          <w:p>
            <w:pPr>
              <w:spacing w:after="40" w:before="40" w:line="276"/>
            </w:pPr>
            <w:r>
              <w:rPr>
                <w:color w:val="1A1A2E"/>
                <w:sz w:val="19"/>
                <w:szCs w:val="19"/>
              </w:rPr>
              <w:t xml:space="preserve">GREENFIELD sizing answers: "How much do we need to CREATE?"</w:t>
            </w:r>
          </w:p>
          <w:p>
            <w:pPr>
              <w:spacing w:after="40" w:before="40" w:line="276"/>
            </w:pPr>
            <w:r>
              <w:rPr>
                <w:color w:val="1A1A2E"/>
                <w:sz w:val="19"/>
                <w:szCs w:val="19"/>
              </w:rPr>
              <w:t xml:space="preserve">  → Drivers: modules in scope, process complexity, object count, data volume to load</w:t>
            </w:r>
          </w:p>
          <w:p>
            <w:pPr>
              <w:spacing w:after="40" w:before="40" w:line="276"/>
            </w:pPr>
            <w:r>
              <w:rPr>
                <w:color w:val="1A1A2E"/>
                <w:sz w:val="19"/>
                <w:szCs w:val="19"/>
              </w:rPr>
              <w:t xml:space="preserve"/>
            </w:r>
          </w:p>
          <w:p>
            <w:pPr>
              <w:spacing w:after="40" w:before="40" w:line="276"/>
            </w:pPr>
            <w:r>
              <w:rPr>
                <w:color w:val="1A1A2E"/>
                <w:sz w:val="19"/>
                <w:szCs w:val="19"/>
              </w:rPr>
              <w:t xml:space="preserve">BROWNFIELD sizing answers: "How much exists, how much must CHANGE, and how much do we CARRY FORWARD?"</w:t>
            </w:r>
          </w:p>
          <w:p>
            <w:pPr>
              <w:spacing w:after="40" w:before="40" w:line="276"/>
            </w:pPr>
            <w:r>
              <w:rPr>
                <w:color w:val="1A1A2E"/>
                <w:sz w:val="19"/>
                <w:szCs w:val="19"/>
              </w:rPr>
              <w:t xml:space="preserve">  → Drivers: existing customisation footprint, data quality, delta between source and target,</w:t>
            </w:r>
          </w:p>
          <w:p>
            <w:pPr>
              <w:spacing w:after="40" w:before="40" w:line="276"/>
            </w:pPr>
            <w:r>
              <w:rPr>
                <w:color w:val="1A1A2E"/>
                <w:sz w:val="19"/>
                <w:szCs w:val="19"/>
              </w:rPr>
              <w:t xml:space="preserve">             volume of legacy objects to analyse, remediate, or retire</w:t>
            </w:r>
          </w:p>
          <w:p>
            <w:pPr>
              <w:spacing w:after="40" w:before="40" w:line="276"/>
            </w:pPr>
            <w:r>
              <w:rPr>
                <w:color w:val="1A1A2E"/>
                <w:sz w:val="19"/>
                <w:szCs w:val="19"/>
              </w:rPr>
              <w:t xml:space="preserve"/>
            </w:r>
          </w:p>
          <w:p>
            <w:pPr>
              <w:spacing w:after="40" w:before="40" w:line="276"/>
            </w:pPr>
            <w:r>
              <w:rPr>
                <w:color w:val="1A1A2E"/>
                <w:sz w:val="19"/>
                <w:szCs w:val="19"/>
              </w:rPr>
              <w:t xml:space="preserve">These are not the same question. Applying Greenfield sizing logic to a Brownfield program</w:t>
            </w:r>
          </w:p>
          <w:p>
            <w:pPr>
              <w:spacing w:after="40" w:before="40" w:line="276"/>
            </w:pPr>
            <w:r>
              <w:rPr>
                <w:color w:val="1A1A2E"/>
                <w:sz w:val="19"/>
                <w:szCs w:val="19"/>
              </w:rPr>
              <w:t xml:space="preserve">is one of the most common and costly estimation mistakes in Oracle delivery.</w:t>
            </w:r>
          </w:p>
        </w:tc>
      </w:tr>
    </w:tbl>
    <w:p>
      <w:pPr>
        <w:spacing w:after="0" w:before="120"/>
      </w:pPr>
      <w:r>
        <w:t xml:space="preserve"/>
      </w:r>
    </w:p>
    <w:p>
      <w:pPr>
        <w:pStyle w:val="Heading2"/>
        <w:spacing w:after="100" w:before="240"/>
      </w:pPr>
      <w:r>
        <w:rPr>
          <w:b/>
          <w:bCs/>
          <w:color w:val="1F3F8F"/>
          <w:sz w:val="20"/>
          <w:szCs w:val="20"/>
        </w:rPr>
        <w:t xml:space="preserve">High-Level Sizing Component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shd w:fill="1F3F8F" w:val="clear"/>
            <w:tcMar>
              <w:top w:type="dxa" w:w="141"/>
              <w:left w:type="dxa" w:w="170"/>
              <w:bottom w:type="dxa" w:w="141"/>
              <w:right w:type="dxa" w:w="170"/>
            </w:tcMar>
          </w:tcPr>
          <w:p>
            <w:pPr>
              <w:jc w:val="center"/>
            </w:pPr>
            <w:r>
              <w:rPr>
                <w:b/>
                <w:bCs/>
                <w:color w:val="FFFFFF"/>
                <w:sz w:val="18"/>
                <w:szCs w:val="18"/>
              </w:rPr>
              <w:t xml:space="preserve">Sizing Component</w:t>
            </w:r>
          </w:p>
        </w:tc>
        <w:tc>
          <w:tcPr>
            <w:tcW w:type="dxa" w:w="3600"/>
            <w:shd w:fill="1F3F8F" w:val="clear"/>
            <w:tcMar>
              <w:top w:type="dxa" w:w="141"/>
              <w:left w:type="dxa" w:w="170"/>
              <w:bottom w:type="dxa" w:w="141"/>
              <w:right w:type="dxa" w:w="170"/>
            </w:tcMar>
          </w:tcPr>
          <w:p>
            <w:pPr>
              <w:jc w:val="center"/>
            </w:pPr>
            <w:r>
              <w:rPr>
                <w:b/>
                <w:bCs/>
                <w:color w:val="FFFFFF"/>
                <w:sz w:val="18"/>
                <w:szCs w:val="18"/>
              </w:rPr>
              <w:t xml:space="preserve">Greenfield</w:t>
            </w:r>
          </w:p>
        </w:tc>
        <w:tc>
          <w:tcPr>
            <w:tcW w:type="dxa" w:w="3760"/>
            <w:shd w:fill="1F3F8F" w:val="clear"/>
            <w:tcMar>
              <w:top w:type="dxa" w:w="141"/>
              <w:left w:type="dxa" w:w="170"/>
              <w:bottom w:type="dxa" w:w="141"/>
              <w:right w:type="dxa" w:w="170"/>
            </w:tcMar>
          </w:tcPr>
          <w:p>
            <w:pPr>
              <w:jc w:val="center"/>
            </w:pPr>
            <w:r>
              <w:rPr>
                <w:b/>
                <w:bCs/>
                <w:color w:val="FFFFFF"/>
                <w:sz w:val="18"/>
                <w:szCs w:val="18"/>
              </w:rPr>
              <w:t xml:space="preserve">Brownfield</w:t>
            </w:r>
          </w:p>
        </w:tc>
      </w:tr>
      <w:tr>
        <w:tc>
          <w:tcPr>
            <w:tcW w:type="dxa" w:w="2000"/>
            <w:shd w:fill="EEF3FB" w:val="clear"/>
            <w:tcMar>
              <w:top w:type="dxa" w:w="113"/>
              <w:left w:type="dxa" w:w="170"/>
              <w:bottom w:type="dxa" w:w="113"/>
              <w:right w:type="dxa" w:w="170"/>
            </w:tcMar>
          </w:tcPr>
          <w:p>
            <w:r>
              <w:rPr>
                <w:b/>
                <w:bCs/>
                <w:color w:val="1F3F8F"/>
                <w:sz w:val="18"/>
                <w:szCs w:val="18"/>
              </w:rPr>
              <w:t xml:space="preserve">Sizing Component</w:t>
            </w:r>
          </w:p>
        </w:tc>
        <w:tc>
          <w:tcPr>
            <w:tcW w:type="dxa" w:w="3600"/>
            <w:shd w:fill="EEF3FB" w:val="clear"/>
            <w:tcMar>
              <w:top w:type="dxa" w:w="113"/>
              <w:left w:type="dxa" w:w="170"/>
              <w:bottom w:type="dxa" w:w="113"/>
              <w:right w:type="dxa" w:w="170"/>
            </w:tcMar>
          </w:tcPr>
          <w:p>
            <w:r>
              <w:rPr>
                <w:b w:val="false"/>
                <w:bCs w:val="false"/>
                <w:color w:val="1A1A2E"/>
                <w:sz w:val="18"/>
                <w:szCs w:val="18"/>
              </w:rPr>
              <w:t xml:space="preserve">Greenfield</w:t>
            </w:r>
          </w:p>
        </w:tc>
        <w:tc>
          <w:tcPr>
            <w:tcW w:type="dxa" w:w="3760"/>
            <w:shd w:fill="EEF3FB" w:val="clear"/>
            <w:tcMar>
              <w:top w:type="dxa" w:w="113"/>
              <w:left w:type="dxa" w:w="170"/>
              <w:bottom w:type="dxa" w:w="113"/>
              <w:right w:type="dxa" w:w="170"/>
            </w:tcMar>
          </w:tcPr>
          <w:p>
            <w:r>
              <w:rPr>
                <w:b w:val="false"/>
                <w:bCs w:val="false"/>
                <w:color w:val="1A1A2E"/>
                <w:sz w:val="18"/>
                <w:szCs w:val="18"/>
              </w:rPr>
              <w:t xml:space="preserve">Brownfield</w:t>
            </w:r>
          </w:p>
        </w:tc>
      </w:tr>
      <w:tr>
        <w:tc>
          <w:tcPr>
            <w:tcW w:type="dxa" w:w="2000"/>
            <w:shd w:fill="FFFFFF" w:val="clear"/>
            <w:tcMar>
              <w:top w:type="dxa" w:w="113"/>
              <w:left w:type="dxa" w:w="170"/>
              <w:bottom w:type="dxa" w:w="113"/>
              <w:right w:type="dxa" w:w="170"/>
            </w:tcMar>
          </w:tcPr>
          <w:p>
            <w:r>
              <w:rPr>
                <w:b/>
                <w:bCs/>
                <w:color w:val="1F3F8F"/>
                <w:sz w:val="18"/>
                <w:szCs w:val="18"/>
              </w:rPr>
              <w:t xml:space="preserve">Primary source of scope</w:t>
            </w:r>
          </w:p>
        </w:tc>
        <w:tc>
          <w:tcPr>
            <w:tcW w:type="dxa" w:w="3600"/>
            <w:shd w:fill="FFFFFF" w:val="clear"/>
            <w:tcMar>
              <w:top w:type="dxa" w:w="113"/>
              <w:left w:type="dxa" w:w="170"/>
              <w:bottom w:type="dxa" w:w="113"/>
              <w:right w:type="dxa" w:w="170"/>
            </w:tcMar>
          </w:tcPr>
          <w:p>
            <w:r>
              <w:rPr>
                <w:b w:val="false"/>
                <w:bCs w:val="false"/>
                <w:color w:val="1A1A2E"/>
                <w:sz w:val="18"/>
                <w:szCs w:val="18"/>
              </w:rPr>
              <w:t xml:space="preserve">Business requirements &amp; process scope</w:t>
            </w:r>
          </w:p>
        </w:tc>
        <w:tc>
          <w:tcPr>
            <w:tcW w:type="dxa" w:w="3760"/>
            <w:shd w:fill="FFFFFF" w:val="clear"/>
            <w:tcMar>
              <w:top w:type="dxa" w:w="113"/>
              <w:left w:type="dxa" w:w="170"/>
              <w:bottom w:type="dxa" w:w="113"/>
              <w:right w:type="dxa" w:w="170"/>
            </w:tcMar>
          </w:tcPr>
          <w:p>
            <w:r>
              <w:rPr>
                <w:b w:val="false"/>
                <w:bCs w:val="false"/>
                <w:color w:val="1A1A2E"/>
                <w:sz w:val="18"/>
                <w:szCs w:val="18"/>
              </w:rPr>
              <w:t xml:space="preserve">Existing system — customisations, data, config</w:t>
            </w:r>
          </w:p>
        </w:tc>
      </w:tr>
      <w:tr>
        <w:tc>
          <w:tcPr>
            <w:tcW w:type="dxa" w:w="2000"/>
            <w:shd w:fill="EEF3FB" w:val="clear"/>
            <w:tcMar>
              <w:top w:type="dxa" w:w="113"/>
              <w:left w:type="dxa" w:w="170"/>
              <w:bottom w:type="dxa" w:w="113"/>
              <w:right w:type="dxa" w:w="170"/>
            </w:tcMar>
          </w:tcPr>
          <w:p>
            <w:r>
              <w:rPr>
                <w:b/>
                <w:bCs/>
                <w:color w:val="1F3F8F"/>
                <w:sz w:val="18"/>
                <w:szCs w:val="18"/>
              </w:rPr>
              <w:t xml:space="preserve">Discovery effort</w:t>
            </w:r>
          </w:p>
        </w:tc>
        <w:tc>
          <w:tcPr>
            <w:tcW w:type="dxa" w:w="3600"/>
            <w:shd w:fill="EEF3FB" w:val="clear"/>
            <w:tcMar>
              <w:top w:type="dxa" w:w="113"/>
              <w:left w:type="dxa" w:w="170"/>
              <w:bottom w:type="dxa" w:w="113"/>
              <w:right w:type="dxa" w:w="170"/>
            </w:tcMar>
          </w:tcPr>
          <w:p>
            <w:r>
              <w:rPr>
                <w:b w:val="false"/>
                <w:bCs w:val="false"/>
                <w:color w:val="1A1A2E"/>
                <w:sz w:val="18"/>
                <w:szCs w:val="18"/>
              </w:rPr>
              <w:t xml:space="preserve">Low — driven by workshops</w:t>
            </w:r>
          </w:p>
        </w:tc>
        <w:tc>
          <w:tcPr>
            <w:tcW w:type="dxa" w:w="3760"/>
            <w:shd w:fill="EEF3FB" w:val="clear"/>
            <w:tcMar>
              <w:top w:type="dxa" w:w="113"/>
              <w:left w:type="dxa" w:w="170"/>
              <w:bottom w:type="dxa" w:w="113"/>
              <w:right w:type="dxa" w:w="170"/>
            </w:tcMar>
          </w:tcPr>
          <w:p>
            <w:r>
              <w:rPr>
                <w:b w:val="false"/>
                <w:bCs w:val="false"/>
                <w:color w:val="1A1A2E"/>
                <w:sz w:val="18"/>
                <w:szCs w:val="18"/>
              </w:rPr>
              <w:t xml:space="preserve">High — system analysis is itself a major workstream</w:t>
            </w:r>
          </w:p>
        </w:tc>
      </w:tr>
      <w:tr>
        <w:tc>
          <w:tcPr>
            <w:tcW w:type="dxa" w:w="2000"/>
            <w:shd w:fill="FFFFFF" w:val="clear"/>
            <w:tcMar>
              <w:top w:type="dxa" w:w="113"/>
              <w:left w:type="dxa" w:w="170"/>
              <w:bottom w:type="dxa" w:w="113"/>
              <w:right w:type="dxa" w:w="170"/>
            </w:tcMar>
          </w:tcPr>
          <w:p>
            <w:r>
              <w:rPr>
                <w:b/>
                <w:bCs/>
                <w:color w:val="1F3F8F"/>
                <w:sz w:val="18"/>
                <w:szCs w:val="18"/>
              </w:rPr>
              <w:t xml:space="preserve">Object count basis</w:t>
            </w:r>
          </w:p>
        </w:tc>
        <w:tc>
          <w:tcPr>
            <w:tcW w:type="dxa" w:w="3600"/>
            <w:shd w:fill="FFFFFF" w:val="clear"/>
            <w:tcMar>
              <w:top w:type="dxa" w:w="113"/>
              <w:left w:type="dxa" w:w="170"/>
              <w:bottom w:type="dxa" w:w="113"/>
              <w:right w:type="dxa" w:w="170"/>
            </w:tcMar>
          </w:tcPr>
          <w:p>
            <w:r>
              <w:rPr>
                <w:b w:val="false"/>
                <w:bCs w:val="false"/>
                <w:color w:val="1A1A2E"/>
                <w:sz w:val="18"/>
                <w:szCs w:val="18"/>
              </w:rPr>
              <w:t xml:space="preserve">Future-state design decisions</w:t>
            </w:r>
          </w:p>
        </w:tc>
        <w:tc>
          <w:tcPr>
            <w:tcW w:type="dxa" w:w="3760"/>
            <w:shd w:fill="FFFFFF" w:val="clear"/>
            <w:tcMar>
              <w:top w:type="dxa" w:w="113"/>
              <w:left w:type="dxa" w:w="170"/>
              <w:bottom w:type="dxa" w:w="113"/>
              <w:right w:type="dxa" w:w="170"/>
            </w:tcMar>
          </w:tcPr>
          <w:p>
            <w:r>
              <w:rPr>
                <w:b w:val="false"/>
                <w:bCs w:val="false"/>
                <w:color w:val="1A1A2E"/>
                <w:sz w:val="18"/>
                <w:szCs w:val="18"/>
              </w:rPr>
              <w:t xml:space="preserve">Inventory of existing RICE/CEMLI/repository objects</w:t>
            </w:r>
          </w:p>
        </w:tc>
      </w:tr>
      <w:tr>
        <w:tc>
          <w:tcPr>
            <w:tcW w:type="dxa" w:w="2000"/>
            <w:shd w:fill="EEF3FB" w:val="clear"/>
            <w:tcMar>
              <w:top w:type="dxa" w:w="113"/>
              <w:left w:type="dxa" w:w="170"/>
              <w:bottom w:type="dxa" w:w="113"/>
              <w:right w:type="dxa" w:w="170"/>
            </w:tcMar>
          </w:tcPr>
          <w:p>
            <w:r>
              <w:rPr>
                <w:b/>
                <w:bCs/>
                <w:color w:val="1F3F8F"/>
                <w:sz w:val="18"/>
                <w:szCs w:val="18"/>
              </w:rPr>
              <w:t xml:space="preserve">Data sizing basis</w:t>
            </w:r>
          </w:p>
        </w:tc>
        <w:tc>
          <w:tcPr>
            <w:tcW w:type="dxa" w:w="3600"/>
            <w:shd w:fill="EEF3FB" w:val="clear"/>
            <w:tcMar>
              <w:top w:type="dxa" w:w="113"/>
              <w:left w:type="dxa" w:w="170"/>
              <w:bottom w:type="dxa" w:w="113"/>
              <w:right w:type="dxa" w:w="170"/>
            </w:tcMar>
          </w:tcPr>
          <w:p>
            <w:r>
              <w:rPr>
                <w:b w:val="false"/>
                <w:bCs w:val="false"/>
                <w:color w:val="1A1A2E"/>
                <w:sz w:val="18"/>
                <w:szCs w:val="18"/>
              </w:rPr>
              <w:t xml:space="preserve">Volume of master &amp; transactional data to load</w:t>
            </w:r>
          </w:p>
        </w:tc>
        <w:tc>
          <w:tcPr>
            <w:tcW w:type="dxa" w:w="3760"/>
            <w:shd w:fill="EEF3FB" w:val="clear"/>
            <w:tcMar>
              <w:top w:type="dxa" w:w="113"/>
              <w:left w:type="dxa" w:w="170"/>
              <w:bottom w:type="dxa" w:w="113"/>
              <w:right w:type="dxa" w:w="170"/>
            </w:tcMar>
          </w:tcPr>
          <w:p>
            <w:r>
              <w:rPr>
                <w:b w:val="false"/>
                <w:bCs w:val="false"/>
                <w:color w:val="1A1A2E"/>
                <w:sz w:val="18"/>
                <w:szCs w:val="18"/>
              </w:rPr>
              <w:t xml:space="preserve">Source data volume + quality + migration complexity</w:t>
            </w:r>
          </w:p>
        </w:tc>
      </w:tr>
      <w:tr>
        <w:tc>
          <w:tcPr>
            <w:tcW w:type="dxa" w:w="2000"/>
            <w:shd w:fill="FFFFFF" w:val="clear"/>
            <w:tcMar>
              <w:top w:type="dxa" w:w="113"/>
              <w:left w:type="dxa" w:w="170"/>
              <w:bottom w:type="dxa" w:w="113"/>
              <w:right w:type="dxa" w:w="170"/>
            </w:tcMar>
          </w:tcPr>
          <w:p>
            <w:r>
              <w:rPr>
                <w:b/>
                <w:bCs/>
                <w:color w:val="1F3F8F"/>
                <w:sz w:val="18"/>
                <w:szCs w:val="18"/>
              </w:rPr>
              <w:t xml:space="preserve">Configuration sizing</w:t>
            </w:r>
          </w:p>
        </w:tc>
        <w:tc>
          <w:tcPr>
            <w:tcW w:type="dxa" w:w="3600"/>
            <w:shd w:fill="FFFFFF" w:val="clear"/>
            <w:tcMar>
              <w:top w:type="dxa" w:w="113"/>
              <w:left w:type="dxa" w:w="170"/>
              <w:bottom w:type="dxa" w:w="113"/>
              <w:right w:type="dxa" w:w="170"/>
            </w:tcMar>
          </w:tcPr>
          <w:p>
            <w:r>
              <w:rPr>
                <w:b w:val="false"/>
                <w:bCs w:val="false"/>
                <w:color w:val="1A1A2E"/>
                <w:sz w:val="18"/>
                <w:szCs w:val="18"/>
              </w:rPr>
              <w:t xml:space="preserve">Modules × setup density × process complexity</w:t>
            </w:r>
          </w:p>
        </w:tc>
        <w:tc>
          <w:tcPr>
            <w:tcW w:type="dxa" w:w="3760"/>
            <w:shd w:fill="FFFFFF" w:val="clear"/>
            <w:tcMar>
              <w:top w:type="dxa" w:w="113"/>
              <w:left w:type="dxa" w:w="170"/>
              <w:bottom w:type="dxa" w:w="113"/>
              <w:right w:type="dxa" w:w="170"/>
            </w:tcMar>
          </w:tcPr>
          <w:p>
            <w:r>
              <w:rPr>
                <w:b w:val="false"/>
                <w:bCs w:val="false"/>
                <w:color w:val="1A1A2E"/>
                <w:sz w:val="18"/>
                <w:szCs w:val="18"/>
              </w:rPr>
              <w:t xml:space="preserve">Delta between source config and target config</w:t>
            </w:r>
          </w:p>
        </w:tc>
      </w:tr>
      <w:tr>
        <w:tc>
          <w:tcPr>
            <w:tcW w:type="dxa" w:w="2000"/>
            <w:shd w:fill="EEF3FB" w:val="clear"/>
            <w:tcMar>
              <w:top w:type="dxa" w:w="113"/>
              <w:left w:type="dxa" w:w="170"/>
              <w:bottom w:type="dxa" w:w="113"/>
              <w:right w:type="dxa" w:w="170"/>
            </w:tcMar>
          </w:tcPr>
          <w:p>
            <w:r>
              <w:rPr>
                <w:b/>
                <w:bCs/>
                <w:color w:val="1F3F8F"/>
                <w:sz w:val="18"/>
                <w:szCs w:val="18"/>
              </w:rPr>
              <w:t xml:space="preserve">Testing basis</w:t>
            </w:r>
          </w:p>
        </w:tc>
        <w:tc>
          <w:tcPr>
            <w:tcW w:type="dxa" w:w="3600"/>
            <w:shd w:fill="EEF3FB" w:val="clear"/>
            <w:tcMar>
              <w:top w:type="dxa" w:w="113"/>
              <w:left w:type="dxa" w:w="170"/>
              <w:bottom w:type="dxa" w:w="113"/>
              <w:right w:type="dxa" w:w="170"/>
            </w:tcMar>
          </w:tcPr>
          <w:p>
            <w:r>
              <w:rPr>
                <w:b w:val="false"/>
                <w:bCs w:val="false"/>
                <w:color w:val="1A1A2E"/>
                <w:sz w:val="18"/>
                <w:szCs w:val="18"/>
              </w:rPr>
              <w:t xml:space="preserve">Process coverage × test scenario count</w:t>
            </w:r>
          </w:p>
        </w:tc>
        <w:tc>
          <w:tcPr>
            <w:tcW w:type="dxa" w:w="3760"/>
            <w:shd w:fill="EEF3FB" w:val="clear"/>
            <w:tcMar>
              <w:top w:type="dxa" w:w="113"/>
              <w:left w:type="dxa" w:w="170"/>
              <w:bottom w:type="dxa" w:w="113"/>
              <w:right w:type="dxa" w:w="170"/>
            </w:tcMar>
          </w:tcPr>
          <w:p>
            <w:r>
              <w:rPr>
                <w:b w:val="false"/>
                <w:bCs w:val="false"/>
                <w:color w:val="1A1A2E"/>
                <w:sz w:val="18"/>
                <w:szCs w:val="18"/>
              </w:rPr>
              <w:t xml:space="preserve">Regression coverage of existing footprint + delta</w:t>
            </w:r>
          </w:p>
        </w:tc>
      </w:tr>
      <w:tr>
        <w:tc>
          <w:tcPr>
            <w:tcW w:type="dxa" w:w="2000"/>
            <w:shd w:fill="FFFFFF" w:val="clear"/>
            <w:tcMar>
              <w:top w:type="dxa" w:w="113"/>
              <w:left w:type="dxa" w:w="170"/>
              <w:bottom w:type="dxa" w:w="113"/>
              <w:right w:type="dxa" w:w="170"/>
            </w:tcMar>
          </w:tcPr>
          <w:p>
            <w:r>
              <w:rPr>
                <w:b/>
                <w:bCs/>
                <w:color w:val="1F3F8F"/>
                <w:sz w:val="18"/>
                <w:szCs w:val="18"/>
              </w:rPr>
              <w:t xml:space="preserve">Integration sizing</w:t>
            </w:r>
          </w:p>
        </w:tc>
        <w:tc>
          <w:tcPr>
            <w:tcW w:type="dxa" w:w="3600"/>
            <w:shd w:fill="FFFFFF" w:val="clear"/>
            <w:tcMar>
              <w:top w:type="dxa" w:w="113"/>
              <w:left w:type="dxa" w:w="170"/>
              <w:bottom w:type="dxa" w:w="113"/>
              <w:right w:type="dxa" w:w="170"/>
            </w:tcMar>
          </w:tcPr>
          <w:p>
            <w:r>
              <w:rPr>
                <w:b w:val="false"/>
                <w:bCs w:val="false"/>
                <w:color w:val="1A1A2E"/>
                <w:sz w:val="18"/>
                <w:szCs w:val="18"/>
              </w:rPr>
              <w:t xml:space="preserve">Number of new interfaces × complexity</w:t>
            </w:r>
          </w:p>
        </w:tc>
        <w:tc>
          <w:tcPr>
            <w:tcW w:type="dxa" w:w="3760"/>
            <w:shd w:fill="FFFFFF" w:val="clear"/>
            <w:tcMar>
              <w:top w:type="dxa" w:w="113"/>
              <w:left w:type="dxa" w:w="170"/>
              <w:bottom w:type="dxa" w:w="113"/>
              <w:right w:type="dxa" w:w="170"/>
            </w:tcMar>
          </w:tcPr>
          <w:p>
            <w:r>
              <w:rPr>
                <w:b w:val="false"/>
                <w:bCs w:val="false"/>
                <w:color w:val="1A1A2E"/>
                <w:sz w:val="18"/>
                <w:szCs w:val="18"/>
              </w:rPr>
              <w:t xml:space="preserve">Existing interfaces: retire / rebuild / carry forward</w:t>
            </w:r>
          </w:p>
        </w:tc>
      </w:tr>
      <w:tr>
        <w:tc>
          <w:tcPr>
            <w:tcW w:type="dxa" w:w="2000"/>
            <w:shd w:fill="EEF3FB" w:val="clear"/>
            <w:tcMar>
              <w:top w:type="dxa" w:w="113"/>
              <w:left w:type="dxa" w:w="170"/>
              <w:bottom w:type="dxa" w:w="113"/>
              <w:right w:type="dxa" w:w="170"/>
            </w:tcMar>
          </w:tcPr>
          <w:p>
            <w:r>
              <w:rPr>
                <w:b/>
                <w:bCs/>
                <w:color w:val="1F3F8F"/>
                <w:sz w:val="18"/>
                <w:szCs w:val="18"/>
              </w:rPr>
              <w:t xml:space="preserve">Change complexity</w:t>
            </w:r>
          </w:p>
        </w:tc>
        <w:tc>
          <w:tcPr>
            <w:tcW w:type="dxa" w:w="3600"/>
            <w:shd w:fill="EEF3FB" w:val="clear"/>
            <w:tcMar>
              <w:top w:type="dxa" w:w="113"/>
              <w:left w:type="dxa" w:w="170"/>
              <w:bottom w:type="dxa" w:w="113"/>
              <w:right w:type="dxa" w:w="170"/>
            </w:tcMar>
          </w:tcPr>
          <w:p>
            <w:r>
              <w:rPr>
                <w:b w:val="false"/>
                <w:bCs w:val="false"/>
                <w:color w:val="1A1A2E"/>
                <w:sz w:val="18"/>
                <w:szCs w:val="18"/>
              </w:rPr>
              <w:t xml:space="preserve">People moving TO a new system</w:t>
            </w:r>
          </w:p>
        </w:tc>
        <w:tc>
          <w:tcPr>
            <w:tcW w:type="dxa" w:w="3760"/>
            <w:shd w:fill="EEF3FB" w:val="clear"/>
            <w:tcMar>
              <w:top w:type="dxa" w:w="113"/>
              <w:left w:type="dxa" w:w="170"/>
              <w:bottom w:type="dxa" w:w="113"/>
              <w:right w:type="dxa" w:w="170"/>
            </w:tcMar>
          </w:tcPr>
          <w:p>
            <w:r>
              <w:rPr>
                <w:b w:val="false"/>
                <w:bCs w:val="false"/>
                <w:color w:val="1A1A2E"/>
                <w:sz w:val="18"/>
                <w:szCs w:val="18"/>
              </w:rPr>
              <w:t xml:space="preserve">People moving AWAY FROM a known system they trust</w:t>
            </w:r>
          </w:p>
        </w:tc>
      </w:tr>
      <w:tr>
        <w:tc>
          <w:tcPr>
            <w:tcW w:type="dxa" w:w="2000"/>
            <w:shd w:fill="FFFFFF" w:val="clear"/>
            <w:tcMar>
              <w:top w:type="dxa" w:w="113"/>
              <w:left w:type="dxa" w:w="170"/>
              <w:bottom w:type="dxa" w:w="113"/>
              <w:right w:type="dxa" w:w="170"/>
            </w:tcMar>
          </w:tcPr>
          <w:p>
            <w:r>
              <w:rPr>
                <w:b/>
                <w:bCs/>
                <w:color w:val="1F3F8F"/>
                <w:sz w:val="18"/>
                <w:szCs w:val="18"/>
              </w:rPr>
              <w:t xml:space="preserve">AI's biggest sizing lever</w:t>
            </w:r>
          </w:p>
        </w:tc>
        <w:tc>
          <w:tcPr>
            <w:tcW w:type="dxa" w:w="3600"/>
            <w:shd w:fill="FFFFFF" w:val="clear"/>
            <w:tcMar>
              <w:top w:type="dxa" w:w="113"/>
              <w:left w:type="dxa" w:w="170"/>
              <w:bottom w:type="dxa" w:w="113"/>
              <w:right w:type="dxa" w:w="170"/>
            </w:tcMar>
          </w:tcPr>
          <w:p>
            <w:r>
              <w:rPr>
                <w:b w:val="false"/>
                <w:bCs w:val="false"/>
                <w:color w:val="1A1A2E"/>
                <w:sz w:val="18"/>
                <w:szCs w:val="18"/>
              </w:rPr>
              <w:t xml:space="preserve">Accelerating build of net-new objects</w:t>
            </w:r>
          </w:p>
        </w:tc>
        <w:tc>
          <w:tcPr>
            <w:tcW w:type="dxa" w:w="3760"/>
            <w:shd w:fill="FFFFFF" w:val="clear"/>
            <w:tcMar>
              <w:top w:type="dxa" w:w="113"/>
              <w:left w:type="dxa" w:w="170"/>
              <w:bottom w:type="dxa" w:w="113"/>
              <w:right w:type="dxa" w:w="170"/>
            </w:tcMar>
          </w:tcPr>
          <w:p>
            <w:r>
              <w:rPr>
                <w:b w:val="false"/>
                <w:bCs w:val="false"/>
                <w:color w:val="1A1A2E"/>
                <w:sz w:val="18"/>
                <w:szCs w:val="18"/>
              </w:rPr>
              <w:t xml:space="preserve">Analysing &amp; classifying the existing system's footprint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F3F8F" w:val="clear"/>
            <w:tcMar>
              <w:top w:type="dxa" w:w="198"/>
              <w:left w:type="dxa" w:w="283"/>
              <w:bottom w:type="dxa" w:w="198"/>
              <w:right w:type="dxa" w:w="283"/>
            </w:tcMar>
          </w:tcPr>
          <w:p>
            <w:pPr>
              <w:jc w:val="center"/>
            </w:pPr>
            <w:r>
              <w:rPr>
                <w:b/>
                <w:bCs/>
                <w:color w:val="FFFFFF"/>
                <w:sz w:val="26"/>
                <w:szCs w:val="26"/>
              </w:rPr>
              <w:t xml:space="preserve">PART A — GREENFIELD SIZING VOLUMETRICS</w:t>
            </w:r>
          </w:p>
        </w:tc>
      </w:tr>
    </w:tbl>
    <w:p>
      <w:pPr>
        <w:spacing w:after="0" w:before="80"/>
      </w:pPr>
      <w:r>
        <w:t xml:space="preserve"/>
      </w:r>
    </w:p>
    <w:p>
      <w:pPr>
        <w:pStyle w:val="Heading2"/>
        <w:spacing w:after="100" w:before="240"/>
      </w:pPr>
      <w:r>
        <w:rPr>
          <w:b/>
          <w:bCs/>
          <w:color w:val="1F3F8F"/>
          <w:sz w:val="20"/>
          <w:szCs w:val="20"/>
        </w:rPr>
        <w:t xml:space="preserve">What Drives Greenfield Scope</w:t>
      </w:r>
    </w:p>
    <w:p>
      <w:pPr>
        <w:spacing w:after="100" w:before="80" w:line="280"/>
      </w:pPr>
      <w:r>
        <w:rPr>
          <w:i w:val="false"/>
          <w:iCs w:val="false"/>
          <w:color w:val="1A1A2E"/>
          <w:sz w:val="20"/>
          <w:szCs w:val="20"/>
        </w:rPr>
        <w:t xml:space="preserve">In a Greenfield implementation, you have no existing system to constrain or inform you. Scope is defined entirely by what the business wants to achieve. The sizing inputs come from requirements, process blueprints, and design decisions made during the program.</w:t>
      </w:r>
    </w:p>
    <w:p>
      <w:pPr>
        <w:spacing w:after="0" w:before="80"/>
      </w:pPr>
      <w:r>
        <w:t xml:space="preserve"/>
      </w:r>
    </w:p>
    <w:p>
      <w:pPr>
        <w:pStyle w:val="Heading3"/>
        <w:spacing w:after="100" w:before="240"/>
      </w:pPr>
      <w:r>
        <w:rPr>
          <w:b/>
          <w:bCs/>
          <w:color w:val="1F3F8F"/>
          <w:sz w:val="20"/>
          <w:szCs w:val="20"/>
        </w:rPr>
        <w:t xml:space="preserve">Greenfield Sizing Input #1 — Module &amp; Process Scope</w:t>
      </w:r>
    </w:p>
    <w:p>
      <w:pPr>
        <w:spacing w:after="100" w:before="80" w:line="280"/>
      </w:pPr>
      <w:r>
        <w:rPr>
          <w:i w:val="false"/>
          <w:iCs w:val="false"/>
          <w:color w:val="1A1A2E"/>
          <w:sz w:val="20"/>
          <w:szCs w:val="20"/>
        </w:rPr>
        <w:t xml:space="preserve">The first and most important sizing lever in Greenfield is: which modules are in scope and how many end-to-end business processes do they cover?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rPr>
          <w:tblHeader/>
        </w:trPr>
        <w:tc>
          <w:tcPr>
            <w:tcW w:type="dxa" w:w="2200"/>
            <w:shd w:fill="1F3F8F" w:val="clear"/>
            <w:tcMar>
              <w:top w:type="dxa" w:w="141"/>
              <w:left w:type="dxa" w:w="170"/>
              <w:bottom w:type="dxa" w:w="141"/>
              <w:right w:type="dxa" w:w="170"/>
            </w:tcMar>
          </w:tcPr>
          <w:p>
            <w:pPr>
              <w:jc w:val="center"/>
            </w:pPr>
            <w:r>
              <w:rPr>
                <w:b/>
                <w:bCs/>
                <w:color w:val="FFFFFF"/>
                <w:sz w:val="18"/>
                <w:szCs w:val="18"/>
              </w:rPr>
              <w:t xml:space="preserve">Parameter</w:t>
            </w:r>
          </w:p>
        </w:tc>
        <w:tc>
          <w:tcPr>
            <w:tcW w:type="dxa" w:w="2200"/>
            <w:shd w:fill="1F3F8F" w:val="clear"/>
            <w:tcMar>
              <w:top w:type="dxa" w:w="141"/>
              <w:left w:type="dxa" w:w="170"/>
              <w:bottom w:type="dxa" w:w="141"/>
              <w:right w:type="dxa" w:w="170"/>
            </w:tcMar>
          </w:tcPr>
          <w:p>
            <w:pPr>
              <w:jc w:val="center"/>
            </w:pPr>
            <w:r>
              <w:rPr>
                <w:b/>
                <w:bCs/>
                <w:color w:val="FFFFFF"/>
                <w:sz w:val="18"/>
                <w:szCs w:val="18"/>
              </w:rPr>
              <w:t xml:space="preserve">What to Count</w:t>
            </w:r>
          </w:p>
        </w:tc>
        <w:tc>
          <w:tcPr>
            <w:tcW w:type="dxa" w:w="2400"/>
            <w:shd w:fill="1F3F8F" w:val="clear"/>
            <w:tcMar>
              <w:top w:type="dxa" w:w="141"/>
              <w:left w:type="dxa" w:w="170"/>
              <w:bottom w:type="dxa" w:w="141"/>
              <w:right w:type="dxa" w:w="170"/>
            </w:tcMar>
          </w:tcPr>
          <w:p>
            <w:pPr>
              <w:jc w:val="center"/>
            </w:pPr>
            <w:r>
              <w:rPr>
                <w:b/>
                <w:bCs/>
                <w:color w:val="FFFFFF"/>
                <w:sz w:val="18"/>
                <w:szCs w:val="18"/>
              </w:rPr>
              <w:t xml:space="preserve">How AI Changes Collection</w:t>
            </w:r>
          </w:p>
        </w:tc>
        <w:tc>
          <w:tcPr>
            <w:tcW w:type="dxa" w:w="2560"/>
            <w:shd w:fill="1F3F8F" w:val="clear"/>
            <w:tcMar>
              <w:top w:type="dxa" w:w="141"/>
              <w:left w:type="dxa" w:w="170"/>
              <w:bottom w:type="dxa" w:w="141"/>
              <w:right w:type="dxa" w:w="170"/>
            </w:tcMar>
          </w:tcPr>
          <w:p>
            <w:pPr>
              <w:jc w:val="center"/>
            </w:pPr>
            <w:r>
              <w:rPr>
                <w:b/>
                <w:bCs/>
                <w:color w:val="FFFFFF"/>
                <w:sz w:val="18"/>
                <w:szCs w:val="18"/>
              </w:rPr>
              <w:t xml:space="preserve">Impact</w:t>
            </w:r>
          </w:p>
        </w:tc>
      </w:tr>
      <w:tr>
        <w:tc>
          <w:tcPr>
            <w:tcW w:type="dxa" w:w="2200"/>
            <w:shd w:fill="EEF3FB" w:val="clear"/>
            <w:tcMar>
              <w:top w:type="dxa" w:w="113"/>
              <w:left w:type="dxa" w:w="170"/>
              <w:bottom w:type="dxa" w:w="113"/>
              <w:right w:type="dxa" w:w="170"/>
            </w:tcMar>
          </w:tcPr>
          <w:p>
            <w:r>
              <w:rPr>
                <w:b/>
                <w:bCs/>
                <w:color w:val="1F3F8F"/>
                <w:sz w:val="18"/>
                <w:szCs w:val="18"/>
              </w:rPr>
              <w:t xml:space="preserve">Volumetric Parameter</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What to Count</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How AI Changes Collection</w:t>
            </w:r>
          </w:p>
        </w:tc>
        <w:tc>
          <w:tcPr>
            <w:tcW w:type="dxa" w:w="2560"/>
            <w:shd w:fill="EEF3FB" w:val="clear"/>
            <w:tcMar>
              <w:top w:type="dxa" w:w="113"/>
              <w:left w:type="dxa" w:w="170"/>
              <w:bottom w:type="dxa" w:w="113"/>
              <w:right w:type="dxa" w:w="170"/>
            </w:tcMar>
          </w:tcPr>
          <w:p>
            <w:r>
              <w:rPr>
                <w:b w:val="false"/>
                <w:bCs w:val="false"/>
                <w:color w:val="1A1A2E"/>
                <w:sz w:val="18"/>
                <w:szCs w:val="18"/>
              </w:rPr>
              <w:t xml:space="preserve">Effort Impact</w:t>
            </w:r>
          </w:p>
        </w:tc>
      </w:tr>
      <w:tr>
        <w:tc>
          <w:tcPr>
            <w:tcW w:type="dxa" w:w="2200"/>
            <w:shd w:fill="FFFFFF" w:val="clear"/>
            <w:tcMar>
              <w:top w:type="dxa" w:w="113"/>
              <w:left w:type="dxa" w:w="170"/>
              <w:bottom w:type="dxa" w:w="113"/>
              <w:right w:type="dxa" w:w="170"/>
            </w:tcMar>
          </w:tcPr>
          <w:p>
            <w:r>
              <w:rPr>
                <w:b/>
                <w:bCs/>
                <w:color w:val="1F3F8F"/>
                <w:sz w:val="18"/>
                <w:szCs w:val="18"/>
              </w:rPr>
              <w:t xml:space="preserve">Modules in scope</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Count of Oracle modules being implemented (e.g. AP, AR, GL, Procurement, HCM Core)</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Oracle Cloud Readiness AI tool auto-maps module → configuration task count</w:t>
            </w:r>
          </w:p>
        </w:tc>
        <w:tc>
          <w:tcPr>
            <w:tcW w:type="dxa" w:w="2560"/>
            <w:shd w:fill="FFFFFF" w:val="clear"/>
            <w:tcMar>
              <w:top w:type="dxa" w:w="113"/>
              <w:left w:type="dxa" w:w="170"/>
              <w:bottom w:type="dxa" w:w="113"/>
              <w:right w:type="dxa" w:w="170"/>
            </w:tcMar>
          </w:tcPr>
          <w:p>
            <w:r>
              <w:rPr>
                <w:b w:val="false"/>
                <w:bCs w:val="false"/>
                <w:color w:val="1A1A2E"/>
                <w:sz w:val="18"/>
                <w:szCs w:val="18"/>
              </w:rPr>
              <w:t xml:space="preserve">Baseline effort anchor for configuration</w:t>
            </w:r>
          </w:p>
        </w:tc>
      </w:tr>
      <w:tr>
        <w:tc>
          <w:tcPr>
            <w:tcW w:type="dxa" w:w="2200"/>
            <w:shd w:fill="EEF3FB" w:val="clear"/>
            <w:tcMar>
              <w:top w:type="dxa" w:w="113"/>
              <w:left w:type="dxa" w:w="170"/>
              <w:bottom w:type="dxa" w:w="113"/>
              <w:right w:type="dxa" w:w="170"/>
            </w:tcMar>
          </w:tcPr>
          <w:p>
            <w:r>
              <w:rPr>
                <w:b/>
                <w:bCs/>
                <w:color w:val="1F3F8F"/>
                <w:sz w:val="18"/>
                <w:szCs w:val="18"/>
              </w:rPr>
              <w:t xml:space="preserve">Level-3 / Level-4 processes</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Business processes within each module (e.g. within AP: Invoice Processing, Payment Runs, Expense Management)</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AI reads process libraries and maps to Oracle standard processes</w:t>
            </w:r>
          </w:p>
        </w:tc>
        <w:tc>
          <w:tcPr>
            <w:tcW w:type="dxa" w:w="2560"/>
            <w:shd w:fill="EEF3FB" w:val="clear"/>
            <w:tcMar>
              <w:top w:type="dxa" w:w="113"/>
              <w:left w:type="dxa" w:w="170"/>
              <w:bottom w:type="dxa" w:w="113"/>
              <w:right w:type="dxa" w:w="170"/>
            </w:tcMar>
          </w:tcPr>
          <w:p>
            <w:r>
              <w:rPr>
                <w:b w:val="false"/>
                <w:bCs w:val="false"/>
                <w:color w:val="1A1A2E"/>
                <w:sz w:val="18"/>
                <w:szCs w:val="18"/>
              </w:rPr>
              <w:t xml:space="preserve">Each process = test scenarios, training units, config tasks</w:t>
            </w:r>
          </w:p>
        </w:tc>
      </w:tr>
      <w:tr>
        <w:tc>
          <w:tcPr>
            <w:tcW w:type="dxa" w:w="2200"/>
            <w:shd w:fill="FFFFFF" w:val="clear"/>
            <w:tcMar>
              <w:top w:type="dxa" w:w="113"/>
              <w:left w:type="dxa" w:w="170"/>
              <w:bottom w:type="dxa" w:w="113"/>
              <w:right w:type="dxa" w:w="170"/>
            </w:tcMar>
          </w:tcPr>
          <w:p>
            <w:r>
              <w:rPr>
                <w:b/>
                <w:bCs/>
                <w:color w:val="1F3F8F"/>
                <w:sz w:val="18"/>
                <w:szCs w:val="18"/>
              </w:rPr>
              <w:t xml:space="preserve">Process variants</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How many variants of each process (e.g. 3 legal entities, 2 invoice types, 4 approval hierarchies)</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AI identifies variants from workshop transcripts and org data</w:t>
            </w:r>
          </w:p>
        </w:tc>
        <w:tc>
          <w:tcPr>
            <w:tcW w:type="dxa" w:w="2560"/>
            <w:shd w:fill="FFFFFF" w:val="clear"/>
            <w:tcMar>
              <w:top w:type="dxa" w:w="113"/>
              <w:left w:type="dxa" w:w="170"/>
              <w:bottom w:type="dxa" w:w="113"/>
              <w:right w:type="dxa" w:w="170"/>
            </w:tcMar>
          </w:tcPr>
          <w:p>
            <w:r>
              <w:rPr>
                <w:b w:val="false"/>
                <w:bCs w:val="false"/>
                <w:color w:val="1A1A2E"/>
                <w:sz w:val="18"/>
                <w:szCs w:val="18"/>
              </w:rPr>
              <w:t xml:space="preserve">Multiplier on base process effort — most underestimated input</w:t>
            </w:r>
          </w:p>
        </w:tc>
      </w:tr>
      <w:tr>
        <w:tc>
          <w:tcPr>
            <w:tcW w:type="dxa" w:w="2200"/>
            <w:shd w:fill="EEF3FB" w:val="clear"/>
            <w:tcMar>
              <w:top w:type="dxa" w:w="113"/>
              <w:left w:type="dxa" w:w="170"/>
              <w:bottom w:type="dxa" w:w="113"/>
              <w:right w:type="dxa" w:w="170"/>
            </w:tcMar>
          </w:tcPr>
          <w:p>
            <w:r>
              <w:rPr>
                <w:b/>
                <w:bCs/>
                <w:color w:val="1F3F8F"/>
                <w:sz w:val="18"/>
                <w:szCs w:val="18"/>
              </w:rPr>
              <w:t xml:space="preserve">Localisation requirements</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Countries × local statutory / tax requirements</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AI queries Oracle localisation coverage by country</w:t>
            </w:r>
          </w:p>
        </w:tc>
        <w:tc>
          <w:tcPr>
            <w:tcW w:type="dxa" w:w="2560"/>
            <w:shd w:fill="EEF3FB" w:val="clear"/>
            <w:tcMar>
              <w:top w:type="dxa" w:w="113"/>
              <w:left w:type="dxa" w:w="170"/>
              <w:bottom w:type="dxa" w:w="113"/>
              <w:right w:type="dxa" w:w="170"/>
            </w:tcMar>
          </w:tcPr>
          <w:p>
            <w:r>
              <w:rPr>
                <w:b w:val="false"/>
                <w:bCs w:val="false"/>
                <w:color w:val="1A1A2E"/>
                <w:sz w:val="18"/>
                <w:szCs w:val="18"/>
              </w:rPr>
              <w:t xml:space="preserve">Each country adds fixed overhead to config and compliance testing</w:t>
            </w:r>
          </w:p>
        </w:tc>
      </w:tr>
      <w:tr>
        <w:tc>
          <w:tcPr>
            <w:tcW w:type="dxa" w:w="2200"/>
            <w:shd w:fill="FFFFFF" w:val="clear"/>
            <w:tcMar>
              <w:top w:type="dxa" w:w="113"/>
              <w:left w:type="dxa" w:w="170"/>
              <w:bottom w:type="dxa" w:w="113"/>
              <w:right w:type="dxa" w:w="170"/>
            </w:tcMar>
          </w:tcPr>
          <w:p>
            <w:r>
              <w:rPr>
                <w:b/>
                <w:bCs/>
                <w:color w:val="1F3F8F"/>
                <w:sz w:val="18"/>
                <w:szCs w:val="18"/>
              </w:rPr>
              <w:t xml:space="preserve">User roles / personas</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Distinct user types who interact with the system</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AI analyses job descriptions to cluster into Oracle role profiles</w:t>
            </w:r>
          </w:p>
        </w:tc>
        <w:tc>
          <w:tcPr>
            <w:tcW w:type="dxa" w:w="2560"/>
            <w:shd w:fill="FFFFFF" w:val="clear"/>
            <w:tcMar>
              <w:top w:type="dxa" w:w="113"/>
              <w:left w:type="dxa" w:w="170"/>
              <w:bottom w:type="dxa" w:w="113"/>
              <w:right w:type="dxa" w:w="170"/>
            </w:tcMar>
          </w:tcPr>
          <w:p>
            <w:r>
              <w:rPr>
                <w:b w:val="false"/>
                <w:bCs w:val="false"/>
                <w:color w:val="1A1A2E"/>
                <w:sz w:val="18"/>
                <w:szCs w:val="18"/>
              </w:rPr>
              <w:t xml:space="preserve">Drives security design, training units, and UAT participant count</w:t>
            </w:r>
          </w:p>
        </w:tc>
      </w:tr>
    </w:tbl>
    <w:p>
      <w:pPr>
        <w:spacing w:after="0" w:before="80"/>
      </w:pPr>
      <w:r>
        <w:t xml:space="preserve"/>
      </w:r>
    </w:p>
    <w:p>
      <w:pPr>
        <w:pStyle w:val="Heading3"/>
        <w:spacing w:after="100" w:before="240"/>
      </w:pPr>
      <w:r>
        <w:rPr>
          <w:b/>
          <w:bCs/>
          <w:color w:val="1F3F8F"/>
          <w:sz w:val="20"/>
          <w:szCs w:val="20"/>
        </w:rPr>
        <w:t xml:space="preserve">Greenfield Sizing Input #2 — Configuration Density</w:t>
      </w:r>
    </w:p>
    <w:p>
      <w:pPr>
        <w:spacing w:after="100" w:before="80" w:line="280"/>
      </w:pPr>
      <w:r>
        <w:rPr>
          <w:i w:val="false"/>
          <w:iCs w:val="false"/>
          <w:color w:val="1A1A2E"/>
          <w:sz w:val="20"/>
          <w:szCs w:val="20"/>
        </w:rPr>
        <w:t xml:space="preserve">Configuration is sized by MODULE × COMPLEXITY TIER. Not all modules are equal — some Oracle modules have hundreds of setup tasks; others have dozens. Complexity tier reflects how deeply the standard configuration needs to be customised to fit the business.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rPr>
          <w:tblHeader/>
        </w:trPr>
        <w:tc>
          <w:tcPr>
            <w:tcW w:type="dxa" w:w="1800"/>
            <w:shd w:fill="1F3F8F" w:val="clear"/>
            <w:tcMar>
              <w:top w:type="dxa" w:w="141"/>
              <w:left w:type="dxa" w:w="170"/>
              <w:bottom w:type="dxa" w:w="141"/>
              <w:right w:type="dxa" w:w="170"/>
            </w:tcMar>
          </w:tcPr>
          <w:p>
            <w:pPr>
              <w:jc w:val="center"/>
            </w:pPr>
            <w:r>
              <w:rPr>
                <w:b/>
                <w:bCs/>
                <w:color w:val="FFFFFF"/>
                <w:sz w:val="18"/>
                <w:szCs w:val="18"/>
              </w:rPr>
              <w:t xml:space="preserve">Tier</w:t>
            </w:r>
          </w:p>
        </w:tc>
        <w:tc>
          <w:tcPr>
            <w:tcW w:type="dxa" w:w="3000"/>
            <w:shd w:fill="1F3F8F" w:val="clear"/>
            <w:tcMar>
              <w:top w:type="dxa" w:w="141"/>
              <w:left w:type="dxa" w:w="170"/>
              <w:bottom w:type="dxa" w:w="141"/>
              <w:right w:type="dxa" w:w="170"/>
            </w:tcMar>
          </w:tcPr>
          <w:p>
            <w:pPr>
              <w:jc w:val="center"/>
            </w:pPr>
            <w:r>
              <w:rPr>
                <w:b/>
                <w:bCs/>
                <w:color w:val="FFFFFF"/>
                <w:sz w:val="18"/>
                <w:szCs w:val="18"/>
              </w:rPr>
              <w:t xml:space="preserve">Definition</w:t>
            </w:r>
          </w:p>
        </w:tc>
        <w:tc>
          <w:tcPr>
            <w:tcW w:type="dxa" w:w="2400"/>
            <w:shd w:fill="1F3F8F" w:val="clear"/>
            <w:tcMar>
              <w:top w:type="dxa" w:w="141"/>
              <w:left w:type="dxa" w:w="170"/>
              <w:bottom w:type="dxa" w:w="141"/>
              <w:right w:type="dxa" w:w="170"/>
            </w:tcMar>
          </w:tcPr>
          <w:p>
            <w:pPr>
              <w:jc w:val="center"/>
            </w:pPr>
            <w:r>
              <w:rPr>
                <w:b/>
                <w:bCs/>
                <w:color w:val="FFFFFF"/>
                <w:sz w:val="18"/>
                <w:szCs w:val="18"/>
              </w:rPr>
              <w:t xml:space="preserve">Examples</w:t>
            </w:r>
          </w:p>
        </w:tc>
        <w:tc>
          <w:tcPr>
            <w:tcW w:type="dxa" w:w="2160"/>
            <w:shd w:fill="1F3F8F" w:val="clear"/>
            <w:tcMar>
              <w:top w:type="dxa" w:w="141"/>
              <w:left w:type="dxa" w:w="170"/>
              <w:bottom w:type="dxa" w:w="141"/>
              <w:right w:type="dxa" w:w="170"/>
            </w:tcMar>
          </w:tcPr>
          <w:p>
            <w:pPr>
              <w:jc w:val="center"/>
            </w:pPr>
            <w:r>
              <w:rPr>
                <w:b/>
                <w:bCs/>
                <w:color w:val="FFFFFF"/>
                <w:sz w:val="18"/>
                <w:szCs w:val="18"/>
              </w:rPr>
              <w:t xml:space="preserve">Sizing Multiplier</w:t>
            </w:r>
          </w:p>
        </w:tc>
      </w:tr>
      <w:tr>
        <w:tc>
          <w:tcPr>
            <w:tcW w:type="dxa" w:w="1800"/>
            <w:shd w:fill="EEF3FB" w:val="clear"/>
            <w:tcMar>
              <w:top w:type="dxa" w:w="113"/>
              <w:left w:type="dxa" w:w="170"/>
              <w:bottom w:type="dxa" w:w="113"/>
              <w:right w:type="dxa" w:w="170"/>
            </w:tcMar>
          </w:tcPr>
          <w:p>
            <w:r>
              <w:rPr>
                <w:b/>
                <w:bCs/>
                <w:color w:val="1F3F8F"/>
                <w:sz w:val="18"/>
                <w:szCs w:val="18"/>
              </w:rPr>
              <w:t xml:space="preserve">Configuration Tier</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Definition</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Oracle Examples</w:t>
            </w:r>
          </w:p>
        </w:tc>
        <w:tc>
          <w:tcPr>
            <w:tcW w:type="dxa" w:w="2160"/>
            <w:shd w:fill="EEF3FB" w:val="clear"/>
            <w:tcMar>
              <w:top w:type="dxa" w:w="113"/>
              <w:left w:type="dxa" w:w="170"/>
              <w:bottom w:type="dxa" w:w="113"/>
              <w:right w:type="dxa" w:w="170"/>
            </w:tcMar>
          </w:tcPr>
          <w:p>
            <w:r>
              <w:rPr>
                <w:b w:val="false"/>
                <w:bCs w:val="false"/>
                <w:color w:val="1A1A2E"/>
                <w:sz w:val="18"/>
                <w:szCs w:val="18"/>
              </w:rPr>
              <w:t xml:space="preserve">Sizing Multiplier</w:t>
            </w:r>
          </w:p>
        </w:tc>
      </w:tr>
      <w:tr>
        <w:tc>
          <w:tcPr>
            <w:tcW w:type="dxa" w:w="1800"/>
            <w:shd w:fill="FFFFFF" w:val="clear"/>
            <w:tcMar>
              <w:top w:type="dxa" w:w="113"/>
              <w:left w:type="dxa" w:w="170"/>
              <w:bottom w:type="dxa" w:w="113"/>
              <w:right w:type="dxa" w:w="170"/>
            </w:tcMar>
          </w:tcPr>
          <w:p>
            <w:r>
              <w:rPr>
                <w:b/>
                <w:bCs/>
                <w:color w:val="1F3F8F"/>
                <w:sz w:val="18"/>
                <w:szCs w:val="18"/>
              </w:rPr>
              <w:t xml:space="preserve">Tier 1 — Standard Adopt</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Use Oracle delivered setup with minimal changes. Business adopts Oracle's way of working.</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Fusion Expenses, basic AP/AR</w:t>
            </w:r>
          </w:p>
        </w:tc>
        <w:tc>
          <w:tcPr>
            <w:tcW w:type="dxa" w:w="2160"/>
            <w:shd w:fill="FFFFFF" w:val="clear"/>
            <w:tcMar>
              <w:top w:type="dxa" w:w="113"/>
              <w:left w:type="dxa" w:w="170"/>
              <w:bottom w:type="dxa" w:w="113"/>
              <w:right w:type="dxa" w:w="170"/>
            </w:tcMar>
          </w:tcPr>
          <w:p>
            <w:r>
              <w:rPr>
                <w:b w:val="false"/>
                <w:bCs w:val="false"/>
                <w:color w:val="1A1A2E"/>
                <w:sz w:val="18"/>
                <w:szCs w:val="18"/>
              </w:rPr>
              <w:t xml:space="preserve">1.0× (baseline)</w:t>
            </w:r>
          </w:p>
        </w:tc>
      </w:tr>
      <w:tr>
        <w:tc>
          <w:tcPr>
            <w:tcW w:type="dxa" w:w="1800"/>
            <w:shd w:fill="EEF3FB" w:val="clear"/>
            <w:tcMar>
              <w:top w:type="dxa" w:w="113"/>
              <w:left w:type="dxa" w:w="170"/>
              <w:bottom w:type="dxa" w:w="113"/>
              <w:right w:type="dxa" w:w="170"/>
            </w:tcMar>
          </w:tcPr>
          <w:p>
            <w:r>
              <w:rPr>
                <w:b/>
                <w:bCs/>
                <w:color w:val="1F3F8F"/>
                <w:sz w:val="18"/>
                <w:szCs w:val="18"/>
              </w:rPr>
              <w:t xml:space="preserve">Tier 2 — Configured</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Oracle standard with significant setup customisation: approval workflows, flexfields, lookups, process orchestration.</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Fusion GL with multi-ledger, Procurement with approval hierarchies</w:t>
            </w:r>
          </w:p>
        </w:tc>
        <w:tc>
          <w:tcPr>
            <w:tcW w:type="dxa" w:w="2160"/>
            <w:shd w:fill="EEF3FB" w:val="clear"/>
            <w:tcMar>
              <w:top w:type="dxa" w:w="113"/>
              <w:left w:type="dxa" w:w="170"/>
              <w:bottom w:type="dxa" w:w="113"/>
              <w:right w:type="dxa" w:w="170"/>
            </w:tcMar>
          </w:tcPr>
          <w:p>
            <w:r>
              <w:rPr>
                <w:b w:val="false"/>
                <w:bCs w:val="false"/>
                <w:color w:val="1A1A2E"/>
                <w:sz w:val="18"/>
                <w:szCs w:val="18"/>
              </w:rPr>
              <w:t xml:space="preserve">1.5–2.0×</w:t>
            </w:r>
          </w:p>
        </w:tc>
      </w:tr>
      <w:tr>
        <w:tc>
          <w:tcPr>
            <w:tcW w:type="dxa" w:w="1800"/>
            <w:shd w:fill="FFFFFF" w:val="clear"/>
            <w:tcMar>
              <w:top w:type="dxa" w:w="113"/>
              <w:left w:type="dxa" w:w="170"/>
              <w:bottom w:type="dxa" w:w="113"/>
              <w:right w:type="dxa" w:w="170"/>
            </w:tcMar>
          </w:tcPr>
          <w:p>
            <w:r>
              <w:rPr>
                <w:b/>
                <w:bCs/>
                <w:color w:val="1F3F8F"/>
                <w:sz w:val="18"/>
                <w:szCs w:val="18"/>
              </w:rPr>
              <w:t xml:space="preserve">Tier 3 — Extended</w:t>
            </w:r>
          </w:p>
        </w:tc>
        <w:tc>
          <w:tcPr>
            <w:tcW w:type="dxa" w:w="3000"/>
            <w:shd w:fill="FFFFFF" w:val="clear"/>
            <w:tcMar>
              <w:top w:type="dxa" w:w="113"/>
              <w:left w:type="dxa" w:w="170"/>
              <w:bottom w:type="dxa" w:w="113"/>
              <w:right w:type="dxa" w:w="170"/>
            </w:tcMar>
          </w:tcPr>
          <w:p>
            <w:r>
              <w:rPr>
                <w:b w:val="false"/>
                <w:bCs w:val="false"/>
                <w:color w:val="1A1A2E"/>
                <w:sz w:val="18"/>
                <w:szCs w:val="18"/>
              </w:rPr>
              <w:t xml:space="preserve">Configuration + extensions: VBCS pages, Groovy scripts, custom OIC integrations, BIP reports beyond standard.</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Complex HCM with custom payroll rules, Complex SCM with custom fulfilment logic</w:t>
            </w:r>
          </w:p>
        </w:tc>
        <w:tc>
          <w:tcPr>
            <w:tcW w:type="dxa" w:w="2160"/>
            <w:shd w:fill="FFFFFF" w:val="clear"/>
            <w:tcMar>
              <w:top w:type="dxa" w:w="113"/>
              <w:left w:type="dxa" w:w="170"/>
              <w:bottom w:type="dxa" w:w="113"/>
              <w:right w:type="dxa" w:w="170"/>
            </w:tcMar>
          </w:tcPr>
          <w:p>
            <w:r>
              <w:rPr>
                <w:b w:val="false"/>
                <w:bCs w:val="false"/>
                <w:color w:val="1A1A2E"/>
                <w:sz w:val="18"/>
                <w:szCs w:val="18"/>
              </w:rPr>
              <w:t xml:space="preserve">2.5–3.5×</w:t>
            </w:r>
          </w:p>
        </w:tc>
      </w:tr>
      <w:tr>
        <w:tc>
          <w:tcPr>
            <w:tcW w:type="dxa" w:w="1800"/>
            <w:shd w:fill="EEF3FB" w:val="clear"/>
            <w:tcMar>
              <w:top w:type="dxa" w:w="113"/>
              <w:left w:type="dxa" w:w="170"/>
              <w:bottom w:type="dxa" w:w="113"/>
              <w:right w:type="dxa" w:w="170"/>
            </w:tcMar>
          </w:tcPr>
          <w:p>
            <w:r>
              <w:rPr>
                <w:b/>
                <w:bCs/>
                <w:color w:val="1F3F8F"/>
                <w:sz w:val="18"/>
                <w:szCs w:val="18"/>
              </w:rPr>
              <w:t xml:space="preserve">Tier 4 — Highly Bespoke</w:t>
            </w:r>
          </w:p>
        </w:tc>
        <w:tc>
          <w:tcPr>
            <w:tcW w:type="dxa" w:w="3000"/>
            <w:shd w:fill="EEF3FB" w:val="clear"/>
            <w:tcMar>
              <w:top w:type="dxa" w:w="113"/>
              <w:left w:type="dxa" w:w="170"/>
              <w:bottom w:type="dxa" w:w="113"/>
              <w:right w:type="dxa" w:w="170"/>
            </w:tcMar>
          </w:tcPr>
          <w:p>
            <w:r>
              <w:rPr>
                <w:b w:val="false"/>
                <w:bCs w:val="false"/>
                <w:color w:val="1A1A2E"/>
                <w:sz w:val="18"/>
                <w:szCs w:val="18"/>
              </w:rPr>
              <w:t xml:space="preserve">Significant custom development required. Standard product does not adequately cover the business need.</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Rare in Fusion; more common in ECC/PeopleSoft implementations</w:t>
            </w:r>
          </w:p>
        </w:tc>
        <w:tc>
          <w:tcPr>
            <w:tcW w:type="dxa" w:w="2160"/>
            <w:shd w:fill="EEF3FB" w:val="clear"/>
            <w:tcMar>
              <w:top w:type="dxa" w:w="113"/>
              <w:left w:type="dxa" w:w="170"/>
              <w:bottom w:type="dxa" w:w="113"/>
              <w:right w:type="dxa" w:w="170"/>
            </w:tcMar>
          </w:tcPr>
          <w:p>
            <w:r>
              <w:rPr>
                <w:b w:val="false"/>
                <w:bCs w:val="false"/>
                <w:color w:val="1A1A2E"/>
                <w:sz w:val="18"/>
                <w:szCs w:val="18"/>
              </w:rPr>
              <w:t xml:space="preserve">4.0–6.0×</w:t>
            </w:r>
          </w:p>
        </w:tc>
      </w:tr>
    </w:tbl>
    <w:p>
      <w:pPr>
        <w:spacing w:after="0" w:before="80"/>
      </w:pPr>
      <w:r>
        <w:t xml:space="preserve"/>
      </w:r>
    </w:p>
    <w:p>
      <w:pPr>
        <w:pStyle w:val="Heading3"/>
        <w:spacing w:after="100" w:before="240"/>
      </w:pPr>
      <w:r>
        <w:rPr>
          <w:b/>
          <w:bCs/>
          <w:color w:val="1F3F8F"/>
          <w:sz w:val="20"/>
          <w:szCs w:val="20"/>
        </w:rPr>
        <w:t xml:space="preserve">Greenfield Sizing Input #3 — Extension Object Inventory (WRICEF)</w:t>
      </w:r>
    </w:p>
    <w:p>
      <w:pPr>
        <w:spacing w:after="100" w:before="80" w:line="280"/>
      </w:pPr>
      <w:r>
        <w:rPr>
          <w:i w:val="false"/>
          <w:iCs w:val="false"/>
          <w:color w:val="1A1A2E"/>
          <w:sz w:val="20"/>
          <w:szCs w:val="20"/>
        </w:rPr>
        <w:t xml:space="preserve">Extensions are sized by counting and classifying WRICEF objects (Workflows, Reports, Interfaces, Conversions, Extensions, Forms). In Greenfield, these are determined by the gap between what Oracle delivers and what the business needs.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200"/>
        <w:gridCol w:w="3460"/>
      </w:tblGrid>
      <w:tr>
        <w:trPr>
          <w:tblHeader/>
        </w:trPr>
        <w:tc>
          <w:tcPr>
            <w:tcW w:type="dxa" w:w="900"/>
            <w:shd w:fill="1F3F8F" w:val="clear"/>
            <w:tcMar>
              <w:top w:type="dxa" w:w="141"/>
              <w:left w:type="dxa" w:w="170"/>
              <w:bottom w:type="dxa" w:w="141"/>
              <w:right w:type="dxa" w:w="170"/>
            </w:tcMar>
          </w:tcPr>
          <w:p>
            <w:pPr>
              <w:jc w:val="center"/>
            </w:pPr>
            <w:r>
              <w:rPr>
                <w:b/>
                <w:bCs/>
                <w:color w:val="FFFFFF"/>
                <w:sz w:val="18"/>
                <w:szCs w:val="18"/>
              </w:rPr>
              <w:t xml:space="preserve">Type</w:t>
            </w:r>
          </w:p>
        </w:tc>
        <w:tc>
          <w:tcPr>
            <w:tcW w:type="dxa" w:w="2800"/>
            <w:shd w:fill="1F3F8F" w:val="clear"/>
            <w:tcMar>
              <w:top w:type="dxa" w:w="141"/>
              <w:left w:type="dxa" w:w="170"/>
              <w:bottom w:type="dxa" w:w="141"/>
              <w:right w:type="dxa" w:w="170"/>
            </w:tcMar>
          </w:tcPr>
          <w:p>
            <w:pPr>
              <w:jc w:val="center"/>
            </w:pPr>
            <w:r>
              <w:rPr>
                <w:b/>
                <w:bCs/>
                <w:color w:val="FFFFFF"/>
                <w:sz w:val="18"/>
                <w:szCs w:val="18"/>
              </w:rPr>
              <w:t xml:space="preserve">Volume Determination</w:t>
            </w:r>
          </w:p>
        </w:tc>
        <w:tc>
          <w:tcPr>
            <w:tcW w:type="dxa" w:w="2200"/>
            <w:shd w:fill="1F3F8F" w:val="clear"/>
            <w:tcMar>
              <w:top w:type="dxa" w:w="141"/>
              <w:left w:type="dxa" w:w="170"/>
              <w:bottom w:type="dxa" w:w="141"/>
              <w:right w:type="dxa" w:w="170"/>
            </w:tcMar>
          </w:tcPr>
          <w:p>
            <w:pPr>
              <w:jc w:val="center"/>
            </w:pPr>
            <w:r>
              <w:rPr>
                <w:b/>
                <w:bCs/>
                <w:color w:val="FFFFFF"/>
                <w:sz w:val="18"/>
                <w:szCs w:val="18"/>
              </w:rPr>
              <w:t xml:space="preserve">Complexity Classification</w:t>
            </w:r>
          </w:p>
        </w:tc>
        <w:tc>
          <w:tcPr>
            <w:tcW w:type="dxa" w:w="3460"/>
            <w:shd w:fill="1F3F8F" w:val="clear"/>
            <w:tcMar>
              <w:top w:type="dxa" w:w="141"/>
              <w:left w:type="dxa" w:w="170"/>
              <w:bottom w:type="dxa" w:w="141"/>
              <w:right w:type="dxa" w:w="170"/>
            </w:tcMar>
          </w:tcPr>
          <w:p>
            <w:pPr>
              <w:jc w:val="center"/>
            </w:pPr>
            <w:r>
              <w:rPr>
                <w:b/>
                <w:bCs/>
                <w:color w:val="FFFFFF"/>
                <w:sz w:val="18"/>
                <w:szCs w:val="18"/>
              </w:rPr>
              <w:t xml:space="preserve">AI Lever</w:t>
            </w:r>
          </w:p>
        </w:tc>
      </w:tr>
      <w:tr>
        <w:tc>
          <w:tcPr>
            <w:tcW w:type="dxa" w:w="900"/>
            <w:shd w:fill="EEF3FB" w:val="clear"/>
            <w:tcMar>
              <w:top w:type="dxa" w:w="113"/>
              <w:left w:type="dxa" w:w="170"/>
              <w:bottom w:type="dxa" w:w="113"/>
              <w:right w:type="dxa" w:w="170"/>
            </w:tcMar>
          </w:tcPr>
          <w:p>
            <w:r>
              <w:rPr>
                <w:b/>
                <w:bCs/>
                <w:color w:val="1F3F8F"/>
                <w:sz w:val="18"/>
                <w:szCs w:val="18"/>
              </w:rPr>
              <w:t xml:space="preserve">Object Type</w:t>
            </w:r>
          </w:p>
        </w:tc>
        <w:tc>
          <w:tcPr>
            <w:tcW w:type="dxa" w:w="2800"/>
            <w:shd w:fill="EEF3FB" w:val="clear"/>
            <w:tcMar>
              <w:top w:type="dxa" w:w="113"/>
              <w:left w:type="dxa" w:w="170"/>
              <w:bottom w:type="dxa" w:w="113"/>
              <w:right w:type="dxa" w:w="170"/>
            </w:tcMar>
          </w:tcPr>
          <w:p>
            <w:r>
              <w:rPr>
                <w:b w:val="false"/>
                <w:bCs w:val="false"/>
                <w:color w:val="1A1A2E"/>
                <w:sz w:val="18"/>
                <w:szCs w:val="18"/>
              </w:rPr>
              <w:t xml:space="preserve">How Volume is Determined (Greenfield)</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Complexity Classification</w:t>
            </w:r>
          </w:p>
        </w:tc>
        <w:tc>
          <w:tcPr>
            <w:tcW w:type="dxa" w:w="3460"/>
            <w:shd w:fill="EEF3FB" w:val="clear"/>
            <w:tcMar>
              <w:top w:type="dxa" w:w="113"/>
              <w:left w:type="dxa" w:w="170"/>
              <w:bottom w:type="dxa" w:w="113"/>
              <w:right w:type="dxa" w:w="170"/>
            </w:tcMar>
          </w:tcPr>
          <w:p>
            <w:r>
              <w:rPr>
                <w:b w:val="false"/>
                <w:bCs w:val="false"/>
                <w:color w:val="1A1A2E"/>
                <w:sz w:val="18"/>
                <w:szCs w:val="18"/>
              </w:rPr>
              <w:t xml:space="preserve">AI Sizing Lever</w:t>
            </w:r>
          </w:p>
        </w:tc>
      </w:tr>
      <w:tr>
        <w:tc>
          <w:tcPr>
            <w:tcW w:type="dxa" w:w="900"/>
            <w:shd w:fill="FFFFFF" w:val="clear"/>
            <w:tcMar>
              <w:top w:type="dxa" w:w="113"/>
              <w:left w:type="dxa" w:w="170"/>
              <w:bottom w:type="dxa" w:w="113"/>
              <w:right w:type="dxa" w:w="170"/>
            </w:tcMar>
          </w:tcPr>
          <w:p>
            <w:r>
              <w:rPr>
                <w:b/>
                <w:bCs/>
                <w:color w:val="1F3F8F"/>
                <w:sz w:val="18"/>
                <w:szCs w:val="18"/>
              </w:rPr>
              <w:t xml:space="preserve">W — Workflow / Approval</w:t>
            </w:r>
          </w:p>
        </w:tc>
        <w:tc>
          <w:tcPr>
            <w:tcW w:type="dxa" w:w="2800"/>
            <w:shd w:fill="FFFFFF" w:val="clear"/>
            <w:tcMar>
              <w:top w:type="dxa" w:w="113"/>
              <w:left w:type="dxa" w:w="170"/>
              <w:bottom w:type="dxa" w:w="113"/>
              <w:right w:type="dxa" w:w="170"/>
            </w:tcMar>
          </w:tcPr>
          <w:p>
            <w:r>
              <w:rPr>
                <w:b w:val="false"/>
                <w:bCs w:val="false"/>
                <w:color w:val="1A1A2E"/>
                <w:sz w:val="18"/>
                <w:szCs w:val="18"/>
              </w:rPr>
              <w:t xml:space="preserve">Count approval flows not covered by Oracle standard workflow configurator</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H: multi-level, conditional; M: standard multi-level; L: simple</w:t>
            </w:r>
          </w:p>
        </w:tc>
        <w:tc>
          <w:tcPr>
            <w:tcW w:type="dxa" w:w="3460"/>
            <w:shd w:fill="FFFFFF" w:val="clear"/>
            <w:tcMar>
              <w:top w:type="dxa" w:w="113"/>
              <w:left w:type="dxa" w:w="170"/>
              <w:bottom w:type="dxa" w:w="113"/>
              <w:right w:type="dxa" w:w="170"/>
            </w:tcMar>
          </w:tcPr>
          <w:p>
            <w:r>
              <w:rPr>
                <w:b w:val="false"/>
                <w:bCs w:val="false"/>
                <w:color w:val="1A1A2E"/>
                <w:sz w:val="18"/>
                <w:szCs w:val="18"/>
              </w:rPr>
              <w:t xml:space="preserve">AI reads org chart + approval policy → suggests workflow count</w:t>
            </w:r>
          </w:p>
        </w:tc>
      </w:tr>
      <w:tr>
        <w:tc>
          <w:tcPr>
            <w:tcW w:type="dxa" w:w="900"/>
            <w:shd w:fill="EEF3FB" w:val="clear"/>
            <w:tcMar>
              <w:top w:type="dxa" w:w="113"/>
              <w:left w:type="dxa" w:w="170"/>
              <w:bottom w:type="dxa" w:w="113"/>
              <w:right w:type="dxa" w:w="170"/>
            </w:tcMar>
          </w:tcPr>
          <w:p>
            <w:r>
              <w:rPr>
                <w:b/>
                <w:bCs/>
                <w:color w:val="1F3F8F"/>
                <w:sz w:val="18"/>
                <w:szCs w:val="18"/>
              </w:rPr>
              <w:t xml:space="preserve">R — Reports</w:t>
            </w:r>
          </w:p>
        </w:tc>
        <w:tc>
          <w:tcPr>
            <w:tcW w:type="dxa" w:w="2800"/>
            <w:shd w:fill="EEF3FB" w:val="clear"/>
            <w:tcMar>
              <w:top w:type="dxa" w:w="113"/>
              <w:left w:type="dxa" w:w="170"/>
              <w:bottom w:type="dxa" w:w="113"/>
              <w:right w:type="dxa" w:w="170"/>
            </w:tcMar>
          </w:tcPr>
          <w:p>
            <w:r>
              <w:rPr>
                <w:b w:val="false"/>
                <w:bCs w:val="false"/>
                <w:color w:val="1A1A2E"/>
                <w:sz w:val="18"/>
                <w:szCs w:val="18"/>
              </w:rPr>
              <w:t xml:space="preserve">Count reports needed beyond Oracle standard: operational, regulatory, management</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H: complex multi-data source; M: single module; L: simple list</w:t>
            </w:r>
          </w:p>
        </w:tc>
        <w:tc>
          <w:tcPr>
            <w:tcW w:type="dxa" w:w="3460"/>
            <w:shd w:fill="EEF3FB" w:val="clear"/>
            <w:tcMar>
              <w:top w:type="dxa" w:w="113"/>
              <w:left w:type="dxa" w:w="170"/>
              <w:bottom w:type="dxa" w:w="113"/>
              <w:right w:type="dxa" w:w="170"/>
            </w:tcMar>
          </w:tcPr>
          <w:p>
            <w:r>
              <w:rPr>
                <w:b w:val="false"/>
                <w:bCs w:val="false"/>
                <w:color w:val="1A1A2E"/>
                <w:sz w:val="18"/>
                <w:szCs w:val="18"/>
              </w:rPr>
              <w:t xml:space="preserve">AI maps report catalogue to Oracle delivered vs gap reports</w:t>
            </w:r>
          </w:p>
        </w:tc>
      </w:tr>
      <w:tr>
        <w:tc>
          <w:tcPr>
            <w:tcW w:type="dxa" w:w="900"/>
            <w:shd w:fill="FFFFFF" w:val="clear"/>
            <w:tcMar>
              <w:top w:type="dxa" w:w="113"/>
              <w:left w:type="dxa" w:w="170"/>
              <w:bottom w:type="dxa" w:w="113"/>
              <w:right w:type="dxa" w:w="170"/>
            </w:tcMar>
          </w:tcPr>
          <w:p>
            <w:r>
              <w:rPr>
                <w:b/>
                <w:bCs/>
                <w:color w:val="1F3F8F"/>
                <w:sz w:val="18"/>
                <w:szCs w:val="18"/>
              </w:rPr>
              <w:t xml:space="preserve">I — Interfaces (Inbound/Outbound)</w:t>
            </w:r>
          </w:p>
        </w:tc>
        <w:tc>
          <w:tcPr>
            <w:tcW w:type="dxa" w:w="2800"/>
            <w:shd w:fill="FFFFFF" w:val="clear"/>
            <w:tcMar>
              <w:top w:type="dxa" w:w="113"/>
              <w:left w:type="dxa" w:w="170"/>
              <w:bottom w:type="dxa" w:w="113"/>
              <w:right w:type="dxa" w:w="170"/>
            </w:tcMar>
          </w:tcPr>
          <w:p>
            <w:r>
              <w:rPr>
                <w:b w:val="false"/>
                <w:bCs w:val="false"/>
                <w:color w:val="1A1A2E"/>
                <w:sz w:val="18"/>
                <w:szCs w:val="18"/>
              </w:rPr>
              <w:t xml:space="preserve">Count system-to-system integrations with 3rd party and legacy systems</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H: complex transformation, real-time; M: batch with transformation; L: simple batch</w:t>
            </w:r>
          </w:p>
        </w:tc>
        <w:tc>
          <w:tcPr>
            <w:tcW w:type="dxa" w:w="3460"/>
            <w:shd w:fill="FFFFFF" w:val="clear"/>
            <w:tcMar>
              <w:top w:type="dxa" w:w="113"/>
              <w:left w:type="dxa" w:w="170"/>
              <w:bottom w:type="dxa" w:w="113"/>
              <w:right w:type="dxa" w:w="170"/>
            </w:tcMar>
          </w:tcPr>
          <w:p>
            <w:r>
              <w:rPr>
                <w:b w:val="false"/>
                <w:bCs w:val="false"/>
                <w:color w:val="1A1A2E"/>
                <w:sz w:val="18"/>
                <w:szCs w:val="18"/>
              </w:rPr>
              <w:t xml:space="preserve">AI maps integration landscape diagram to OIC template count</w:t>
            </w:r>
          </w:p>
        </w:tc>
      </w:tr>
      <w:tr>
        <w:tc>
          <w:tcPr>
            <w:tcW w:type="dxa" w:w="900"/>
            <w:shd w:fill="EEF3FB" w:val="clear"/>
            <w:tcMar>
              <w:top w:type="dxa" w:w="113"/>
              <w:left w:type="dxa" w:w="170"/>
              <w:bottom w:type="dxa" w:w="113"/>
              <w:right w:type="dxa" w:w="170"/>
            </w:tcMar>
          </w:tcPr>
          <w:p>
            <w:r>
              <w:rPr>
                <w:b/>
                <w:bCs/>
                <w:color w:val="1F3F8F"/>
                <w:sz w:val="18"/>
                <w:szCs w:val="18"/>
              </w:rPr>
              <w:t xml:space="preserve">C — Conversions</w:t>
            </w:r>
          </w:p>
        </w:tc>
        <w:tc>
          <w:tcPr>
            <w:tcW w:type="dxa" w:w="2800"/>
            <w:shd w:fill="EEF3FB" w:val="clear"/>
            <w:tcMar>
              <w:top w:type="dxa" w:w="113"/>
              <w:left w:type="dxa" w:w="170"/>
              <w:bottom w:type="dxa" w:w="113"/>
              <w:right w:type="dxa" w:w="170"/>
            </w:tcMar>
          </w:tcPr>
          <w:p>
            <w:r>
              <w:rPr>
                <w:b w:val="false"/>
                <w:bCs w:val="false"/>
                <w:color w:val="1A1A2E"/>
                <w:sz w:val="18"/>
                <w:szCs w:val="18"/>
              </w:rPr>
              <w:t xml:space="preserve">Count master data entities + transactional history to load</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Sized separately — see Data Migration volumetrics below</w:t>
            </w:r>
          </w:p>
        </w:tc>
        <w:tc>
          <w:tcPr>
            <w:tcW w:type="dxa" w:w="3460"/>
            <w:shd w:fill="EEF3FB" w:val="clear"/>
            <w:tcMar>
              <w:top w:type="dxa" w:w="113"/>
              <w:left w:type="dxa" w:w="170"/>
              <w:bottom w:type="dxa" w:w="113"/>
              <w:right w:type="dxa" w:w="170"/>
            </w:tcMar>
          </w:tcPr>
          <w:p>
            <w:r>
              <w:rPr>
                <w:b w:val="false"/>
                <w:bCs w:val="false"/>
                <w:color w:val="1A1A2E"/>
                <w:sz w:val="18"/>
                <w:szCs w:val="18"/>
              </w:rPr>
              <w:t xml:space="preserve">AI auto-generates FBDI template inventory from data model</w:t>
            </w:r>
          </w:p>
        </w:tc>
      </w:tr>
      <w:tr>
        <w:tc>
          <w:tcPr>
            <w:tcW w:type="dxa" w:w="900"/>
            <w:shd w:fill="FFFFFF" w:val="clear"/>
            <w:tcMar>
              <w:top w:type="dxa" w:w="113"/>
              <w:left w:type="dxa" w:w="170"/>
              <w:bottom w:type="dxa" w:w="113"/>
              <w:right w:type="dxa" w:w="170"/>
            </w:tcMar>
          </w:tcPr>
          <w:p>
            <w:r>
              <w:rPr>
                <w:b/>
                <w:bCs/>
                <w:color w:val="1F3F8F"/>
                <w:sz w:val="18"/>
                <w:szCs w:val="18"/>
              </w:rPr>
              <w:t xml:space="preserve">E — Extensions / Enhancements</w:t>
            </w:r>
          </w:p>
        </w:tc>
        <w:tc>
          <w:tcPr>
            <w:tcW w:type="dxa" w:w="2800"/>
            <w:shd w:fill="FFFFFF" w:val="clear"/>
            <w:tcMar>
              <w:top w:type="dxa" w:w="113"/>
              <w:left w:type="dxa" w:w="170"/>
              <w:bottom w:type="dxa" w:w="113"/>
              <w:right w:type="dxa" w:w="170"/>
            </w:tcMar>
          </w:tcPr>
          <w:p>
            <w:r>
              <w:rPr>
                <w:b w:val="false"/>
                <w:bCs w:val="false"/>
                <w:color w:val="1A1A2E"/>
                <w:sz w:val="18"/>
                <w:szCs w:val="18"/>
              </w:rPr>
              <w:t xml:space="preserve">Custom pages, Groovy scripts, VBCS apps to add functionality</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H: new page / complex logic; M: field add + validation; L: simple field default</w:t>
            </w:r>
          </w:p>
        </w:tc>
        <w:tc>
          <w:tcPr>
            <w:tcW w:type="dxa" w:w="3460"/>
            <w:shd w:fill="FFFFFF" w:val="clear"/>
            <w:tcMar>
              <w:top w:type="dxa" w:w="113"/>
              <w:left w:type="dxa" w:w="170"/>
              <w:bottom w:type="dxa" w:w="113"/>
              <w:right w:type="dxa" w:w="170"/>
            </w:tcMar>
          </w:tcPr>
          <w:p>
            <w:r>
              <w:rPr>
                <w:b w:val="false"/>
                <w:bCs w:val="false"/>
                <w:color w:val="1A1A2E"/>
                <w:sz w:val="18"/>
                <w:szCs w:val="18"/>
              </w:rPr>
              <w:t xml:space="preserve">AI analyses requirements gap list → extension type classification</w:t>
            </w:r>
          </w:p>
        </w:tc>
      </w:tr>
      <w:tr>
        <w:tc>
          <w:tcPr>
            <w:tcW w:type="dxa" w:w="900"/>
            <w:shd w:fill="EEF3FB" w:val="clear"/>
            <w:tcMar>
              <w:top w:type="dxa" w:w="113"/>
              <w:left w:type="dxa" w:w="170"/>
              <w:bottom w:type="dxa" w:w="113"/>
              <w:right w:type="dxa" w:w="170"/>
            </w:tcMar>
          </w:tcPr>
          <w:p>
            <w:r>
              <w:rPr>
                <w:b/>
                <w:bCs/>
                <w:color w:val="1F3F8F"/>
                <w:sz w:val="18"/>
                <w:szCs w:val="18"/>
              </w:rPr>
              <w:t xml:space="preserve">F — Forms / Screens</w:t>
            </w:r>
          </w:p>
        </w:tc>
        <w:tc>
          <w:tcPr>
            <w:tcW w:type="dxa" w:w="2800"/>
            <w:shd w:fill="EEF3FB" w:val="clear"/>
            <w:tcMar>
              <w:top w:type="dxa" w:w="113"/>
              <w:left w:type="dxa" w:w="170"/>
              <w:bottom w:type="dxa" w:w="113"/>
              <w:right w:type="dxa" w:w="170"/>
            </w:tcMar>
          </w:tcPr>
          <w:p>
            <w:r>
              <w:rPr>
                <w:b w:val="false"/>
                <w:bCs w:val="false"/>
                <w:color w:val="1A1A2E"/>
                <w:sz w:val="18"/>
                <w:szCs w:val="18"/>
              </w:rPr>
              <w:t xml:space="preserve">In Fusion context: custom VBCS forms for unique data capture</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H: complex multi-section; M: standard form; L: simple single field</w:t>
            </w:r>
          </w:p>
        </w:tc>
        <w:tc>
          <w:tcPr>
            <w:tcW w:type="dxa" w:w="3460"/>
            <w:shd w:fill="EEF3FB" w:val="clear"/>
            <w:tcMar>
              <w:top w:type="dxa" w:w="113"/>
              <w:left w:type="dxa" w:w="170"/>
              <w:bottom w:type="dxa" w:w="113"/>
              <w:right w:type="dxa" w:w="170"/>
            </w:tcMar>
          </w:tcPr>
          <w:p>
            <w:r>
              <w:rPr>
                <w:b w:val="false"/>
                <w:bCs w:val="false"/>
                <w:color w:val="1A1A2E"/>
                <w:sz w:val="18"/>
                <w:szCs w:val="18"/>
              </w:rPr>
              <w:t xml:space="preserve">AI generates VBCS form from UI wireframe or data model</w:t>
            </w:r>
          </w:p>
        </w:tc>
      </w:tr>
    </w:tbl>
    <w:p>
      <w:pPr>
        <w:spacing w:after="0" w:before="80"/>
      </w:pPr>
      <w:r>
        <w:t xml:space="preserve"/>
      </w:r>
    </w:p>
    <w:p>
      <w:pPr>
        <w:pStyle w:val="Heading3"/>
        <w:spacing w:after="100" w:before="240"/>
      </w:pPr>
      <w:r>
        <w:rPr>
          <w:b/>
          <w:bCs/>
          <w:color w:val="1F3F8F"/>
          <w:sz w:val="20"/>
          <w:szCs w:val="20"/>
        </w:rPr>
        <w:t xml:space="preserve">Greenfield Sizing Input #4 — Data Migration Volumetrics</w:t>
      </w:r>
    </w:p>
    <w:p>
      <w:pPr>
        <w:spacing w:after="100" w:before="80" w:line="280"/>
      </w:pPr>
      <w:r>
        <w:rPr>
          <w:i w:val="false"/>
          <w:iCs w:val="false"/>
          <w:color w:val="1A1A2E"/>
          <w:sz w:val="20"/>
          <w:szCs w:val="20"/>
        </w:rPr>
        <w:t xml:space="preserve">In Greenfield, data migration means loading master data and any opening balances or transactional history from source systems (which may be spreadsheets, legacy ERP, or disparate databases) into the new Oracle 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000"/>
        <w:gridCol w:w="4060"/>
      </w:tblGrid>
      <w:tr>
        <w:trPr>
          <w:tblHeader/>
        </w:trPr>
        <w:tc>
          <w:tcPr>
            <w:tcW w:type="dxa" w:w="1800"/>
            <w:shd w:fill="1F3F8F" w:val="clear"/>
            <w:tcMar>
              <w:top w:type="dxa" w:w="141"/>
              <w:left w:type="dxa" w:w="170"/>
              <w:bottom w:type="dxa" w:w="141"/>
              <w:right w:type="dxa" w:w="170"/>
            </w:tcMar>
          </w:tcPr>
          <w:p>
            <w:pPr>
              <w:jc w:val="center"/>
            </w:pPr>
            <w:r>
              <w:rPr>
                <w:b/>
                <w:bCs/>
                <w:color w:val="FFFFFF"/>
                <w:sz w:val="18"/>
                <w:szCs w:val="18"/>
              </w:rPr>
              <w:t xml:space="preserve">Entity Type</w:t>
            </w:r>
          </w:p>
        </w:tc>
        <w:tc>
          <w:tcPr>
            <w:tcW w:type="dxa" w:w="1500"/>
            <w:shd w:fill="1F3F8F" w:val="clear"/>
            <w:tcMar>
              <w:top w:type="dxa" w:w="141"/>
              <w:left w:type="dxa" w:w="170"/>
              <w:bottom w:type="dxa" w:w="141"/>
              <w:right w:type="dxa" w:w="170"/>
            </w:tcMar>
          </w:tcPr>
          <w:p>
            <w:pPr>
              <w:jc w:val="center"/>
            </w:pPr>
            <w:r>
              <w:rPr>
                <w:b/>
                <w:bCs/>
                <w:color w:val="FFFFFF"/>
                <w:sz w:val="18"/>
                <w:szCs w:val="18"/>
              </w:rPr>
              <w:t xml:space="preserve">Volume Metric</w:t>
            </w:r>
          </w:p>
        </w:tc>
        <w:tc>
          <w:tcPr>
            <w:tcW w:type="dxa" w:w="2000"/>
            <w:shd w:fill="1F3F8F" w:val="clear"/>
            <w:tcMar>
              <w:top w:type="dxa" w:w="141"/>
              <w:left w:type="dxa" w:w="170"/>
              <w:bottom w:type="dxa" w:w="141"/>
              <w:right w:type="dxa" w:w="170"/>
            </w:tcMar>
          </w:tcPr>
          <w:p>
            <w:pPr>
              <w:jc w:val="center"/>
            </w:pPr>
            <w:r>
              <w:rPr>
                <w:b/>
                <w:bCs/>
                <w:color w:val="FFFFFF"/>
                <w:sz w:val="18"/>
                <w:szCs w:val="18"/>
              </w:rPr>
              <w:t xml:space="preserve">Complexity Drivers</w:t>
            </w:r>
          </w:p>
        </w:tc>
        <w:tc>
          <w:tcPr>
            <w:tcW w:type="dxa" w:w="4060"/>
            <w:shd w:fill="1F3F8F" w:val="clear"/>
            <w:tcMar>
              <w:top w:type="dxa" w:w="141"/>
              <w:left w:type="dxa" w:w="170"/>
              <w:bottom w:type="dxa" w:w="141"/>
              <w:right w:type="dxa" w:w="170"/>
            </w:tcMar>
          </w:tcPr>
          <w:p>
            <w:pPr>
              <w:jc w:val="center"/>
            </w:pPr>
            <w:r>
              <w:rPr>
                <w:b/>
                <w:bCs/>
                <w:color w:val="FFFFFF"/>
                <w:sz w:val="18"/>
                <w:szCs w:val="18"/>
              </w:rPr>
              <w:t xml:space="preserve">Sizing Guide</w:t>
            </w:r>
          </w:p>
        </w:tc>
      </w:tr>
      <w:tr>
        <w:tc>
          <w:tcPr>
            <w:tcW w:type="dxa" w:w="1800"/>
            <w:shd w:fill="EEF3FB" w:val="clear"/>
            <w:tcMar>
              <w:top w:type="dxa" w:w="113"/>
              <w:left w:type="dxa" w:w="170"/>
              <w:bottom w:type="dxa" w:w="113"/>
              <w:right w:type="dxa" w:w="170"/>
            </w:tcMar>
          </w:tcPr>
          <w:p>
            <w:r>
              <w:rPr>
                <w:b/>
                <w:bCs/>
                <w:color w:val="1F3F8F"/>
                <w:sz w:val="18"/>
                <w:szCs w:val="18"/>
              </w:rPr>
              <w:t xml:space="preserve">Data Entity Type</w:t>
            </w:r>
          </w:p>
        </w:tc>
        <w:tc>
          <w:tcPr>
            <w:tcW w:type="dxa" w:w="1500"/>
            <w:shd w:fill="EEF3FB" w:val="clear"/>
            <w:tcMar>
              <w:top w:type="dxa" w:w="113"/>
              <w:left w:type="dxa" w:w="170"/>
              <w:bottom w:type="dxa" w:w="113"/>
              <w:right w:type="dxa" w:w="170"/>
            </w:tcMar>
          </w:tcPr>
          <w:p>
            <w:r>
              <w:rPr>
                <w:b w:val="false"/>
                <w:bCs w:val="false"/>
                <w:color w:val="1A1A2E"/>
                <w:sz w:val="18"/>
                <w:szCs w:val="18"/>
              </w:rPr>
              <w:t xml:space="preserve">Volume Metric</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Complexity Drivers</w:t>
            </w:r>
          </w:p>
        </w:tc>
        <w:tc>
          <w:tcPr>
            <w:tcW w:type="dxa" w:w="4060"/>
            <w:shd w:fill="EEF3FB" w:val="clear"/>
            <w:tcMar>
              <w:top w:type="dxa" w:w="113"/>
              <w:left w:type="dxa" w:w="170"/>
              <w:bottom w:type="dxa" w:w="113"/>
              <w:right w:type="dxa" w:w="170"/>
            </w:tcMar>
          </w:tcPr>
          <w:p>
            <w:r>
              <w:rPr>
                <w:b w:val="false"/>
                <w:bCs w:val="false"/>
                <w:color w:val="1A1A2E"/>
                <w:sz w:val="18"/>
                <w:szCs w:val="18"/>
              </w:rPr>
              <w:t xml:space="preserve">Typical Greenfield Data Migration Sizing Parameters</w:t>
            </w:r>
          </w:p>
        </w:tc>
      </w:tr>
      <w:tr>
        <w:tc>
          <w:tcPr>
            <w:tcW w:type="dxa" w:w="1800"/>
            <w:shd w:fill="FFFFFF" w:val="clear"/>
            <w:tcMar>
              <w:top w:type="dxa" w:w="113"/>
              <w:left w:type="dxa" w:w="170"/>
              <w:bottom w:type="dxa" w:w="113"/>
              <w:right w:type="dxa" w:w="170"/>
            </w:tcMar>
          </w:tcPr>
          <w:p>
            <w:r>
              <w:rPr>
                <w:b/>
                <w:bCs/>
                <w:color w:val="1F3F8F"/>
                <w:sz w:val="18"/>
                <w:szCs w:val="18"/>
              </w:rPr>
              <w:t xml:space="preserve">Master Data — Customers</w:t>
            </w:r>
          </w:p>
        </w:tc>
        <w:tc>
          <w:tcPr>
            <w:tcW w:type="dxa" w:w="1500"/>
            <w:shd w:fill="FFFFFF" w:val="clear"/>
            <w:tcMar>
              <w:top w:type="dxa" w:w="113"/>
              <w:left w:type="dxa" w:w="170"/>
              <w:bottom w:type="dxa" w:w="113"/>
              <w:right w:type="dxa" w:w="170"/>
            </w:tcMar>
          </w:tcPr>
          <w:p>
            <w:r>
              <w:rPr>
                <w:b w:val="false"/>
                <w:bCs w:val="false"/>
                <w:color w:val="1A1A2E"/>
                <w:sz w:val="18"/>
                <w:szCs w:val="18"/>
              </w:rPr>
              <w:t xml:space="preserve">Record count</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Deduplication need, address validation, hierarchy</w:t>
            </w:r>
          </w:p>
        </w:tc>
        <w:tc>
          <w:tcPr>
            <w:tcW w:type="dxa" w:w="4060"/>
            <w:shd w:fill="FFFFFF" w:val="clear"/>
            <w:tcMar>
              <w:top w:type="dxa" w:w="113"/>
              <w:left w:type="dxa" w:w="170"/>
              <w:bottom w:type="dxa" w:w="113"/>
              <w:right w:type="dxa" w:w="170"/>
            </w:tcMar>
          </w:tcPr>
          <w:p>
            <w:r>
              <w:rPr>
                <w:b w:val="false"/>
                <w:bCs w:val="false"/>
                <w:color w:val="1A1A2E"/>
                <w:sz w:val="18"/>
                <w:szCs w:val="18"/>
              </w:rPr>
              <w:t xml:space="preserve">&lt;5K = Low; 5K–50K = Medium; &gt;50K = High</w:t>
            </w:r>
          </w:p>
        </w:tc>
      </w:tr>
      <w:tr>
        <w:tc>
          <w:tcPr>
            <w:tcW w:type="dxa" w:w="1800"/>
            <w:shd w:fill="EEF3FB" w:val="clear"/>
            <w:tcMar>
              <w:top w:type="dxa" w:w="113"/>
              <w:left w:type="dxa" w:w="170"/>
              <w:bottom w:type="dxa" w:w="113"/>
              <w:right w:type="dxa" w:w="170"/>
            </w:tcMar>
          </w:tcPr>
          <w:p>
            <w:r>
              <w:rPr>
                <w:b/>
                <w:bCs/>
                <w:color w:val="1F3F8F"/>
                <w:sz w:val="18"/>
                <w:szCs w:val="18"/>
              </w:rPr>
              <w:t xml:space="preserve">Master Data — Suppliers</w:t>
            </w:r>
          </w:p>
        </w:tc>
        <w:tc>
          <w:tcPr>
            <w:tcW w:type="dxa" w:w="1500"/>
            <w:shd w:fill="EEF3FB" w:val="clear"/>
            <w:tcMar>
              <w:top w:type="dxa" w:w="113"/>
              <w:left w:type="dxa" w:w="170"/>
              <w:bottom w:type="dxa" w:w="113"/>
              <w:right w:type="dxa" w:w="170"/>
            </w:tcMar>
          </w:tcPr>
          <w:p>
            <w:r>
              <w:rPr>
                <w:b w:val="false"/>
                <w:bCs w:val="false"/>
                <w:color w:val="1A1A2E"/>
                <w:sz w:val="18"/>
                <w:szCs w:val="18"/>
              </w:rPr>
              <w:t xml:space="preserve">Record count</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PO history, bank details, tax registrations</w:t>
            </w:r>
          </w:p>
        </w:tc>
        <w:tc>
          <w:tcPr>
            <w:tcW w:type="dxa" w:w="4060"/>
            <w:shd w:fill="EEF3FB" w:val="clear"/>
            <w:tcMar>
              <w:top w:type="dxa" w:w="113"/>
              <w:left w:type="dxa" w:w="170"/>
              <w:bottom w:type="dxa" w:w="113"/>
              <w:right w:type="dxa" w:w="170"/>
            </w:tcMar>
          </w:tcPr>
          <w:p>
            <w:r>
              <w:rPr>
                <w:b w:val="false"/>
                <w:bCs w:val="false"/>
                <w:color w:val="1A1A2E"/>
                <w:sz w:val="18"/>
                <w:szCs w:val="18"/>
              </w:rPr>
              <w:t xml:space="preserve">&lt;2K = Low; 2K–20K = Medium; &gt;20K = High</w:t>
            </w:r>
          </w:p>
        </w:tc>
      </w:tr>
      <w:tr>
        <w:tc>
          <w:tcPr>
            <w:tcW w:type="dxa" w:w="1800"/>
            <w:shd w:fill="FFFFFF" w:val="clear"/>
            <w:tcMar>
              <w:top w:type="dxa" w:w="113"/>
              <w:left w:type="dxa" w:w="170"/>
              <w:bottom w:type="dxa" w:w="113"/>
              <w:right w:type="dxa" w:w="170"/>
            </w:tcMar>
          </w:tcPr>
          <w:p>
            <w:r>
              <w:rPr>
                <w:b/>
                <w:bCs/>
                <w:color w:val="1F3F8F"/>
                <w:sz w:val="18"/>
                <w:szCs w:val="18"/>
              </w:rPr>
              <w:t xml:space="preserve">Master Data — Items / Products</w:t>
            </w:r>
          </w:p>
        </w:tc>
        <w:tc>
          <w:tcPr>
            <w:tcW w:type="dxa" w:w="1500"/>
            <w:shd w:fill="FFFFFF" w:val="clear"/>
            <w:tcMar>
              <w:top w:type="dxa" w:w="113"/>
              <w:left w:type="dxa" w:w="170"/>
              <w:bottom w:type="dxa" w:w="113"/>
              <w:right w:type="dxa" w:w="170"/>
            </w:tcMar>
          </w:tcPr>
          <w:p>
            <w:r>
              <w:rPr>
                <w:b w:val="false"/>
                <w:bCs w:val="false"/>
                <w:color w:val="1A1A2E"/>
                <w:sz w:val="18"/>
                <w:szCs w:val="18"/>
              </w:rPr>
              <w:t xml:space="preserve">Record count × attribute richness</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UOM, pricing, category hierarchy depth</w:t>
            </w:r>
          </w:p>
        </w:tc>
        <w:tc>
          <w:tcPr>
            <w:tcW w:type="dxa" w:w="4060"/>
            <w:shd w:fill="FFFFFF" w:val="clear"/>
            <w:tcMar>
              <w:top w:type="dxa" w:w="113"/>
              <w:left w:type="dxa" w:w="170"/>
              <w:bottom w:type="dxa" w:w="113"/>
              <w:right w:type="dxa" w:w="170"/>
            </w:tcMar>
          </w:tcPr>
          <w:p>
            <w:r>
              <w:rPr>
                <w:b w:val="false"/>
                <w:bCs w:val="false"/>
                <w:color w:val="1A1A2E"/>
                <w:sz w:val="18"/>
                <w:szCs w:val="18"/>
              </w:rPr>
              <w:t xml:space="preserve">&lt;10K SKUs = Low; 10K–100K = Medium; &gt;100K = High</w:t>
            </w:r>
          </w:p>
        </w:tc>
      </w:tr>
      <w:tr>
        <w:tc>
          <w:tcPr>
            <w:tcW w:type="dxa" w:w="1800"/>
            <w:shd w:fill="EEF3FB" w:val="clear"/>
            <w:tcMar>
              <w:top w:type="dxa" w:w="113"/>
              <w:left w:type="dxa" w:w="170"/>
              <w:bottom w:type="dxa" w:w="113"/>
              <w:right w:type="dxa" w:w="170"/>
            </w:tcMar>
          </w:tcPr>
          <w:p>
            <w:r>
              <w:rPr>
                <w:b/>
                <w:bCs/>
                <w:color w:val="1F3F8F"/>
                <w:sz w:val="18"/>
                <w:szCs w:val="18"/>
              </w:rPr>
              <w:t xml:space="preserve">Master Data — Chart of Accounts</w:t>
            </w:r>
          </w:p>
        </w:tc>
        <w:tc>
          <w:tcPr>
            <w:tcW w:type="dxa" w:w="1500"/>
            <w:shd w:fill="EEF3FB" w:val="clear"/>
            <w:tcMar>
              <w:top w:type="dxa" w:w="113"/>
              <w:left w:type="dxa" w:w="170"/>
              <w:bottom w:type="dxa" w:w="113"/>
              <w:right w:type="dxa" w:w="170"/>
            </w:tcMar>
          </w:tcPr>
          <w:p>
            <w:r>
              <w:rPr>
                <w:b w:val="false"/>
                <w:bCs w:val="false"/>
                <w:color w:val="1A1A2E"/>
                <w:sz w:val="18"/>
                <w:szCs w:val="18"/>
              </w:rPr>
              <w:t xml:space="preserve">Account code count × mapping complexity</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Restructuring required vs direct map</w:t>
            </w:r>
          </w:p>
        </w:tc>
        <w:tc>
          <w:tcPr>
            <w:tcW w:type="dxa" w:w="4060"/>
            <w:shd w:fill="EEF3FB" w:val="clear"/>
            <w:tcMar>
              <w:top w:type="dxa" w:w="113"/>
              <w:left w:type="dxa" w:w="170"/>
              <w:bottom w:type="dxa" w:w="113"/>
              <w:right w:type="dxa" w:w="170"/>
            </w:tcMar>
          </w:tcPr>
          <w:p>
            <w:r>
              <w:rPr>
                <w:b w:val="false"/>
                <w:bCs w:val="false"/>
                <w:color w:val="1A1A2E"/>
                <w:sz w:val="18"/>
                <w:szCs w:val="18"/>
              </w:rPr>
              <w:t xml:space="preserve">Direct map = Low; Restructure = High (× 2.5)</w:t>
            </w:r>
          </w:p>
        </w:tc>
      </w:tr>
      <w:tr>
        <w:tc>
          <w:tcPr>
            <w:tcW w:type="dxa" w:w="1800"/>
            <w:shd w:fill="FFFFFF" w:val="clear"/>
            <w:tcMar>
              <w:top w:type="dxa" w:w="113"/>
              <w:left w:type="dxa" w:w="170"/>
              <w:bottom w:type="dxa" w:w="113"/>
              <w:right w:type="dxa" w:w="170"/>
            </w:tcMar>
          </w:tcPr>
          <w:p>
            <w:r>
              <w:rPr>
                <w:b/>
                <w:bCs/>
                <w:color w:val="1F3F8F"/>
                <w:sz w:val="18"/>
                <w:szCs w:val="18"/>
              </w:rPr>
              <w:t xml:space="preserve">Master Data — Employees / Workers</w:t>
            </w:r>
          </w:p>
        </w:tc>
        <w:tc>
          <w:tcPr>
            <w:tcW w:type="dxa" w:w="1500"/>
            <w:shd w:fill="FFFFFF" w:val="clear"/>
            <w:tcMar>
              <w:top w:type="dxa" w:w="113"/>
              <w:left w:type="dxa" w:w="170"/>
              <w:bottom w:type="dxa" w:w="113"/>
              <w:right w:type="dxa" w:w="170"/>
            </w:tcMar>
          </w:tcPr>
          <w:p>
            <w:r>
              <w:rPr>
                <w:b w:val="false"/>
                <w:bCs w:val="false"/>
                <w:color w:val="1A1A2E"/>
                <w:sz w:val="18"/>
                <w:szCs w:val="18"/>
              </w:rPr>
              <w:t xml:space="preserve">Headcount × countries</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Assignment history, payroll elements, benefits</w:t>
            </w:r>
          </w:p>
        </w:tc>
        <w:tc>
          <w:tcPr>
            <w:tcW w:type="dxa" w:w="4060"/>
            <w:shd w:fill="FFFFFF" w:val="clear"/>
            <w:tcMar>
              <w:top w:type="dxa" w:w="113"/>
              <w:left w:type="dxa" w:w="170"/>
              <w:bottom w:type="dxa" w:w="113"/>
              <w:right w:type="dxa" w:w="170"/>
            </w:tcMar>
          </w:tcPr>
          <w:p>
            <w:r>
              <w:rPr>
                <w:b w:val="false"/>
                <w:bCs w:val="false"/>
                <w:color w:val="1A1A2E"/>
                <w:sz w:val="18"/>
                <w:szCs w:val="18"/>
              </w:rPr>
              <w:t xml:space="preserve">Simple: 2.0 hrs/100 employees; Complex: 6.0 hrs/100</w:t>
            </w:r>
          </w:p>
        </w:tc>
      </w:tr>
      <w:tr>
        <w:tc>
          <w:tcPr>
            <w:tcW w:type="dxa" w:w="1800"/>
            <w:shd w:fill="EEF3FB" w:val="clear"/>
            <w:tcMar>
              <w:top w:type="dxa" w:w="113"/>
              <w:left w:type="dxa" w:w="170"/>
              <w:bottom w:type="dxa" w:w="113"/>
              <w:right w:type="dxa" w:w="170"/>
            </w:tcMar>
          </w:tcPr>
          <w:p>
            <w:r>
              <w:rPr>
                <w:b/>
                <w:bCs/>
                <w:color w:val="1F3F8F"/>
                <w:sz w:val="18"/>
                <w:szCs w:val="18"/>
              </w:rPr>
              <w:t xml:space="preserve">Opening Balances (Finance)</w:t>
            </w:r>
          </w:p>
        </w:tc>
        <w:tc>
          <w:tcPr>
            <w:tcW w:type="dxa" w:w="1500"/>
            <w:shd w:fill="EEF3FB" w:val="clear"/>
            <w:tcMar>
              <w:top w:type="dxa" w:w="113"/>
              <w:left w:type="dxa" w:w="170"/>
              <w:bottom w:type="dxa" w:w="113"/>
              <w:right w:type="dxa" w:w="170"/>
            </w:tcMar>
          </w:tcPr>
          <w:p>
            <w:r>
              <w:rPr>
                <w:b w:val="false"/>
                <w:bCs w:val="false"/>
                <w:color w:val="1A1A2E"/>
                <w:sz w:val="18"/>
                <w:szCs w:val="18"/>
              </w:rPr>
              <w:t xml:space="preserve">Ledger count × period</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Balancing requirements, intercompany</w:t>
            </w:r>
          </w:p>
        </w:tc>
        <w:tc>
          <w:tcPr>
            <w:tcW w:type="dxa" w:w="4060"/>
            <w:shd w:fill="EEF3FB" w:val="clear"/>
            <w:tcMar>
              <w:top w:type="dxa" w:w="113"/>
              <w:left w:type="dxa" w:w="170"/>
              <w:bottom w:type="dxa" w:w="113"/>
              <w:right w:type="dxa" w:w="170"/>
            </w:tcMar>
          </w:tcPr>
          <w:p>
            <w:r>
              <w:rPr>
                <w:b w:val="false"/>
                <w:bCs w:val="false"/>
                <w:color w:val="1A1A2E"/>
                <w:sz w:val="18"/>
                <w:szCs w:val="18"/>
              </w:rPr>
              <w:t xml:space="preserve">1 ledger = Low; Multi-ledger multi-currency = High</w:t>
            </w:r>
          </w:p>
        </w:tc>
      </w:tr>
      <w:tr>
        <w:tc>
          <w:tcPr>
            <w:tcW w:type="dxa" w:w="1800"/>
            <w:shd w:fill="FFFFFF" w:val="clear"/>
            <w:tcMar>
              <w:top w:type="dxa" w:w="113"/>
              <w:left w:type="dxa" w:w="170"/>
              <w:bottom w:type="dxa" w:w="113"/>
              <w:right w:type="dxa" w:w="170"/>
            </w:tcMar>
          </w:tcPr>
          <w:p>
            <w:r>
              <w:rPr>
                <w:b/>
                <w:bCs/>
                <w:color w:val="1F3F8F"/>
                <w:sz w:val="18"/>
                <w:szCs w:val="18"/>
              </w:rPr>
              <w:t xml:space="preserve">Transactional History</w:t>
            </w:r>
          </w:p>
        </w:tc>
        <w:tc>
          <w:tcPr>
            <w:tcW w:type="dxa" w:w="1500"/>
            <w:shd w:fill="FFFFFF" w:val="clear"/>
            <w:tcMar>
              <w:top w:type="dxa" w:w="113"/>
              <w:left w:type="dxa" w:w="170"/>
              <w:bottom w:type="dxa" w:w="113"/>
              <w:right w:type="dxa" w:w="170"/>
            </w:tcMar>
          </w:tcPr>
          <w:p>
            <w:r>
              <w:rPr>
                <w:b w:val="false"/>
                <w:bCs w:val="false"/>
                <w:color w:val="1A1A2E"/>
                <w:sz w:val="18"/>
                <w:szCs w:val="18"/>
              </w:rPr>
              <w:t xml:space="preserve">Year count × transaction volume</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Archiving vs migrating; reporting need</w:t>
            </w:r>
          </w:p>
        </w:tc>
        <w:tc>
          <w:tcPr>
            <w:tcW w:type="dxa" w:w="4060"/>
            <w:shd w:fill="FFFFFF" w:val="clear"/>
            <w:tcMar>
              <w:top w:type="dxa" w:w="113"/>
              <w:left w:type="dxa" w:w="170"/>
              <w:bottom w:type="dxa" w:w="113"/>
              <w:right w:type="dxa" w:w="170"/>
            </w:tcMar>
          </w:tcPr>
          <w:p>
            <w:r>
              <w:rPr>
                <w:b w:val="false"/>
                <w:bCs w:val="false"/>
                <w:color w:val="1A1A2E"/>
                <w:sz w:val="18"/>
                <w:szCs w:val="18"/>
              </w:rPr>
              <w:t xml:space="preserve">Each year of history adds 30–40% to base conversion effort</w:t>
            </w:r>
          </w:p>
        </w:tc>
      </w:tr>
      <w:tr>
        <w:tc>
          <w:tcPr>
            <w:tcW w:type="dxa" w:w="1800"/>
            <w:shd w:fill="EEF3FB" w:val="clear"/>
            <w:tcMar>
              <w:top w:type="dxa" w:w="113"/>
              <w:left w:type="dxa" w:w="170"/>
              <w:bottom w:type="dxa" w:w="113"/>
              <w:right w:type="dxa" w:w="170"/>
            </w:tcMar>
          </w:tcPr>
          <w:p>
            <w:r>
              <w:rPr>
                <w:b/>
                <w:bCs/>
                <w:color w:val="1F3F8F"/>
                <w:sz w:val="18"/>
                <w:szCs w:val="18"/>
              </w:rPr>
              <w:t xml:space="preserve">Reference / Config Data</w:t>
            </w:r>
          </w:p>
        </w:tc>
        <w:tc>
          <w:tcPr>
            <w:tcW w:type="dxa" w:w="1500"/>
            <w:shd w:fill="EEF3FB" w:val="clear"/>
            <w:tcMar>
              <w:top w:type="dxa" w:w="113"/>
              <w:left w:type="dxa" w:w="170"/>
              <w:bottom w:type="dxa" w:w="113"/>
              <w:right w:type="dxa" w:w="170"/>
            </w:tcMar>
          </w:tcPr>
          <w:p>
            <w:r>
              <w:rPr>
                <w:b w:val="false"/>
                <w:bCs w:val="false"/>
                <w:color w:val="1A1A2E"/>
                <w:sz w:val="18"/>
                <w:szCs w:val="18"/>
              </w:rPr>
              <w:t xml:space="preserve">Setup table count</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Validation rules, lookup dependencies</w:t>
            </w:r>
          </w:p>
        </w:tc>
        <w:tc>
          <w:tcPr>
            <w:tcW w:type="dxa" w:w="4060"/>
            <w:shd w:fill="EEF3FB" w:val="clear"/>
            <w:tcMar>
              <w:top w:type="dxa" w:w="113"/>
              <w:left w:type="dxa" w:w="170"/>
              <w:bottom w:type="dxa" w:w="113"/>
              <w:right w:type="dxa" w:w="170"/>
            </w:tcMar>
          </w:tcPr>
          <w:p>
            <w:r>
              <w:rPr>
                <w:b w:val="false"/>
                <w:bCs w:val="false"/>
                <w:color w:val="1A1A2E"/>
                <w:sz w:val="18"/>
                <w:szCs w:val="18"/>
              </w:rPr>
              <w:t xml:space="preserve">Usually bundled into Configuration workstream</w:t>
            </w:r>
          </w:p>
        </w:tc>
      </w:tr>
    </w:tbl>
    <w:p>
      <w:pPr>
        <w:spacing w:after="0" w:before="80"/>
      </w:pPr>
      <w:r>
        <w:t xml:space="preserve"/>
      </w:r>
    </w:p>
    <w:p>
      <w:pPr>
        <w:pStyle w:val="Heading3"/>
        <w:spacing w:after="100" w:before="240"/>
      </w:pPr>
      <w:r>
        <w:rPr>
          <w:b/>
          <w:bCs/>
          <w:color w:val="1F3F8F"/>
          <w:sz w:val="20"/>
          <w:szCs w:val="20"/>
        </w:rPr>
        <w:t xml:space="preserve">Greenfield Sizing Input #5 — Testing Volumetrics</w:t>
      </w:r>
    </w:p>
    <w:p>
      <w:pPr>
        <w:spacing w:after="100" w:before="80" w:line="280"/>
      </w:pPr>
      <w:r>
        <w:rPr>
          <w:i w:val="false"/>
          <w:iCs w:val="false"/>
          <w:color w:val="1A1A2E"/>
          <w:sz w:val="20"/>
          <w:szCs w:val="20"/>
        </w:rPr>
        <w:t xml:space="preserve">Testing in Greenfield is sized from the process scope — you test what you have designed. The primary inputs are process count, variant count, and integration point count.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760"/>
      </w:tblGrid>
      <w:tr>
        <w:trPr>
          <w:tblHeader/>
        </w:trPr>
        <w:tc>
          <w:tcPr>
            <w:tcW w:type="dxa" w:w="1800"/>
            <w:shd w:fill="1F3F8F" w:val="clear"/>
            <w:tcMar>
              <w:top w:type="dxa" w:w="141"/>
              <w:left w:type="dxa" w:w="170"/>
              <w:bottom w:type="dxa" w:w="141"/>
              <w:right w:type="dxa" w:w="170"/>
            </w:tcMar>
          </w:tcPr>
          <w:p>
            <w:pPr>
              <w:jc w:val="center"/>
            </w:pPr>
            <w:r>
              <w:rPr>
                <w:b/>
                <w:bCs/>
                <w:color w:val="FFFFFF"/>
                <w:sz w:val="18"/>
                <w:szCs w:val="18"/>
              </w:rPr>
              <w:t xml:space="preserve">Test Type</w:t>
            </w:r>
          </w:p>
        </w:tc>
        <w:tc>
          <w:tcPr>
            <w:tcW w:type="dxa" w:w="2200"/>
            <w:shd w:fill="1F3F8F" w:val="clear"/>
            <w:tcMar>
              <w:top w:type="dxa" w:w="141"/>
              <w:left w:type="dxa" w:w="170"/>
              <w:bottom w:type="dxa" w:w="141"/>
              <w:right w:type="dxa" w:w="170"/>
            </w:tcMar>
          </w:tcPr>
          <w:p>
            <w:pPr>
              <w:jc w:val="center"/>
            </w:pPr>
            <w:r>
              <w:rPr>
                <w:b/>
                <w:bCs/>
                <w:color w:val="FFFFFF"/>
                <w:sz w:val="18"/>
                <w:szCs w:val="18"/>
              </w:rPr>
              <w:t xml:space="preserve">Volume Basis</w:t>
            </w:r>
          </w:p>
        </w:tc>
        <w:tc>
          <w:tcPr>
            <w:tcW w:type="dxa" w:w="2600"/>
            <w:shd w:fill="1F3F8F" w:val="clear"/>
            <w:tcMar>
              <w:top w:type="dxa" w:w="141"/>
              <w:left w:type="dxa" w:w="170"/>
              <w:bottom w:type="dxa" w:w="141"/>
              <w:right w:type="dxa" w:w="170"/>
            </w:tcMar>
          </w:tcPr>
          <w:p>
            <w:pPr>
              <w:jc w:val="center"/>
            </w:pPr>
            <w:r>
              <w:rPr>
                <w:b/>
                <w:bCs/>
                <w:color w:val="FFFFFF"/>
                <w:sz w:val="18"/>
                <w:szCs w:val="18"/>
              </w:rPr>
              <w:t xml:space="preserve">Traditional Rate</w:t>
            </w:r>
          </w:p>
        </w:tc>
        <w:tc>
          <w:tcPr>
            <w:tcW w:type="dxa" w:w="2760"/>
            <w:shd w:fill="1F3F8F" w:val="clear"/>
            <w:tcMar>
              <w:top w:type="dxa" w:w="141"/>
              <w:left w:type="dxa" w:w="170"/>
              <w:bottom w:type="dxa" w:w="141"/>
              <w:right w:type="dxa" w:w="170"/>
            </w:tcMar>
          </w:tcPr>
          <w:p>
            <w:pPr>
              <w:jc w:val="center"/>
            </w:pPr>
            <w:r>
              <w:rPr>
                <w:b/>
                <w:bCs/>
                <w:color w:val="FFFFFF"/>
                <w:sz w:val="18"/>
                <w:szCs w:val="18"/>
              </w:rPr>
              <w:t xml:space="preserve">AI-Adjusted Rate</w:t>
            </w:r>
          </w:p>
        </w:tc>
      </w:tr>
      <w:tr>
        <w:tc>
          <w:tcPr>
            <w:tcW w:type="dxa" w:w="1800"/>
            <w:shd w:fill="EEF3FB" w:val="clear"/>
            <w:tcMar>
              <w:top w:type="dxa" w:w="113"/>
              <w:left w:type="dxa" w:w="170"/>
              <w:bottom w:type="dxa" w:w="113"/>
              <w:right w:type="dxa" w:w="170"/>
            </w:tcMar>
          </w:tcPr>
          <w:p>
            <w:r>
              <w:rPr>
                <w:b/>
                <w:bCs/>
                <w:color w:val="1F3F8F"/>
                <w:sz w:val="18"/>
                <w:szCs w:val="18"/>
              </w:rPr>
              <w:t xml:space="preserve">Testing Type</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Greenfield Volume Basis</w:t>
            </w:r>
          </w:p>
        </w:tc>
        <w:tc>
          <w:tcPr>
            <w:tcW w:type="dxa" w:w="2600"/>
            <w:shd w:fill="EEF3FB" w:val="clear"/>
            <w:tcMar>
              <w:top w:type="dxa" w:w="113"/>
              <w:left w:type="dxa" w:w="170"/>
              <w:bottom w:type="dxa" w:w="113"/>
              <w:right w:type="dxa" w:w="170"/>
            </w:tcMar>
          </w:tcPr>
          <w:p>
            <w:r>
              <w:rPr>
                <w:b w:val="false"/>
                <w:bCs w:val="false"/>
                <w:color w:val="1A1A2E"/>
                <w:sz w:val="18"/>
                <w:szCs w:val="18"/>
              </w:rPr>
              <w:t xml:space="preserve">Traditional Rate</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AI-Adjusted Rate</w:t>
            </w:r>
          </w:p>
        </w:tc>
      </w:tr>
      <w:tr>
        <w:tc>
          <w:tcPr>
            <w:tcW w:type="dxa" w:w="1800"/>
            <w:shd w:fill="FFFFFF" w:val="clear"/>
            <w:tcMar>
              <w:top w:type="dxa" w:w="113"/>
              <w:left w:type="dxa" w:w="170"/>
              <w:bottom w:type="dxa" w:w="113"/>
              <w:right w:type="dxa" w:w="170"/>
            </w:tcMar>
          </w:tcPr>
          <w:p>
            <w:r>
              <w:rPr>
                <w:b/>
                <w:bCs/>
                <w:color w:val="1F3F8F"/>
                <w:sz w:val="18"/>
                <w:szCs w:val="18"/>
              </w:rPr>
              <w:t xml:space="preserve">SIT Test Cases</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 Level-3 processes × average scenarios per process (typically 3–5)</w:t>
            </w:r>
          </w:p>
        </w:tc>
        <w:tc>
          <w:tcPr>
            <w:tcW w:type="dxa" w:w="2600"/>
            <w:shd w:fill="FFFFFF" w:val="clear"/>
            <w:tcMar>
              <w:top w:type="dxa" w:w="113"/>
              <w:left w:type="dxa" w:w="170"/>
              <w:bottom w:type="dxa" w:w="113"/>
              <w:right w:type="dxa" w:w="170"/>
            </w:tcMar>
          </w:tcPr>
          <w:p>
            <w:r>
              <w:rPr>
                <w:b w:val="false"/>
                <w:bCs w:val="false"/>
                <w:color w:val="1A1A2E"/>
                <w:sz w:val="18"/>
                <w:szCs w:val="18"/>
              </w:rPr>
              <w:t xml:space="preserve">1.5–2.5 hrs design + 0.8 hrs execute per case</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0.5–0.8 hrs design (AI gen) + AI executes</w:t>
            </w:r>
          </w:p>
        </w:tc>
      </w:tr>
      <w:tr>
        <w:tc>
          <w:tcPr>
            <w:tcW w:type="dxa" w:w="1800"/>
            <w:shd w:fill="EEF3FB" w:val="clear"/>
            <w:tcMar>
              <w:top w:type="dxa" w:w="113"/>
              <w:left w:type="dxa" w:w="170"/>
              <w:bottom w:type="dxa" w:w="113"/>
              <w:right w:type="dxa" w:w="170"/>
            </w:tcMar>
          </w:tcPr>
          <w:p>
            <w:r>
              <w:rPr>
                <w:b/>
                <w:bCs/>
                <w:color w:val="1F3F8F"/>
                <w:sz w:val="18"/>
                <w:szCs w:val="18"/>
              </w:rPr>
              <w:t xml:space="preserve">Integration Test Cases</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 interfaces × scenarios per interface (happy path + 3 error paths)</w:t>
            </w:r>
          </w:p>
        </w:tc>
        <w:tc>
          <w:tcPr>
            <w:tcW w:type="dxa" w:w="2600"/>
            <w:shd w:fill="EEF3FB" w:val="clear"/>
            <w:tcMar>
              <w:top w:type="dxa" w:w="113"/>
              <w:left w:type="dxa" w:w="170"/>
              <w:bottom w:type="dxa" w:w="113"/>
              <w:right w:type="dxa" w:w="170"/>
            </w:tcMar>
          </w:tcPr>
          <w:p>
            <w:r>
              <w:rPr>
                <w:b w:val="false"/>
                <w:bCs w:val="false"/>
                <w:color w:val="1A1A2E"/>
                <w:sz w:val="18"/>
                <w:szCs w:val="18"/>
              </w:rPr>
              <w:t xml:space="preserve">3–5 hrs per interface test case</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1.0–1.5 hrs (AI generates from OIC spec)</w:t>
            </w:r>
          </w:p>
        </w:tc>
      </w:tr>
      <w:tr>
        <w:tc>
          <w:tcPr>
            <w:tcW w:type="dxa" w:w="1800"/>
            <w:shd w:fill="FFFFFF" w:val="clear"/>
            <w:tcMar>
              <w:top w:type="dxa" w:w="113"/>
              <w:left w:type="dxa" w:w="170"/>
              <w:bottom w:type="dxa" w:w="113"/>
              <w:right w:type="dxa" w:w="170"/>
            </w:tcMar>
          </w:tcPr>
          <w:p>
            <w:r>
              <w:rPr>
                <w:b/>
                <w:bCs/>
                <w:color w:val="1F3F8F"/>
                <w:sz w:val="18"/>
                <w:szCs w:val="18"/>
              </w:rPr>
              <w:t xml:space="preserve">Regression (after config changes)</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Full process scope — all in-scope L3 processes</w:t>
            </w:r>
          </w:p>
        </w:tc>
        <w:tc>
          <w:tcPr>
            <w:tcW w:type="dxa" w:w="2600"/>
            <w:shd w:fill="FFFFFF" w:val="clear"/>
            <w:tcMar>
              <w:top w:type="dxa" w:w="113"/>
              <w:left w:type="dxa" w:w="170"/>
              <w:bottom w:type="dxa" w:w="113"/>
              <w:right w:type="dxa" w:w="170"/>
            </w:tcMar>
          </w:tcPr>
          <w:p>
            <w:r>
              <w:rPr>
                <w:b w:val="false"/>
                <w:bCs w:val="false"/>
                <w:color w:val="1A1A2E"/>
                <w:sz w:val="18"/>
                <w:szCs w:val="18"/>
              </w:rPr>
              <w:t xml:space="preserve">Full cycle: 4–8 weeks manual</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AI-driven: 3–5 days overnight runs</w:t>
            </w:r>
          </w:p>
        </w:tc>
      </w:tr>
      <w:tr>
        <w:tc>
          <w:tcPr>
            <w:tcW w:type="dxa" w:w="1800"/>
            <w:shd w:fill="EEF3FB" w:val="clear"/>
            <w:tcMar>
              <w:top w:type="dxa" w:w="113"/>
              <w:left w:type="dxa" w:w="170"/>
              <w:bottom w:type="dxa" w:w="113"/>
              <w:right w:type="dxa" w:w="170"/>
            </w:tcMar>
          </w:tcPr>
          <w:p>
            <w:r>
              <w:rPr>
                <w:b/>
                <w:bCs/>
                <w:color w:val="1F3F8F"/>
                <w:sz w:val="18"/>
                <w:szCs w:val="18"/>
              </w:rPr>
              <w:t xml:space="preserve">UAT Test Cases</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 business scenarios × # user roles (typically 60–70% of SIT scope)</w:t>
            </w:r>
          </w:p>
        </w:tc>
        <w:tc>
          <w:tcPr>
            <w:tcW w:type="dxa" w:w="2600"/>
            <w:shd w:fill="EEF3FB" w:val="clear"/>
            <w:tcMar>
              <w:top w:type="dxa" w:w="113"/>
              <w:left w:type="dxa" w:w="170"/>
              <w:bottom w:type="dxa" w:w="113"/>
              <w:right w:type="dxa" w:w="170"/>
            </w:tcMar>
          </w:tcPr>
          <w:p>
            <w:r>
              <w:rPr>
                <w:b w:val="false"/>
                <w:bCs w:val="false"/>
                <w:color w:val="1A1A2E"/>
                <w:sz w:val="18"/>
                <w:szCs w:val="18"/>
              </w:rPr>
              <w:t xml:space="preserve">Facilitated by delivery team; user execution time separate</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AI generates test scripts; user validates outcomes</w:t>
            </w:r>
          </w:p>
        </w:tc>
      </w:tr>
      <w:tr>
        <w:tc>
          <w:tcPr>
            <w:tcW w:type="dxa" w:w="1800"/>
            <w:shd w:fill="FFFFFF" w:val="clear"/>
            <w:tcMar>
              <w:top w:type="dxa" w:w="113"/>
              <w:left w:type="dxa" w:w="170"/>
              <w:bottom w:type="dxa" w:w="113"/>
              <w:right w:type="dxa" w:w="170"/>
            </w:tcMar>
          </w:tcPr>
          <w:p>
            <w:r>
              <w:rPr>
                <w:b/>
                <w:bCs/>
                <w:color w:val="1F3F8F"/>
                <w:sz w:val="18"/>
                <w:szCs w:val="18"/>
              </w:rPr>
              <w:t xml:space="preserve">Performance Test Cases</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 critical transaction types × volume thresholds</w:t>
            </w:r>
          </w:p>
        </w:tc>
        <w:tc>
          <w:tcPr>
            <w:tcW w:type="dxa" w:w="2600"/>
            <w:shd w:fill="FFFFFF" w:val="clear"/>
            <w:tcMar>
              <w:top w:type="dxa" w:w="113"/>
              <w:left w:type="dxa" w:w="170"/>
              <w:bottom w:type="dxa" w:w="113"/>
              <w:right w:type="dxa" w:w="170"/>
            </w:tcMar>
          </w:tcPr>
          <w:p>
            <w:r>
              <w:rPr>
                <w:b w:val="false"/>
                <w:bCs w:val="false"/>
                <w:color w:val="1A1A2E"/>
                <w:sz w:val="18"/>
                <w:szCs w:val="18"/>
              </w:rPr>
              <w:t xml:space="preserve">Scripting: 40–80 hrs; Execution: 1–2 weeks</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Scripting: 15–25 hrs (AI); Execution: unchanged</w:t>
            </w:r>
          </w:p>
        </w:tc>
      </w:tr>
      <w:tr>
        <w:tc>
          <w:tcPr>
            <w:tcW w:type="dxa" w:w="1800"/>
            <w:shd w:fill="EEF3FB" w:val="clear"/>
            <w:tcMar>
              <w:top w:type="dxa" w:w="113"/>
              <w:left w:type="dxa" w:w="170"/>
              <w:bottom w:type="dxa" w:w="113"/>
              <w:right w:type="dxa" w:w="170"/>
            </w:tcMar>
          </w:tcPr>
          <w:p>
            <w:r>
              <w:rPr>
                <w:b/>
                <w:bCs/>
                <w:color w:val="1F3F8F"/>
                <w:sz w:val="18"/>
                <w:szCs w:val="18"/>
              </w:rPr>
              <w:t xml:space="preserve">Data Migration Validation</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 conversion entities × validation rule count</w:t>
            </w:r>
          </w:p>
        </w:tc>
        <w:tc>
          <w:tcPr>
            <w:tcW w:type="dxa" w:w="2600"/>
            <w:shd w:fill="EEF3FB" w:val="clear"/>
            <w:tcMar>
              <w:top w:type="dxa" w:w="113"/>
              <w:left w:type="dxa" w:w="170"/>
              <w:bottom w:type="dxa" w:w="113"/>
              <w:right w:type="dxa" w:w="170"/>
            </w:tcMar>
          </w:tcPr>
          <w:p>
            <w:r>
              <w:rPr>
                <w:b w:val="false"/>
                <w:bCs w:val="false"/>
                <w:color w:val="1A1A2E"/>
                <w:sz w:val="18"/>
                <w:szCs w:val="18"/>
              </w:rPr>
              <w:t xml:space="preserve">Manual reconciliation: 8–20 hrs/entity</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AI comparison: 1–3 hrs/entity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2E86AB" w:val="clear"/>
            <w:tcMar>
              <w:top w:type="dxa" w:w="198"/>
              <w:left w:type="dxa" w:w="283"/>
              <w:bottom w:type="dxa" w:w="198"/>
              <w:right w:type="dxa" w:w="283"/>
            </w:tcMar>
          </w:tcPr>
          <w:p>
            <w:pPr>
              <w:jc w:val="center"/>
            </w:pPr>
            <w:r>
              <w:rPr>
                <w:b/>
                <w:bCs/>
                <w:color w:val="FFFFFF"/>
                <w:sz w:val="26"/>
                <w:szCs w:val="26"/>
              </w:rPr>
              <w:t xml:space="preserve">PART B — BROWNFIELD SIZING VOLUMETRICS</w:t>
            </w:r>
          </w:p>
        </w:tc>
      </w:tr>
    </w:tbl>
    <w:p>
      <w:pPr>
        <w:spacing w:after="0" w:before="80"/>
      </w:pPr>
      <w:r>
        <w:t xml:space="preserve"/>
      </w:r>
    </w:p>
    <w:p>
      <w:pPr>
        <w:pStyle w:val="Heading2"/>
        <w:spacing w:after="100" w:before="240"/>
      </w:pPr>
      <w:r>
        <w:rPr>
          <w:b/>
          <w:bCs/>
          <w:color w:val="1F3F8F"/>
          <w:sz w:val="20"/>
          <w:szCs w:val="20"/>
        </w:rPr>
        <w:t xml:space="preserve">What Drives Brownfield Scope</w:t>
      </w:r>
    </w:p>
    <w:p>
      <w:pPr>
        <w:spacing w:after="100" w:before="80" w:line="280"/>
      </w:pPr>
      <w:r>
        <w:rPr>
          <w:i w:val="false"/>
          <w:iCs w:val="false"/>
          <w:color w:val="1A1A2E"/>
          <w:sz w:val="20"/>
          <w:szCs w:val="20"/>
        </w:rPr>
        <w:t xml:space="preserve">In Brownfield, scope is not defined by what you want to build — it is defined by what already exists. You must first understand the current system deeply before you can size the effort to change it. This makes discovery itself a critical, effort-heavy, and often underestimated workstream.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2E86AB" w:sz="10"/>
              <w:left w:val="thick" w:color="2E86AB" w:sz="10"/>
              <w:bottom w:val="none"/>
              <w:right w:val="none"/>
            </w:tcBorders>
            <w:shd w:fill="EEF3FB" w:val="clear"/>
            <w:tcMar>
              <w:top w:type="dxa" w:w="170"/>
              <w:left w:type="dxa" w:w="283"/>
              <w:bottom w:type="dxa" w:w="170"/>
              <w:right w:type="dxa" w:w="283"/>
            </w:tcMar>
          </w:tcPr>
          <w:p>
            <w:pPr>
              <w:spacing w:after="80"/>
            </w:pPr>
            <w:r>
              <w:rPr>
                <w:b/>
                <w:bCs/>
                <w:color w:val="2E86AB"/>
                <w:sz w:val="20"/>
                <w:szCs w:val="20"/>
              </w:rPr>
              <w:t xml:space="preserve">🔍  The Brownfield Discovery Problem</w:t>
            </w:r>
          </w:p>
          <w:p>
            <w:pPr>
              <w:spacing w:after="40" w:before="40" w:line="276"/>
            </w:pPr>
            <w:r>
              <w:rPr>
                <w:color w:val="1A1A2E"/>
                <w:sz w:val="19"/>
                <w:szCs w:val="19"/>
              </w:rPr>
              <w:t xml:space="preserve">Every Brownfield program starts with a fundamental uncertainty: nobody fully knows what they have.</w:t>
            </w:r>
          </w:p>
          <w:p>
            <w:pPr>
              <w:spacing w:after="40" w:before="40" w:line="276"/>
            </w:pPr>
            <w:r>
              <w:rPr>
                <w:color w:val="1A1A2E"/>
                <w:sz w:val="19"/>
                <w:szCs w:val="19"/>
              </w:rPr>
              <w:t xml:space="preserve"/>
            </w:r>
          </w:p>
          <w:p>
            <w:pPr>
              <w:spacing w:after="40" w:before="40" w:line="276"/>
            </w:pPr>
            <w:r>
              <w:rPr>
                <w:color w:val="1A1A2E"/>
                <w:sz w:val="19"/>
                <w:szCs w:val="19"/>
              </w:rPr>
              <w:t xml:space="preserve">The application has evolved over years with different teams, different consultants, and undocumented changes.</w:t>
            </w:r>
          </w:p>
          <w:p>
            <w:pPr>
              <w:spacing w:after="40" w:before="40" w:line="276"/>
            </w:pPr>
            <w:r>
              <w:rPr>
                <w:color w:val="1A1A2E"/>
                <w:sz w:val="19"/>
                <w:szCs w:val="19"/>
              </w:rPr>
              <w:t xml:space="preserve">Documentation is outdated. Key people have left. Technical debt has accumulated.</w:t>
            </w:r>
          </w:p>
          <w:p>
            <w:pPr>
              <w:spacing w:after="40" w:before="40" w:line="276"/>
            </w:pPr>
            <w:r>
              <w:rPr>
                <w:color w:val="1A1A2E"/>
                <w:sz w:val="19"/>
                <w:szCs w:val="19"/>
              </w:rPr>
              <w:t xml:space="preserve"/>
            </w:r>
          </w:p>
          <w:p>
            <w:pPr>
              <w:spacing w:after="40" w:before="40" w:line="276"/>
            </w:pPr>
            <w:r>
              <w:rPr>
                <w:color w:val="1A1A2E"/>
                <w:sz w:val="19"/>
                <w:szCs w:val="19"/>
              </w:rPr>
              <w:t xml:space="preserve">Sizing a Brownfield program before discovery is completed is one of the highest-risk activities in Oracle delivery.</w:t>
            </w:r>
          </w:p>
          <w:p>
            <w:pPr>
              <w:spacing w:after="40" w:before="40" w:line="276"/>
            </w:pPr>
            <w:r>
              <w:rPr>
                <w:color w:val="1A1A2E"/>
                <w:sz w:val="19"/>
                <w:szCs w:val="19"/>
              </w:rPr>
              <w:t xml:space="preserve">AI-assisted discovery is the single most valuable thing you can do to de-risk a Brownfield estimate.</w:t>
            </w:r>
          </w:p>
        </w:tc>
      </w:tr>
    </w:tbl>
    <w:p>
      <w:pPr>
        <w:spacing w:after="0" w:before="100"/>
      </w:pPr>
      <w:r>
        <w:t xml:space="preserve"/>
      </w:r>
    </w:p>
    <w:p>
      <w:pPr>
        <w:pStyle w:val="Heading3"/>
        <w:spacing w:after="100" w:before="240"/>
      </w:pPr>
      <w:r>
        <w:rPr>
          <w:b/>
          <w:bCs/>
          <w:color w:val="1F3F8F"/>
          <w:sz w:val="20"/>
          <w:szCs w:val="20"/>
        </w:rPr>
        <w:t xml:space="preserve">Brownfield Sizing Input #1 — Existing System Footprint Inventory</w:t>
      </w:r>
    </w:p>
    <w:p>
      <w:pPr>
        <w:spacing w:after="100" w:before="80" w:line="280"/>
      </w:pPr>
      <w:r>
        <w:rPr>
          <w:i w:val="false"/>
          <w:iCs w:val="false"/>
          <w:color w:val="1A1A2E"/>
          <w:sz w:val="20"/>
          <w:szCs w:val="20"/>
        </w:rPr>
        <w:t xml:space="preserve">Before anything else, you must inventory what exists. This is a volumetric exercise in itself — and the foundation of all subsequent sizing.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660"/>
      </w:tblGrid>
      <w:tr>
        <w:trPr>
          <w:tblHeader/>
        </w:trPr>
        <w:tc>
          <w:tcPr>
            <w:tcW w:type="dxa" w:w="2000"/>
            <w:shd w:fill="1F3F8F" w:val="clear"/>
            <w:tcMar>
              <w:top w:type="dxa" w:w="141"/>
              <w:left w:type="dxa" w:w="170"/>
              <w:bottom w:type="dxa" w:w="141"/>
              <w:right w:type="dxa" w:w="170"/>
            </w:tcMar>
          </w:tcPr>
          <w:p>
            <w:pPr>
              <w:jc w:val="center"/>
            </w:pPr>
            <w:r>
              <w:rPr>
                <w:b/>
                <w:bCs/>
                <w:color w:val="FFFFFF"/>
                <w:sz w:val="18"/>
                <w:szCs w:val="18"/>
              </w:rPr>
              <w:t xml:space="preserve">What to Inventory</w:t>
            </w:r>
          </w:p>
        </w:tc>
        <w:tc>
          <w:tcPr>
            <w:tcW w:type="dxa" w:w="2300"/>
            <w:shd w:fill="1F3F8F" w:val="clear"/>
            <w:tcMar>
              <w:top w:type="dxa" w:w="141"/>
              <w:left w:type="dxa" w:w="170"/>
              <w:bottom w:type="dxa" w:w="141"/>
              <w:right w:type="dxa" w:w="170"/>
            </w:tcMar>
          </w:tcPr>
          <w:p>
            <w:pPr>
              <w:jc w:val="center"/>
            </w:pPr>
            <w:r>
              <w:rPr>
                <w:b/>
                <w:bCs/>
                <w:color w:val="FFFFFF"/>
                <w:sz w:val="18"/>
                <w:szCs w:val="18"/>
              </w:rPr>
              <w:t xml:space="preserve">Traditional Approach</w:t>
            </w:r>
          </w:p>
        </w:tc>
        <w:tc>
          <w:tcPr>
            <w:tcW w:type="dxa" w:w="2400"/>
            <w:shd w:fill="1F3F8F" w:val="clear"/>
            <w:tcMar>
              <w:top w:type="dxa" w:w="141"/>
              <w:left w:type="dxa" w:w="170"/>
              <w:bottom w:type="dxa" w:w="141"/>
              <w:right w:type="dxa" w:w="170"/>
            </w:tcMar>
          </w:tcPr>
          <w:p>
            <w:pPr>
              <w:jc w:val="center"/>
            </w:pPr>
            <w:r>
              <w:rPr>
                <w:b/>
                <w:bCs/>
                <w:color w:val="FFFFFF"/>
                <w:sz w:val="18"/>
                <w:szCs w:val="18"/>
              </w:rPr>
              <w:t xml:space="preserve">AI-Assisted Approach</w:t>
            </w:r>
          </w:p>
        </w:tc>
        <w:tc>
          <w:tcPr>
            <w:tcW w:type="dxa" w:w="2660"/>
            <w:shd w:fill="1F3F8F" w:val="clear"/>
            <w:tcMar>
              <w:top w:type="dxa" w:w="141"/>
              <w:left w:type="dxa" w:w="170"/>
              <w:bottom w:type="dxa" w:w="141"/>
              <w:right w:type="dxa" w:w="170"/>
            </w:tcMar>
          </w:tcPr>
          <w:p>
            <w:pPr>
              <w:jc w:val="center"/>
            </w:pPr>
            <w:r>
              <w:rPr>
                <w:b/>
                <w:bCs/>
                <w:color w:val="FFFFFF"/>
                <w:sz w:val="18"/>
                <w:szCs w:val="18"/>
              </w:rPr>
              <w:t xml:space="preserve">Output</w:t>
            </w:r>
          </w:p>
        </w:tc>
      </w:tr>
      <w:tr>
        <w:tc>
          <w:tcPr>
            <w:tcW w:type="dxa" w:w="2000"/>
            <w:shd w:fill="EEF3FB" w:val="clear"/>
            <w:tcMar>
              <w:top w:type="dxa" w:w="113"/>
              <w:left w:type="dxa" w:w="170"/>
              <w:bottom w:type="dxa" w:w="113"/>
              <w:right w:type="dxa" w:w="170"/>
            </w:tcMar>
          </w:tcPr>
          <w:p>
            <w:r>
              <w:rPr>
                <w:b/>
                <w:bCs/>
                <w:color w:val="1F3F8F"/>
                <w:sz w:val="18"/>
                <w:szCs w:val="18"/>
              </w:rPr>
              <w:t xml:space="preserve">What to Inventory</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How Traditionally Done</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How AI Changes This</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Output Used For</w:t>
            </w:r>
          </w:p>
        </w:tc>
      </w:tr>
      <w:tr>
        <w:tc>
          <w:tcPr>
            <w:tcW w:type="dxa" w:w="2000"/>
            <w:shd w:fill="FFFFFF" w:val="clear"/>
            <w:tcMar>
              <w:top w:type="dxa" w:w="113"/>
              <w:left w:type="dxa" w:w="170"/>
              <w:bottom w:type="dxa" w:w="113"/>
              <w:right w:type="dxa" w:w="170"/>
            </w:tcMar>
          </w:tcPr>
          <w:p>
            <w:r>
              <w:rPr>
                <w:b/>
                <w:bCs/>
                <w:color w:val="1F3F8F"/>
                <w:sz w:val="18"/>
                <w:szCs w:val="18"/>
              </w:rPr>
              <w:t xml:space="preserve">Custom code objects (RICE/CEMLI count by module)</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Manual review of system, developer interviews, code repository audit: 4–8 weeks</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AI scans codebase / repository and generates inventory with classification in days</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Primary driver of upgrade/remediation effort sizing</w:t>
            </w:r>
          </w:p>
        </w:tc>
      </w:tr>
      <w:tr>
        <w:tc>
          <w:tcPr>
            <w:tcW w:type="dxa" w:w="2000"/>
            <w:shd w:fill="EEF3FB" w:val="clear"/>
            <w:tcMar>
              <w:top w:type="dxa" w:w="113"/>
              <w:left w:type="dxa" w:w="170"/>
              <w:bottom w:type="dxa" w:w="113"/>
              <w:right w:type="dxa" w:w="170"/>
            </w:tcMar>
          </w:tcPr>
          <w:p>
            <w:r>
              <w:rPr>
                <w:b/>
                <w:bCs/>
                <w:color w:val="1F3F8F"/>
                <w:sz w:val="18"/>
                <w:szCs w:val="18"/>
              </w:rPr>
              <w:t xml:space="preserve">Configuration delta (custom vs standard)</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Manual comparison of setup tables vs Oracle delivered baseline</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AI compares source instance config tables against delivered baseline automatically</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Drives configuration rework effort sizing</w:t>
            </w:r>
          </w:p>
        </w:tc>
      </w:tr>
      <w:tr>
        <w:tc>
          <w:tcPr>
            <w:tcW w:type="dxa" w:w="2000"/>
            <w:shd w:fill="FFFFFF" w:val="clear"/>
            <w:tcMar>
              <w:top w:type="dxa" w:w="113"/>
              <w:left w:type="dxa" w:w="170"/>
              <w:bottom w:type="dxa" w:w="113"/>
              <w:right w:type="dxa" w:w="170"/>
            </w:tcMar>
          </w:tcPr>
          <w:p>
            <w:r>
              <w:rPr>
                <w:b/>
                <w:bCs/>
                <w:color w:val="1F3F8F"/>
                <w:sz w:val="18"/>
                <w:szCs w:val="18"/>
              </w:rPr>
              <w:t xml:space="preserve">Report inventory</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Manual catalogue from report library + user interviews</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AI extracts report metadata from system and classifies by usage frequency</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Identifies candidates to retire vs migrate — affects sizing significantly</w:t>
            </w:r>
          </w:p>
        </w:tc>
      </w:tr>
      <w:tr>
        <w:tc>
          <w:tcPr>
            <w:tcW w:type="dxa" w:w="2000"/>
            <w:shd w:fill="EEF3FB" w:val="clear"/>
            <w:tcMar>
              <w:top w:type="dxa" w:w="113"/>
              <w:left w:type="dxa" w:w="170"/>
              <w:bottom w:type="dxa" w:w="113"/>
              <w:right w:type="dxa" w:w="170"/>
            </w:tcMar>
          </w:tcPr>
          <w:p>
            <w:r>
              <w:rPr>
                <w:b/>
                <w:bCs/>
                <w:color w:val="1F3F8F"/>
                <w:sz w:val="18"/>
                <w:szCs w:val="18"/>
              </w:rPr>
              <w:t xml:space="preserve">Interface / integration inventory</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Interface catalogue from technical team; often incomplete</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AI reads integration middleware logs and system logs to identify all active interfaces</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Drives integration rebuild/retire decision and effort</w:t>
            </w:r>
          </w:p>
        </w:tc>
      </w:tr>
      <w:tr>
        <w:tc>
          <w:tcPr>
            <w:tcW w:type="dxa" w:w="2000"/>
            <w:shd w:fill="FFFFFF" w:val="clear"/>
            <w:tcMar>
              <w:top w:type="dxa" w:w="113"/>
              <w:left w:type="dxa" w:w="170"/>
              <w:bottom w:type="dxa" w:w="113"/>
              <w:right w:type="dxa" w:w="170"/>
            </w:tcMar>
          </w:tcPr>
          <w:p>
            <w:r>
              <w:rPr>
                <w:b/>
                <w:bCs/>
                <w:color w:val="1F3F8F"/>
                <w:sz w:val="18"/>
                <w:szCs w:val="18"/>
              </w:rPr>
              <w:t xml:space="preserve">User count and role structure</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HR data + security team input</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AI reads security configuration and job data to cluster roles</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Drives security redesign and training sizing</w:t>
            </w:r>
          </w:p>
        </w:tc>
      </w:tr>
      <w:tr>
        <w:tc>
          <w:tcPr>
            <w:tcW w:type="dxa" w:w="2000"/>
            <w:shd w:fill="EEF3FB" w:val="clear"/>
            <w:tcMar>
              <w:top w:type="dxa" w:w="113"/>
              <w:left w:type="dxa" w:w="170"/>
              <w:bottom w:type="dxa" w:w="113"/>
              <w:right w:type="dxa" w:w="170"/>
            </w:tcMar>
          </w:tcPr>
          <w:p>
            <w:r>
              <w:rPr>
                <w:b/>
                <w:bCs/>
                <w:color w:val="1F3F8F"/>
                <w:sz w:val="18"/>
                <w:szCs w:val="18"/>
              </w:rPr>
              <w:t xml:space="preserve">Transaction volumes (by process)</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Manual pull from DBA; often estimated</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AI queries database statistics and generates volume report by module</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Critical for performance testing sizing and data migration scoping</w:t>
            </w:r>
          </w:p>
        </w:tc>
      </w:tr>
      <w:tr>
        <w:tc>
          <w:tcPr>
            <w:tcW w:type="dxa" w:w="2000"/>
            <w:shd w:fill="FFFFFF" w:val="clear"/>
            <w:tcMar>
              <w:top w:type="dxa" w:w="113"/>
              <w:left w:type="dxa" w:w="170"/>
              <w:bottom w:type="dxa" w:w="113"/>
              <w:right w:type="dxa" w:w="170"/>
            </w:tcMar>
          </w:tcPr>
          <w:p>
            <w:r>
              <w:rPr>
                <w:b/>
                <w:bCs/>
                <w:color w:val="1F3F8F"/>
                <w:sz w:val="18"/>
                <w:szCs w:val="18"/>
              </w:rPr>
              <w:t xml:space="preserve">Data quality baseline</w:t>
            </w:r>
          </w:p>
        </w:tc>
        <w:tc>
          <w:tcPr>
            <w:tcW w:type="dxa" w:w="2300"/>
            <w:shd w:fill="FFFFFF" w:val="clear"/>
            <w:tcMar>
              <w:top w:type="dxa" w:w="113"/>
              <w:left w:type="dxa" w:w="170"/>
              <w:bottom w:type="dxa" w:w="113"/>
              <w:right w:type="dxa" w:w="170"/>
            </w:tcMar>
          </w:tcPr>
          <w:p>
            <w:r>
              <w:rPr>
                <w:b w:val="false"/>
                <w:bCs w:val="false"/>
                <w:color w:val="1A1A2E"/>
                <w:sz w:val="18"/>
                <w:szCs w:val="18"/>
              </w:rPr>
              <w:t xml:space="preserve">Manual data profiling: 4–8 hrs per entity</w:t>
            </w:r>
          </w:p>
        </w:tc>
        <w:tc>
          <w:tcPr>
            <w:tcW w:type="dxa" w:w="2400"/>
            <w:shd w:fill="FFFFFF" w:val="clear"/>
            <w:tcMar>
              <w:top w:type="dxa" w:w="113"/>
              <w:left w:type="dxa" w:w="170"/>
              <w:bottom w:type="dxa" w:w="113"/>
              <w:right w:type="dxa" w:w="170"/>
            </w:tcMar>
          </w:tcPr>
          <w:p>
            <w:r>
              <w:rPr>
                <w:b w:val="false"/>
                <w:bCs w:val="false"/>
                <w:color w:val="1A1A2E"/>
                <w:sz w:val="18"/>
                <w:szCs w:val="18"/>
              </w:rPr>
              <w:t xml:space="preserve">AI profiles all entities simultaneously in hours</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Adjusts data migration complexity multipliers and cleanse effort</w:t>
            </w:r>
          </w:p>
        </w:tc>
      </w:tr>
      <w:tr>
        <w:tc>
          <w:tcPr>
            <w:tcW w:type="dxa" w:w="2000"/>
            <w:shd w:fill="EEF3FB" w:val="clear"/>
            <w:tcMar>
              <w:top w:type="dxa" w:w="113"/>
              <w:left w:type="dxa" w:w="170"/>
              <w:bottom w:type="dxa" w:w="113"/>
              <w:right w:type="dxa" w:w="170"/>
            </w:tcMar>
          </w:tcPr>
          <w:p>
            <w:r>
              <w:rPr>
                <w:b/>
                <w:bCs/>
                <w:color w:val="1F3F8F"/>
                <w:sz w:val="18"/>
                <w:szCs w:val="18"/>
              </w:rPr>
              <w:t xml:space="preserve">Usage analytics (active vs dormant features)</w:t>
            </w:r>
          </w:p>
        </w:tc>
        <w:tc>
          <w:tcPr>
            <w:tcW w:type="dxa" w:w="2300"/>
            <w:shd w:fill="EEF3FB" w:val="clear"/>
            <w:tcMar>
              <w:top w:type="dxa" w:w="113"/>
              <w:left w:type="dxa" w:w="170"/>
              <w:bottom w:type="dxa" w:w="113"/>
              <w:right w:type="dxa" w:w="170"/>
            </w:tcMar>
          </w:tcPr>
          <w:p>
            <w:r>
              <w:rPr>
                <w:b w:val="false"/>
                <w:bCs w:val="false"/>
                <w:color w:val="1A1A2E"/>
                <w:sz w:val="18"/>
                <w:szCs w:val="18"/>
              </w:rPr>
              <w:t xml:space="preserve">None — almost never done traditionally</w:t>
            </w:r>
          </w:p>
        </w:tc>
        <w:tc>
          <w:tcPr>
            <w:tcW w:type="dxa" w:w="2400"/>
            <w:shd w:fill="EEF3FB" w:val="clear"/>
            <w:tcMar>
              <w:top w:type="dxa" w:w="113"/>
              <w:left w:type="dxa" w:w="170"/>
              <w:bottom w:type="dxa" w:w="113"/>
              <w:right w:type="dxa" w:w="170"/>
            </w:tcMar>
          </w:tcPr>
          <w:p>
            <w:r>
              <w:rPr>
                <w:b w:val="false"/>
                <w:bCs w:val="false"/>
                <w:color w:val="1A1A2E"/>
                <w:sz w:val="18"/>
                <w:szCs w:val="18"/>
              </w:rPr>
              <w:t xml:space="preserve">AI mines application access logs to identify what is actually used vs configured but unused</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Allows retirement of dormant customisations — reduces scope</w:t>
            </w:r>
          </w:p>
        </w:tc>
      </w:tr>
    </w:tbl>
    <w:p>
      <w:pPr>
        <w:spacing w:after="0" w:before="80"/>
      </w:pPr>
      <w:r>
        <w:t xml:space="preserve"/>
      </w:r>
    </w:p>
    <w:p>
      <w:pPr>
        <w:pStyle w:val="Heading3"/>
        <w:spacing w:after="100" w:before="240"/>
      </w:pPr>
      <w:r>
        <w:rPr>
          <w:b/>
          <w:bCs/>
          <w:color w:val="1F3F8F"/>
          <w:sz w:val="20"/>
          <w:szCs w:val="20"/>
        </w:rPr>
        <w:t xml:space="preserve">Brownfield Sizing Input #2 — The Custom Object Classification Matrix</w:t>
      </w:r>
    </w:p>
    <w:p>
      <w:pPr>
        <w:spacing w:after="100" w:before="80" w:line="280"/>
      </w:pPr>
      <w:r>
        <w:rPr>
          <w:i w:val="false"/>
          <w:iCs w:val="false"/>
          <w:color w:val="1A1A2E"/>
          <w:sz w:val="20"/>
          <w:szCs w:val="20"/>
        </w:rPr>
        <w:t xml:space="preserve">Once inventoried, every custom object must be classified into one of four disposition categories. This classification is the most important sizing decision in a Brownfield program — it determines 60–70% of the total effort.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500"/>
        <w:gridCol w:w="3260"/>
      </w:tblGrid>
      <w:tr>
        <w:trPr>
          <w:tblHeader/>
        </w:trPr>
        <w:tc>
          <w:tcPr>
            <w:tcW w:type="dxa" w:w="1400"/>
            <w:shd w:fill="1F3F8F" w:val="clear"/>
            <w:tcMar>
              <w:top w:type="dxa" w:w="141"/>
              <w:left w:type="dxa" w:w="170"/>
              <w:bottom w:type="dxa" w:w="141"/>
              <w:right w:type="dxa" w:w="170"/>
            </w:tcMar>
          </w:tcPr>
          <w:p>
            <w:pPr>
              <w:jc w:val="center"/>
            </w:pPr>
            <w:r>
              <w:rPr>
                <w:b/>
                <w:bCs/>
                <w:color w:val="FFFFFF"/>
                <w:sz w:val="18"/>
                <w:szCs w:val="18"/>
              </w:rPr>
              <w:t xml:space="preserve">Disposition</w:t>
            </w:r>
          </w:p>
        </w:tc>
        <w:tc>
          <w:tcPr>
            <w:tcW w:type="dxa" w:w="2200"/>
            <w:shd w:fill="1F3F8F" w:val="clear"/>
            <w:tcMar>
              <w:top w:type="dxa" w:w="141"/>
              <w:left w:type="dxa" w:w="170"/>
              <w:bottom w:type="dxa" w:w="141"/>
              <w:right w:type="dxa" w:w="170"/>
            </w:tcMar>
          </w:tcPr>
          <w:p>
            <w:pPr>
              <w:jc w:val="center"/>
            </w:pPr>
            <w:r>
              <w:rPr>
                <w:b/>
                <w:bCs/>
                <w:color w:val="FFFFFF"/>
                <w:sz w:val="18"/>
                <w:szCs w:val="18"/>
              </w:rPr>
              <w:t xml:space="preserve">Definition</w:t>
            </w:r>
          </w:p>
        </w:tc>
        <w:tc>
          <w:tcPr>
            <w:tcW w:type="dxa" w:w="2500"/>
            <w:shd w:fill="1F3F8F" w:val="clear"/>
            <w:tcMar>
              <w:top w:type="dxa" w:w="141"/>
              <w:left w:type="dxa" w:w="170"/>
              <w:bottom w:type="dxa" w:w="141"/>
              <w:right w:type="dxa" w:w="170"/>
            </w:tcMar>
          </w:tcPr>
          <w:p>
            <w:pPr>
              <w:jc w:val="center"/>
            </w:pPr>
            <w:r>
              <w:rPr>
                <w:b/>
                <w:bCs/>
                <w:color w:val="FFFFFF"/>
                <w:sz w:val="18"/>
                <w:szCs w:val="18"/>
              </w:rPr>
              <w:t xml:space="preserve">Effort</w:t>
            </w:r>
          </w:p>
        </w:tc>
        <w:tc>
          <w:tcPr>
            <w:tcW w:type="dxa" w:w="3260"/>
            <w:shd w:fill="1F3F8F" w:val="clear"/>
            <w:tcMar>
              <w:top w:type="dxa" w:w="141"/>
              <w:left w:type="dxa" w:w="170"/>
              <w:bottom w:type="dxa" w:w="141"/>
              <w:right w:type="dxa" w:w="170"/>
            </w:tcMar>
          </w:tcPr>
          <w:p>
            <w:pPr>
              <w:jc w:val="center"/>
            </w:pPr>
            <w:r>
              <w:rPr>
                <w:b/>
                <w:bCs/>
                <w:color w:val="FFFFFF"/>
                <w:sz w:val="18"/>
                <w:szCs w:val="18"/>
              </w:rPr>
              <w:t xml:space="preserve">AI Role</w:t>
            </w:r>
          </w:p>
        </w:tc>
      </w:tr>
      <w:tr>
        <w:tc>
          <w:tcPr>
            <w:tcW w:type="dxa" w:w="1400"/>
            <w:shd w:fill="EEF3FB" w:val="clear"/>
            <w:tcMar>
              <w:top w:type="dxa" w:w="113"/>
              <w:left w:type="dxa" w:w="170"/>
              <w:bottom w:type="dxa" w:w="113"/>
              <w:right w:type="dxa" w:w="170"/>
            </w:tcMar>
          </w:tcPr>
          <w:p>
            <w:r>
              <w:rPr>
                <w:b/>
                <w:bCs/>
                <w:color w:val="1F3F8F"/>
                <w:sz w:val="18"/>
                <w:szCs w:val="18"/>
              </w:rPr>
              <w:t xml:space="preserve">Disposition</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Definition</w:t>
            </w:r>
          </w:p>
        </w:tc>
        <w:tc>
          <w:tcPr>
            <w:tcW w:type="dxa" w:w="2500"/>
            <w:shd w:fill="EEF3FB" w:val="clear"/>
            <w:tcMar>
              <w:top w:type="dxa" w:w="113"/>
              <w:left w:type="dxa" w:w="170"/>
              <w:bottom w:type="dxa" w:w="113"/>
              <w:right w:type="dxa" w:w="170"/>
            </w:tcMar>
          </w:tcPr>
          <w:p>
            <w:r>
              <w:rPr>
                <w:b w:val="false"/>
                <w:bCs w:val="false"/>
                <w:color w:val="1A1A2E"/>
                <w:sz w:val="18"/>
                <w:szCs w:val="18"/>
              </w:rPr>
              <w:t xml:space="preserve">Effort Implication</w:t>
            </w:r>
          </w:p>
        </w:tc>
        <w:tc>
          <w:tcPr>
            <w:tcW w:type="dxa" w:w="3260"/>
            <w:shd w:fill="EEF3FB" w:val="clear"/>
            <w:tcMar>
              <w:top w:type="dxa" w:w="113"/>
              <w:left w:type="dxa" w:w="170"/>
              <w:bottom w:type="dxa" w:w="113"/>
              <w:right w:type="dxa" w:w="170"/>
            </w:tcMar>
          </w:tcPr>
          <w:p>
            <w:r>
              <w:rPr>
                <w:b w:val="false"/>
                <w:bCs w:val="false"/>
                <w:color w:val="1A1A2E"/>
                <w:sz w:val="18"/>
                <w:szCs w:val="18"/>
              </w:rPr>
              <w:t xml:space="preserve">AI Role in Classification</w:t>
            </w:r>
          </w:p>
        </w:tc>
      </w:tr>
      <w:tr>
        <w:tc>
          <w:tcPr>
            <w:tcW w:type="dxa" w:w="1400"/>
            <w:shd w:fill="FFFFFF" w:val="clear"/>
            <w:tcMar>
              <w:top w:type="dxa" w:w="113"/>
              <w:left w:type="dxa" w:w="170"/>
              <w:bottom w:type="dxa" w:w="113"/>
              <w:right w:type="dxa" w:w="170"/>
            </w:tcMar>
          </w:tcPr>
          <w:p>
            <w:r>
              <w:rPr>
                <w:b/>
                <w:bCs/>
                <w:color w:val="1F3F8F"/>
                <w:sz w:val="18"/>
                <w:szCs w:val="18"/>
              </w:rPr>
              <w:t xml:space="preserve">RETIRE</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Custom object no longer needed. Standard product now covers the requirement, or the requirement no longer exists.</w:t>
            </w:r>
          </w:p>
        </w:tc>
        <w:tc>
          <w:tcPr>
            <w:tcW w:type="dxa" w:w="2500"/>
            <w:shd w:fill="FFFFFF" w:val="clear"/>
            <w:tcMar>
              <w:top w:type="dxa" w:w="113"/>
              <w:left w:type="dxa" w:w="170"/>
              <w:bottom w:type="dxa" w:w="113"/>
              <w:right w:type="dxa" w:w="170"/>
            </w:tcMar>
          </w:tcPr>
          <w:p>
            <w:r>
              <w:rPr>
                <w:b w:val="false"/>
                <w:bCs w:val="false"/>
                <w:color w:val="1A1A2E"/>
                <w:sz w:val="18"/>
                <w:szCs w:val="18"/>
              </w:rPr>
              <w:t xml:space="preserve">Zero build effort. Some effort for retirement validation and user communication.</w:t>
            </w:r>
          </w:p>
        </w:tc>
        <w:tc>
          <w:tcPr>
            <w:tcW w:type="dxa" w:w="3260"/>
            <w:shd w:fill="FFFFFF" w:val="clear"/>
            <w:tcMar>
              <w:top w:type="dxa" w:w="113"/>
              <w:left w:type="dxa" w:w="170"/>
              <w:bottom w:type="dxa" w:w="113"/>
              <w:right w:type="dxa" w:w="170"/>
            </w:tcMar>
          </w:tcPr>
          <w:p>
            <w:r>
              <w:rPr>
                <w:b w:val="false"/>
                <w:bCs w:val="false"/>
                <w:color w:val="1A1A2E"/>
                <w:sz w:val="18"/>
                <w:szCs w:val="18"/>
              </w:rPr>
              <w:t xml:space="preserve">AI checks if delivered functionality in target release covers the custom object's purpose. Recommends retire candidates.</w:t>
            </w:r>
          </w:p>
        </w:tc>
      </w:tr>
      <w:tr>
        <w:tc>
          <w:tcPr>
            <w:tcW w:type="dxa" w:w="1400"/>
            <w:shd w:fill="EEF3FB" w:val="clear"/>
            <w:tcMar>
              <w:top w:type="dxa" w:w="113"/>
              <w:left w:type="dxa" w:w="170"/>
              <w:bottom w:type="dxa" w:w="113"/>
              <w:right w:type="dxa" w:w="170"/>
            </w:tcMar>
          </w:tcPr>
          <w:p>
            <w:r>
              <w:rPr>
                <w:b/>
                <w:bCs/>
                <w:color w:val="1F3F8F"/>
                <w:sz w:val="18"/>
                <w:szCs w:val="18"/>
              </w:rPr>
              <w:t xml:space="preserve">ADOPT STANDARD</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Retire the custom object and adopt the Oracle standard equivalent. May require business process change.</w:t>
            </w:r>
          </w:p>
        </w:tc>
        <w:tc>
          <w:tcPr>
            <w:tcW w:type="dxa" w:w="2500"/>
            <w:shd w:fill="EEF3FB" w:val="clear"/>
            <w:tcMar>
              <w:top w:type="dxa" w:w="113"/>
              <w:left w:type="dxa" w:w="170"/>
              <w:bottom w:type="dxa" w:w="113"/>
              <w:right w:type="dxa" w:w="170"/>
            </w:tcMar>
          </w:tcPr>
          <w:p>
            <w:r>
              <w:rPr>
                <w:b w:val="false"/>
                <w:bCs w:val="false"/>
                <w:color w:val="1A1A2E"/>
                <w:sz w:val="18"/>
                <w:szCs w:val="18"/>
              </w:rPr>
              <w:t xml:space="preserve">Configuration effort only — no custom development. Change management effort increases.</w:t>
            </w:r>
          </w:p>
        </w:tc>
        <w:tc>
          <w:tcPr>
            <w:tcW w:type="dxa" w:w="3260"/>
            <w:shd w:fill="EEF3FB" w:val="clear"/>
            <w:tcMar>
              <w:top w:type="dxa" w:w="113"/>
              <w:left w:type="dxa" w:w="170"/>
              <w:bottom w:type="dxa" w:w="113"/>
              <w:right w:type="dxa" w:w="170"/>
            </w:tcMar>
          </w:tcPr>
          <w:p>
            <w:r>
              <w:rPr>
                <w:b w:val="false"/>
                <w:bCs w:val="false"/>
                <w:color w:val="1A1A2E"/>
                <w:sz w:val="18"/>
                <w:szCs w:val="18"/>
              </w:rPr>
              <w:t xml:space="preserve">AI maps custom object functionality to Oracle standard feature set. Flags where business process change is needed.</w:t>
            </w:r>
          </w:p>
        </w:tc>
      </w:tr>
      <w:tr>
        <w:tc>
          <w:tcPr>
            <w:tcW w:type="dxa" w:w="1400"/>
            <w:shd w:fill="FFFFFF" w:val="clear"/>
            <w:tcMar>
              <w:top w:type="dxa" w:w="113"/>
              <w:left w:type="dxa" w:w="170"/>
              <w:bottom w:type="dxa" w:w="113"/>
              <w:right w:type="dxa" w:w="170"/>
            </w:tcMar>
          </w:tcPr>
          <w:p>
            <w:r>
              <w:rPr>
                <w:b/>
                <w:bCs/>
                <w:color w:val="1F3F8F"/>
                <w:sz w:val="18"/>
                <w:szCs w:val="18"/>
              </w:rPr>
              <w:t xml:space="preserve">REBUILD</w:t>
            </w:r>
          </w:p>
        </w:tc>
        <w:tc>
          <w:tcPr>
            <w:tcW w:type="dxa" w:w="2200"/>
            <w:shd w:fill="FFFFFF" w:val="clear"/>
            <w:tcMar>
              <w:top w:type="dxa" w:w="113"/>
              <w:left w:type="dxa" w:w="170"/>
              <w:bottom w:type="dxa" w:w="113"/>
              <w:right w:type="dxa" w:w="170"/>
            </w:tcMar>
          </w:tcPr>
          <w:p>
            <w:r>
              <w:rPr>
                <w:b w:val="false"/>
                <w:bCs w:val="false"/>
                <w:color w:val="1A1A2E"/>
                <w:sz w:val="18"/>
                <w:szCs w:val="18"/>
              </w:rPr>
              <w:t xml:space="preserve">Custom object must be recreated in the target platform using new tools (e.g. eScript → OIC, OAF → VBCS, SQR → BIP).</w:t>
            </w:r>
          </w:p>
        </w:tc>
        <w:tc>
          <w:tcPr>
            <w:tcW w:type="dxa" w:w="2500"/>
            <w:shd w:fill="FFFFFF" w:val="clear"/>
            <w:tcMar>
              <w:top w:type="dxa" w:w="113"/>
              <w:left w:type="dxa" w:w="170"/>
              <w:bottom w:type="dxa" w:w="113"/>
              <w:right w:type="dxa" w:w="170"/>
            </w:tcMar>
          </w:tcPr>
          <w:p>
            <w:r>
              <w:rPr>
                <w:b w:val="false"/>
                <w:bCs w:val="false"/>
                <w:color w:val="1A1A2E"/>
                <w:sz w:val="18"/>
                <w:szCs w:val="18"/>
              </w:rPr>
              <w:t xml:space="preserve">Full development effort at AI-adjusted rates. Logic must be re-understood and re-implemented.</w:t>
            </w:r>
          </w:p>
        </w:tc>
        <w:tc>
          <w:tcPr>
            <w:tcW w:type="dxa" w:w="3260"/>
            <w:shd w:fill="FFFFFF" w:val="clear"/>
            <w:tcMar>
              <w:top w:type="dxa" w:w="113"/>
              <w:left w:type="dxa" w:w="170"/>
              <w:bottom w:type="dxa" w:w="113"/>
              <w:right w:type="dxa" w:w="170"/>
            </w:tcMar>
          </w:tcPr>
          <w:p>
            <w:r>
              <w:rPr>
                <w:b w:val="false"/>
                <w:bCs w:val="false"/>
                <w:color w:val="1A1A2E"/>
                <w:sz w:val="18"/>
                <w:szCs w:val="18"/>
              </w:rPr>
              <w:t xml:space="preserve">AI reads existing code and generates specification + first-cut implementation in target technology.</w:t>
            </w:r>
          </w:p>
        </w:tc>
      </w:tr>
      <w:tr>
        <w:tc>
          <w:tcPr>
            <w:tcW w:type="dxa" w:w="1400"/>
            <w:shd w:fill="EEF3FB" w:val="clear"/>
            <w:tcMar>
              <w:top w:type="dxa" w:w="113"/>
              <w:left w:type="dxa" w:w="170"/>
              <w:bottom w:type="dxa" w:w="113"/>
              <w:right w:type="dxa" w:w="170"/>
            </w:tcMar>
          </w:tcPr>
          <w:p>
            <w:r>
              <w:rPr>
                <w:b/>
                <w:bCs/>
                <w:color w:val="1F3F8F"/>
                <w:sz w:val="18"/>
                <w:szCs w:val="18"/>
              </w:rPr>
              <w:t xml:space="preserve">CARRY FORWARD</w:t>
            </w:r>
          </w:p>
        </w:tc>
        <w:tc>
          <w:tcPr>
            <w:tcW w:type="dxa" w:w="2200"/>
            <w:shd w:fill="EEF3FB" w:val="clear"/>
            <w:tcMar>
              <w:top w:type="dxa" w:w="113"/>
              <w:left w:type="dxa" w:w="170"/>
              <w:bottom w:type="dxa" w:w="113"/>
              <w:right w:type="dxa" w:w="170"/>
            </w:tcMar>
          </w:tcPr>
          <w:p>
            <w:r>
              <w:rPr>
                <w:b w:val="false"/>
                <w:bCs w:val="false"/>
                <w:color w:val="1A1A2E"/>
                <w:sz w:val="18"/>
                <w:szCs w:val="18"/>
              </w:rPr>
              <w:t xml:space="preserve">Custom object is technically compatible with target release and requires only minor remediation (e.g. API updates, namespace changes).</w:t>
            </w:r>
          </w:p>
        </w:tc>
        <w:tc>
          <w:tcPr>
            <w:tcW w:type="dxa" w:w="2500"/>
            <w:shd w:fill="EEF3FB" w:val="clear"/>
            <w:tcMar>
              <w:top w:type="dxa" w:w="113"/>
              <w:left w:type="dxa" w:w="170"/>
              <w:bottom w:type="dxa" w:w="113"/>
              <w:right w:type="dxa" w:w="170"/>
            </w:tcMar>
          </w:tcPr>
          <w:p>
            <w:r>
              <w:rPr>
                <w:b w:val="false"/>
                <w:bCs w:val="false"/>
                <w:color w:val="1A1A2E"/>
                <w:sz w:val="18"/>
                <w:szCs w:val="18"/>
              </w:rPr>
              <w:t xml:space="preserve">Remediation effort only — typically 20–40% of a full rebuild.</w:t>
            </w:r>
          </w:p>
        </w:tc>
        <w:tc>
          <w:tcPr>
            <w:tcW w:type="dxa" w:w="3260"/>
            <w:shd w:fill="EEF3FB" w:val="clear"/>
            <w:tcMar>
              <w:top w:type="dxa" w:w="113"/>
              <w:left w:type="dxa" w:w="170"/>
              <w:bottom w:type="dxa" w:w="113"/>
              <w:right w:type="dxa" w:w="170"/>
            </w:tcMar>
          </w:tcPr>
          <w:p>
            <w:r>
              <w:rPr>
                <w:b w:val="false"/>
                <w:bCs w:val="false"/>
                <w:color w:val="1A1A2E"/>
                <w:sz w:val="18"/>
                <w:szCs w:val="18"/>
              </w:rPr>
              <w:t xml:space="preserve">AI performs compatibility check and identifies specific lines of code requiring change. Generates remediation diff.</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8A020" w:sz="10"/>
              <w:left w:val="thick" w:color="E8A020" w:sz="10"/>
              <w:bottom w:val="none"/>
              <w:right w:val="none"/>
            </w:tcBorders>
            <w:shd w:fill="FFF8EC" w:val="clear"/>
            <w:tcMar>
              <w:top w:type="dxa" w:w="170"/>
              <w:left w:type="dxa" w:w="283"/>
              <w:bottom w:type="dxa" w:w="170"/>
              <w:right w:type="dxa" w:w="283"/>
            </w:tcMar>
          </w:tcPr>
          <w:p>
            <w:pPr>
              <w:spacing w:after="80"/>
            </w:pPr>
            <w:r>
              <w:rPr>
                <w:b/>
                <w:bCs/>
                <w:color w:val="E8A020"/>
                <w:sz w:val="20"/>
                <w:szCs w:val="20"/>
              </w:rPr>
              <w:t xml:space="preserve">📊  Why This Classification Changes Everything</w:t>
            </w:r>
          </w:p>
          <w:p>
            <w:pPr>
              <w:spacing w:after="40" w:before="40" w:line="276"/>
            </w:pPr>
            <w:r>
              <w:rPr>
                <w:color w:val="1A1A2E"/>
                <w:sz w:val="19"/>
                <w:szCs w:val="19"/>
              </w:rPr>
              <w:t xml:space="preserve">A program with 500 custom objects where 40% are Retire/Adopt Standard is fundamentally different</w:t>
            </w:r>
          </w:p>
          <w:p>
            <w:pPr>
              <w:spacing w:after="40" w:before="40" w:line="276"/>
            </w:pPr>
            <w:r>
              <w:rPr>
                <w:color w:val="1A1A2E"/>
                <w:sz w:val="19"/>
                <w:szCs w:val="19"/>
              </w:rPr>
              <w:t xml:space="preserve">from one where 90% are Rebuild. The effort difference can be 3–4× for the same raw object count.</w:t>
            </w:r>
          </w:p>
          <w:p>
            <w:pPr>
              <w:spacing w:after="40" w:before="40" w:line="276"/>
            </w:pPr>
            <w:r>
              <w:rPr>
                <w:color w:val="1A1A2E"/>
                <w:sz w:val="19"/>
                <w:szCs w:val="19"/>
              </w:rPr>
              <w:t xml:space="preserve"/>
            </w:r>
          </w:p>
          <w:p>
            <w:pPr>
              <w:spacing w:after="40" w:before="40" w:line="276"/>
            </w:pPr>
            <w:r>
              <w:rPr>
                <w:color w:val="1A1A2E"/>
                <w:sz w:val="19"/>
                <w:szCs w:val="19"/>
              </w:rPr>
              <w:t xml:space="preserve">Traditional estimates often default to "Rebuild everything" because classification was too hard to do early.</w:t>
            </w:r>
          </w:p>
          <w:p>
            <w:pPr>
              <w:spacing w:after="40" w:before="40" w:line="276"/>
            </w:pPr>
            <w:r>
              <w:rPr>
                <w:color w:val="1A1A2E"/>
                <w:sz w:val="19"/>
                <w:szCs w:val="19"/>
              </w:rPr>
              <w:t xml:space="preserve">AI-assisted classification can be done in the discovery phase — changing the estimate foundation</w:t>
            </w:r>
          </w:p>
          <w:p>
            <w:pPr>
              <w:spacing w:after="40" w:before="40" w:line="276"/>
            </w:pPr>
            <w:r>
              <w:rPr>
                <w:color w:val="1A1A2E"/>
                <w:sz w:val="19"/>
                <w:szCs w:val="19"/>
              </w:rPr>
              <w:t xml:space="preserve">from "worst case" to "reality-based".</w:t>
            </w:r>
          </w:p>
          <w:p>
            <w:pPr>
              <w:spacing w:after="40" w:before="40" w:line="276"/>
            </w:pPr>
            <w:r>
              <w:rPr>
                <w:color w:val="1A1A2E"/>
                <w:sz w:val="19"/>
                <w:szCs w:val="19"/>
              </w:rPr>
              <w:t xml:space="preserve"/>
            </w:r>
          </w:p>
          <w:p>
            <w:pPr>
              <w:spacing w:after="40" w:before="40" w:line="276"/>
            </w:pPr>
            <w:r>
              <w:rPr>
                <w:color w:val="1A1A2E"/>
                <w:sz w:val="19"/>
                <w:szCs w:val="19"/>
              </w:rPr>
              <w:t xml:space="preserve">Example: A Siebel 8.1 program with 800 repository objects traditionally sized as 800 rebuilds.</w:t>
            </w:r>
          </w:p>
          <w:p>
            <w:pPr>
              <w:spacing w:after="40" w:before="40" w:line="276"/>
            </w:pPr>
            <w:r>
              <w:rPr>
                <w:color w:val="1A1A2E"/>
                <w:sz w:val="19"/>
                <w:szCs w:val="19"/>
              </w:rPr>
              <w:t xml:space="preserve">AI classification reveals: 220 Retire | 180 Adopt Standard | 280 Rebuild | 120 Carry Forward.</w:t>
            </w:r>
          </w:p>
          <w:p>
            <w:pPr>
              <w:spacing w:after="40" w:before="40" w:line="276"/>
            </w:pPr>
            <w:r>
              <w:rPr>
                <w:color w:val="1A1A2E"/>
                <w:sz w:val="19"/>
                <w:szCs w:val="19"/>
              </w:rPr>
              <w:t xml:space="preserve">Actual rebuild effort = 35% of original estimate.</w:t>
            </w:r>
          </w:p>
        </w:tc>
      </w:tr>
    </w:tbl>
    <w:p>
      <w:pPr>
        <w:spacing w:after="0" w:before="100"/>
      </w:pPr>
      <w:r>
        <w:t xml:space="preserve"/>
      </w:r>
    </w:p>
    <w:p>
      <w:pPr>
        <w:pStyle w:val="Heading3"/>
        <w:spacing w:after="100" w:before="240"/>
      </w:pPr>
      <w:r>
        <w:rPr>
          <w:b/>
          <w:bCs/>
          <w:color w:val="1F3F8F"/>
          <w:sz w:val="20"/>
          <w:szCs w:val="20"/>
        </w:rPr>
        <w:t xml:space="preserve">Brownfield Sizing Input #3 — Data Migration Volumetrics (Very Different from Greenfield)</w:t>
      </w:r>
    </w:p>
    <w:p>
      <w:pPr>
        <w:spacing w:after="100" w:before="80" w:line="280"/>
      </w:pPr>
      <w:r>
        <w:rPr>
          <w:i w:val="false"/>
          <w:iCs w:val="false"/>
          <w:color w:val="1A1A2E"/>
          <w:sz w:val="20"/>
          <w:szCs w:val="20"/>
        </w:rPr>
        <w:t xml:space="preserve">Brownfield data migration is fundamentally more complex than Greenfield. You are not loading data from spreadsheets or a simple source — you are extracting, transforming, and validating data from a complex, years-old production system with all its accumulated inconsistencies.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shd w:fill="C0392B" w:val="clear"/>
            <w:tcMar>
              <w:top w:type="dxa" w:w="113"/>
              <w:left w:type="dxa" w:w="226"/>
              <w:bottom w:type="dxa" w:w="113"/>
              <w:right w:type="dxa" w:w="226"/>
            </w:tcMar>
          </w:tcPr>
          <w:p>
            <w:pPr>
              <w:jc w:val="center"/>
            </w:pPr>
            <w:r>
              <w:rPr>
                <w:b/>
                <w:bCs/>
                <w:color w:val="FFFFFF"/>
                <w:sz w:val="19"/>
                <w:szCs w:val="19"/>
              </w:rPr>
              <w:t xml:space="preserve">❌ Greenfield Data Migration Sizing</w:t>
            </w:r>
          </w:p>
        </w:tc>
        <w:tc>
          <w:tcPr>
            <w:tcW w:type="dxa" w:w="4760"/>
            <w:shd w:fill="1A7F37" w:val="clear"/>
            <w:tcMar>
              <w:top w:type="dxa" w:w="113"/>
              <w:left w:type="dxa" w:w="226"/>
              <w:bottom w:type="dxa" w:w="113"/>
              <w:right w:type="dxa" w:w="226"/>
            </w:tcMar>
          </w:tcPr>
          <w:p>
            <w:pPr>
              <w:jc w:val="center"/>
            </w:pPr>
            <w:r>
              <w:rPr>
                <w:b/>
                <w:bCs/>
                <w:color w:val="FFFFFF"/>
                <w:sz w:val="19"/>
                <w:szCs w:val="19"/>
              </w:rPr>
              <w:t xml:space="preserve">✅ Brownfield Data Migration Sizing</w:t>
            </w:r>
          </w:p>
        </w:tc>
      </w:tr>
      <w:tr>
        <w:tc>
          <w:tcPr>
            <w:tcW w:type="dxa" w:w="4600"/>
            <w:shd w:fill="EEF3FB" w:val="clear"/>
            <w:tcMar>
              <w:top w:type="dxa" w:w="113"/>
              <w:left w:type="dxa" w:w="226"/>
              <w:bottom w:type="dxa" w:w="113"/>
              <w:right w:type="dxa" w:w="226"/>
            </w:tcMar>
          </w:tcPr>
          <w:p>
            <w:r>
              <w:rPr>
                <w:color w:val="1A1A2E"/>
                <w:sz w:val="18"/>
                <w:szCs w:val="18"/>
              </w:rPr>
              <w:t xml:space="preserve">Count of entities to load</w:t>
            </w:r>
          </w:p>
        </w:tc>
        <w:tc>
          <w:tcPr>
            <w:tcW w:type="dxa" w:w="4760"/>
            <w:shd w:fill="EDFBF1" w:val="clear"/>
            <w:tcMar>
              <w:top w:type="dxa" w:w="113"/>
              <w:left w:type="dxa" w:w="226"/>
              <w:bottom w:type="dxa" w:w="113"/>
              <w:right w:type="dxa" w:w="226"/>
            </w:tcMar>
          </w:tcPr>
          <w:p>
            <w:r>
              <w:rPr>
                <w:color w:val="1A1A2E"/>
                <w:sz w:val="18"/>
                <w:szCs w:val="18"/>
              </w:rPr>
              <w:t xml:space="preserve">Count of entities + count of entities to cleanse + count of entities to archive vs migrate</w:t>
            </w:r>
          </w:p>
        </w:tc>
      </w:tr>
      <w:tr>
        <w:tc>
          <w:tcPr>
            <w:tcW w:type="dxa" w:w="4600"/>
            <w:shd w:fill="EEF3FB" w:val="clear"/>
            <w:tcMar>
              <w:top w:type="dxa" w:w="113"/>
              <w:left w:type="dxa" w:w="226"/>
              <w:bottom w:type="dxa" w:w="113"/>
              <w:right w:type="dxa" w:w="226"/>
            </w:tcMar>
          </w:tcPr>
          <w:p>
            <w:r>
              <w:rPr>
                <w:color w:val="1A1A2E"/>
                <w:sz w:val="18"/>
                <w:szCs w:val="18"/>
              </w:rPr>
              <w:t xml:space="preserve">Source: spreadsheets, simple extract</w:t>
            </w:r>
          </w:p>
        </w:tc>
        <w:tc>
          <w:tcPr>
            <w:tcW w:type="dxa" w:w="4760"/>
            <w:shd w:fill="EDFBF1" w:val="clear"/>
            <w:tcMar>
              <w:top w:type="dxa" w:w="113"/>
              <w:left w:type="dxa" w:w="226"/>
              <w:bottom w:type="dxa" w:w="113"/>
              <w:right w:type="dxa" w:w="226"/>
            </w:tcMar>
          </w:tcPr>
          <w:p>
            <w:r>
              <w:rPr>
                <w:color w:val="1A1A2E"/>
                <w:sz w:val="18"/>
                <w:szCs w:val="18"/>
              </w:rPr>
              <w:t xml:space="preserve">Source: complex ERP with years of transactions, duplicates, inactive records, structural inconsistencies</w:t>
            </w:r>
          </w:p>
        </w:tc>
      </w:tr>
      <w:tr>
        <w:tc>
          <w:tcPr>
            <w:tcW w:type="dxa" w:w="4600"/>
            <w:shd w:fill="EEF3FB" w:val="clear"/>
            <w:tcMar>
              <w:top w:type="dxa" w:w="113"/>
              <w:left w:type="dxa" w:w="226"/>
              <w:bottom w:type="dxa" w:w="113"/>
              <w:right w:type="dxa" w:w="226"/>
            </w:tcMar>
          </w:tcPr>
          <w:p>
            <w:r>
              <w:rPr>
                <w:color w:val="1A1A2E"/>
                <w:sz w:val="18"/>
                <w:szCs w:val="18"/>
              </w:rPr>
              <w:t xml:space="preserve">Mapping: source fields → FBDI template</w:t>
            </w:r>
          </w:p>
        </w:tc>
        <w:tc>
          <w:tcPr>
            <w:tcW w:type="dxa" w:w="4760"/>
            <w:shd w:fill="EDFBF1" w:val="clear"/>
            <w:tcMar>
              <w:top w:type="dxa" w:w="113"/>
              <w:left w:type="dxa" w:w="226"/>
              <w:bottom w:type="dxa" w:w="113"/>
              <w:right w:type="dxa" w:w="226"/>
            </w:tcMar>
          </w:tcPr>
          <w:p>
            <w:r>
              <w:rPr>
                <w:color w:val="1A1A2E"/>
                <w:sz w:val="18"/>
                <w:szCs w:val="18"/>
              </w:rPr>
              <w:t xml:space="preserve">Mapping: source ERP schema → transformation logic → target schema (often requires data model translation)</w:t>
            </w:r>
          </w:p>
        </w:tc>
      </w:tr>
      <w:tr>
        <w:tc>
          <w:tcPr>
            <w:tcW w:type="dxa" w:w="4600"/>
            <w:shd w:fill="EEF3FB" w:val="clear"/>
            <w:tcMar>
              <w:top w:type="dxa" w:w="113"/>
              <w:left w:type="dxa" w:w="226"/>
              <w:bottom w:type="dxa" w:w="113"/>
              <w:right w:type="dxa" w:w="226"/>
            </w:tcMar>
          </w:tcPr>
          <w:p>
            <w:r>
              <w:rPr>
                <w:color w:val="1A1A2E"/>
                <w:sz w:val="18"/>
                <w:szCs w:val="18"/>
              </w:rPr>
              <w:t xml:space="preserve">Quality: assumed clean or user-managed</w:t>
            </w:r>
          </w:p>
        </w:tc>
        <w:tc>
          <w:tcPr>
            <w:tcW w:type="dxa" w:w="4760"/>
            <w:shd w:fill="EDFBF1" w:val="clear"/>
            <w:tcMar>
              <w:top w:type="dxa" w:w="113"/>
              <w:left w:type="dxa" w:w="226"/>
              <w:bottom w:type="dxa" w:w="113"/>
              <w:right w:type="dxa" w:w="226"/>
            </w:tcMar>
          </w:tcPr>
          <w:p>
            <w:r>
              <w:rPr>
                <w:color w:val="1A1A2E"/>
                <w:sz w:val="18"/>
                <w:szCs w:val="18"/>
              </w:rPr>
              <w:t xml:space="preserve">Quality: must be profiled, scored, and remediated before migration — quality drives effort, not just volume</w:t>
            </w:r>
          </w:p>
        </w:tc>
      </w:tr>
      <w:tr>
        <w:tc>
          <w:tcPr>
            <w:tcW w:type="dxa" w:w="4600"/>
            <w:shd w:fill="EEF3FB" w:val="clear"/>
            <w:tcMar>
              <w:top w:type="dxa" w:w="113"/>
              <w:left w:type="dxa" w:w="226"/>
              <w:bottom w:type="dxa" w:w="113"/>
              <w:right w:type="dxa" w:w="226"/>
            </w:tcMar>
          </w:tcPr>
          <w:p>
            <w:r>
              <w:rPr>
                <w:color w:val="1A1A2E"/>
                <w:sz w:val="18"/>
                <w:szCs w:val="18"/>
              </w:rPr>
              <w:t xml:space="preserve">History: usually load current-state only</w:t>
            </w:r>
          </w:p>
        </w:tc>
        <w:tc>
          <w:tcPr>
            <w:tcW w:type="dxa" w:w="4760"/>
            <w:shd w:fill="EDFBF1" w:val="clear"/>
            <w:tcMar>
              <w:top w:type="dxa" w:w="113"/>
              <w:left w:type="dxa" w:w="226"/>
              <w:bottom w:type="dxa" w:w="113"/>
              <w:right w:type="dxa" w:w="226"/>
            </w:tcMar>
          </w:tcPr>
          <w:p>
            <w:r>
              <w:rPr>
                <w:color w:val="1A1A2E"/>
                <w:sz w:val="18"/>
                <w:szCs w:val="18"/>
              </w:rPr>
              <w:t xml:space="preserve">History: decision needed on how many years of history to migrate vs archive (each year = significant effort)</w:t>
            </w:r>
          </w:p>
        </w:tc>
      </w:tr>
      <w:tr>
        <w:tc>
          <w:tcPr>
            <w:tcW w:type="dxa" w:w="4600"/>
            <w:shd w:fill="EEF3FB" w:val="clear"/>
            <w:tcMar>
              <w:top w:type="dxa" w:w="113"/>
              <w:left w:type="dxa" w:w="226"/>
              <w:bottom w:type="dxa" w:w="113"/>
              <w:right w:type="dxa" w:w="226"/>
            </w:tcMar>
          </w:tcPr>
          <w:p>
            <w:r>
              <w:rPr>
                <w:color w:val="1A1A2E"/>
                <w:sz w:val="18"/>
                <w:szCs w:val="18"/>
              </w:rPr>
              <w:t xml:space="preserve">Validation: check loaded vs source spreadsheet</w:t>
            </w:r>
          </w:p>
        </w:tc>
        <w:tc>
          <w:tcPr>
            <w:tcW w:type="dxa" w:w="4760"/>
            <w:shd w:fill="EDFBF1" w:val="clear"/>
            <w:tcMar>
              <w:top w:type="dxa" w:w="113"/>
              <w:left w:type="dxa" w:w="226"/>
              <w:bottom w:type="dxa" w:w="113"/>
              <w:right w:type="dxa" w:w="226"/>
            </w:tcMar>
          </w:tcPr>
          <w:p>
            <w:r>
              <w:rPr>
                <w:color w:val="1A1A2E"/>
                <w:sz w:val="18"/>
                <w:szCs w:val="18"/>
              </w:rPr>
              <w:t xml:space="preserve">Validation: reconcile migrated data against source system financials, headcounts, inventory at period level</w:t>
            </w:r>
          </w:p>
        </w:tc>
      </w:tr>
      <w:tr>
        <w:tc>
          <w:tcPr>
            <w:tcW w:type="dxa" w:w="4600"/>
            <w:shd w:fill="EEF3FB" w:val="clear"/>
            <w:tcMar>
              <w:top w:type="dxa" w:w="113"/>
              <w:left w:type="dxa" w:w="226"/>
              <w:bottom w:type="dxa" w:w="113"/>
              <w:right w:type="dxa" w:w="226"/>
            </w:tcMar>
          </w:tcPr>
          <w:p>
            <w:r>
              <w:rPr>
                <w:color w:val="1A1A2E"/>
                <w:sz w:val="18"/>
                <w:szCs w:val="18"/>
              </w:rPr>
              <w:t xml:space="preserve">Runs: typically 3–4 mock runs + final</w:t>
            </w:r>
          </w:p>
        </w:tc>
        <w:tc>
          <w:tcPr>
            <w:tcW w:type="dxa" w:w="4760"/>
            <w:shd w:fill="EDFBF1" w:val="clear"/>
            <w:tcMar>
              <w:top w:type="dxa" w:w="113"/>
              <w:left w:type="dxa" w:w="226"/>
              <w:bottom w:type="dxa" w:w="113"/>
              <w:right w:type="dxa" w:w="226"/>
            </w:tcMar>
          </w:tcPr>
          <w:p>
            <w:r>
              <w:rPr>
                <w:color w:val="1A1A2E"/>
                <w:sz w:val="18"/>
                <w:szCs w:val="18"/>
              </w:rPr>
              <w:t xml:space="preserve">Runs: typically 5–8 mock runs for complex systems with incremental cleanse cycles between runs</w:t>
            </w:r>
          </w:p>
        </w:tc>
      </w:tr>
      <w:tr>
        <w:tc>
          <w:tcPr>
            <w:tcW w:type="dxa" w:w="4600"/>
            <w:shd w:fill="EEF3FB" w:val="clear"/>
            <w:tcMar>
              <w:top w:type="dxa" w:w="113"/>
              <w:left w:type="dxa" w:w="226"/>
              <w:bottom w:type="dxa" w:w="113"/>
              <w:right w:type="dxa" w:w="226"/>
            </w:tcMar>
          </w:tcPr>
          <w:p>
            <w:r>
              <w:rPr>
                <w:color w:val="1A1A2E"/>
                <w:sz w:val="18"/>
                <w:szCs w:val="18"/>
              </w:rPr>
              <w:t xml:space="preserve">Data cleanse: user's responsibility pre-load</w:t>
            </w:r>
          </w:p>
        </w:tc>
        <w:tc>
          <w:tcPr>
            <w:tcW w:type="dxa" w:w="4760"/>
            <w:shd w:fill="EDFBF1" w:val="clear"/>
            <w:tcMar>
              <w:top w:type="dxa" w:w="113"/>
              <w:left w:type="dxa" w:w="226"/>
              <w:bottom w:type="dxa" w:w="113"/>
              <w:right w:type="dxa" w:w="226"/>
            </w:tcMar>
          </w:tcPr>
          <w:p>
            <w:r>
              <w:rPr>
                <w:color w:val="1A1A2E"/>
                <w:sz w:val="18"/>
                <w:szCs w:val="18"/>
              </w:rPr>
              <w:t xml:space="preserve">Data cleanse: joint exercise — AI profiles, team cleanses, AI validates — explicitly in scope</w:t>
            </w:r>
          </w:p>
        </w:tc>
      </w:tr>
    </w:tbl>
    <w:p>
      <w:pPr>
        <w:spacing w:after="0" w:before="80"/>
      </w:pPr>
      <w:r>
        <w:t xml:space="preserve"/>
      </w:r>
    </w:p>
    <w:p>
      <w:pPr>
        <w:pStyle w:val="Heading3"/>
        <w:spacing w:after="100" w:before="240"/>
      </w:pPr>
      <w:r>
        <w:rPr>
          <w:b/>
          <w:bCs/>
          <w:color w:val="1F3F8F"/>
          <w:sz w:val="20"/>
          <w:szCs w:val="20"/>
        </w:rPr>
        <w:t xml:space="preserve">Brownfield Data Migration — Specific Volumetric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700"/>
        <w:gridCol w:w="2660"/>
      </w:tblGrid>
      <w:tr>
        <w:trPr>
          <w:tblHeader/>
        </w:trPr>
        <w:tc>
          <w:tcPr>
            <w:tcW w:type="dxa" w:w="2000"/>
            <w:shd w:fill="1F3F8F" w:val="clear"/>
            <w:tcMar>
              <w:top w:type="dxa" w:w="141"/>
              <w:left w:type="dxa" w:w="170"/>
              <w:bottom w:type="dxa" w:w="141"/>
              <w:right w:type="dxa" w:w="170"/>
            </w:tcMar>
          </w:tcPr>
          <w:p>
            <w:pPr>
              <w:jc w:val="center"/>
            </w:pPr>
            <w:r>
              <w:rPr>
                <w:b/>
                <w:bCs/>
                <w:color w:val="FFFFFF"/>
                <w:sz w:val="18"/>
                <w:szCs w:val="18"/>
              </w:rPr>
              <w:t xml:space="preserve">Parameter</w:t>
            </w:r>
          </w:p>
        </w:tc>
        <w:tc>
          <w:tcPr>
            <w:tcW w:type="dxa" w:w="2000"/>
            <w:shd w:fill="1F3F8F" w:val="clear"/>
            <w:tcMar>
              <w:top w:type="dxa" w:w="141"/>
              <w:left w:type="dxa" w:w="170"/>
              <w:bottom w:type="dxa" w:w="141"/>
              <w:right w:type="dxa" w:w="170"/>
            </w:tcMar>
          </w:tcPr>
          <w:p>
            <w:pPr>
              <w:jc w:val="center"/>
            </w:pPr>
            <w:r>
              <w:rPr>
                <w:b/>
                <w:bCs/>
                <w:color w:val="FFFFFF"/>
                <w:sz w:val="18"/>
                <w:szCs w:val="18"/>
              </w:rPr>
              <w:t xml:space="preserve">What to Measure</w:t>
            </w:r>
          </w:p>
        </w:tc>
        <w:tc>
          <w:tcPr>
            <w:tcW w:type="dxa" w:w="2700"/>
            <w:shd w:fill="1F3F8F" w:val="clear"/>
            <w:tcMar>
              <w:top w:type="dxa" w:w="141"/>
              <w:left w:type="dxa" w:w="170"/>
              <w:bottom w:type="dxa" w:w="141"/>
              <w:right w:type="dxa" w:w="170"/>
            </w:tcMar>
          </w:tcPr>
          <w:p>
            <w:pPr>
              <w:jc w:val="center"/>
            </w:pPr>
            <w:r>
              <w:rPr>
                <w:b/>
                <w:bCs/>
                <w:color w:val="FFFFFF"/>
                <w:sz w:val="18"/>
                <w:szCs w:val="18"/>
              </w:rPr>
              <w:t xml:space="preserve">Why Different in Brownfield</w:t>
            </w:r>
          </w:p>
        </w:tc>
        <w:tc>
          <w:tcPr>
            <w:tcW w:type="dxa" w:w="2660"/>
            <w:shd w:fill="1F3F8F" w:val="clear"/>
            <w:tcMar>
              <w:top w:type="dxa" w:w="141"/>
              <w:left w:type="dxa" w:w="170"/>
              <w:bottom w:type="dxa" w:w="141"/>
              <w:right w:type="dxa" w:w="170"/>
            </w:tcMar>
          </w:tcPr>
          <w:p>
            <w:pPr>
              <w:jc w:val="center"/>
            </w:pPr>
            <w:r>
              <w:rPr>
                <w:b/>
                <w:bCs/>
                <w:color w:val="FFFFFF"/>
                <w:sz w:val="18"/>
                <w:szCs w:val="18"/>
              </w:rPr>
              <w:t xml:space="preserve">AI Tool</w:t>
            </w:r>
          </w:p>
        </w:tc>
      </w:tr>
      <w:tr>
        <w:tc>
          <w:tcPr>
            <w:tcW w:type="dxa" w:w="2000"/>
            <w:shd w:fill="EEF3FB" w:val="clear"/>
            <w:tcMar>
              <w:top w:type="dxa" w:w="113"/>
              <w:left w:type="dxa" w:w="170"/>
              <w:bottom w:type="dxa" w:w="113"/>
              <w:right w:type="dxa" w:w="170"/>
            </w:tcMar>
          </w:tcPr>
          <w:p>
            <w:r>
              <w:rPr>
                <w:b/>
                <w:bCs/>
                <w:color w:val="1F3F8F"/>
                <w:sz w:val="18"/>
                <w:szCs w:val="18"/>
              </w:rPr>
              <w:t xml:space="preserve">Volumetric Parameter</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What to Measure</w:t>
            </w:r>
          </w:p>
        </w:tc>
        <w:tc>
          <w:tcPr>
            <w:tcW w:type="dxa" w:w="2700"/>
            <w:shd w:fill="EEF3FB" w:val="clear"/>
            <w:tcMar>
              <w:top w:type="dxa" w:w="113"/>
              <w:left w:type="dxa" w:w="170"/>
              <w:bottom w:type="dxa" w:w="113"/>
              <w:right w:type="dxa" w:w="170"/>
            </w:tcMar>
          </w:tcPr>
          <w:p>
            <w:r>
              <w:rPr>
                <w:b w:val="false"/>
                <w:bCs w:val="false"/>
                <w:color w:val="1A1A2E"/>
                <w:sz w:val="18"/>
                <w:szCs w:val="18"/>
              </w:rPr>
              <w:t xml:space="preserve">Why It Is Different in Brownfield</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AI Tool</w:t>
            </w:r>
          </w:p>
        </w:tc>
      </w:tr>
      <w:tr>
        <w:tc>
          <w:tcPr>
            <w:tcW w:type="dxa" w:w="2000"/>
            <w:shd w:fill="FFFFFF" w:val="clear"/>
            <w:tcMar>
              <w:top w:type="dxa" w:w="113"/>
              <w:left w:type="dxa" w:w="170"/>
              <w:bottom w:type="dxa" w:w="113"/>
              <w:right w:type="dxa" w:w="170"/>
            </w:tcMar>
          </w:tcPr>
          <w:p>
            <w:r>
              <w:rPr>
                <w:b/>
                <w:bCs/>
                <w:color w:val="1F3F8F"/>
                <w:sz w:val="18"/>
                <w:szCs w:val="18"/>
              </w:rPr>
              <w:t xml:space="preserve">Record count by entity</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Accounts, suppliers, items, employees, open transactions</w:t>
            </w:r>
          </w:p>
        </w:tc>
        <w:tc>
          <w:tcPr>
            <w:tcW w:type="dxa" w:w="2700"/>
            <w:shd w:fill="FFFFFF" w:val="clear"/>
            <w:tcMar>
              <w:top w:type="dxa" w:w="113"/>
              <w:left w:type="dxa" w:w="170"/>
              <w:bottom w:type="dxa" w:w="113"/>
              <w:right w:type="dxa" w:w="170"/>
            </w:tcMar>
          </w:tcPr>
          <w:p>
            <w:r>
              <w:rPr>
                <w:b w:val="false"/>
                <w:bCs w:val="false"/>
                <w:color w:val="1A1A2E"/>
                <w:sz w:val="18"/>
                <w:szCs w:val="18"/>
              </w:rPr>
              <w:t xml:space="preserve">Same as Greenfield BUT must exclude inactive/duplicate/invalid records first</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AI deduplication and status classification</w:t>
            </w:r>
          </w:p>
        </w:tc>
      </w:tr>
      <w:tr>
        <w:tc>
          <w:tcPr>
            <w:tcW w:type="dxa" w:w="2000"/>
            <w:shd w:fill="EEF3FB" w:val="clear"/>
            <w:tcMar>
              <w:top w:type="dxa" w:w="113"/>
              <w:left w:type="dxa" w:w="170"/>
              <w:bottom w:type="dxa" w:w="113"/>
              <w:right w:type="dxa" w:w="170"/>
            </w:tcMar>
          </w:tcPr>
          <w:p>
            <w:r>
              <w:rPr>
                <w:b/>
                <w:bCs/>
                <w:color w:val="1F3F8F"/>
                <w:sz w:val="18"/>
                <w:szCs w:val="18"/>
              </w:rPr>
              <w:t xml:space="preserve">Data quality score (per entity)</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 of records passing validation rules before migration</w:t>
            </w:r>
          </w:p>
        </w:tc>
        <w:tc>
          <w:tcPr>
            <w:tcW w:type="dxa" w:w="2700"/>
            <w:shd w:fill="EEF3FB" w:val="clear"/>
            <w:tcMar>
              <w:top w:type="dxa" w:w="113"/>
              <w:left w:type="dxa" w:w="170"/>
              <w:bottom w:type="dxa" w:w="113"/>
              <w:right w:type="dxa" w:w="170"/>
            </w:tcMar>
          </w:tcPr>
          <w:p>
            <w:r>
              <w:rPr>
                <w:b w:val="false"/>
                <w:bCs w:val="false"/>
                <w:color w:val="1A1A2E"/>
                <w:sz w:val="18"/>
                <w:szCs w:val="18"/>
              </w:rPr>
              <w:t xml:space="preserve">Critical Brownfield input — does not exist in Greenfield. Quality score drives cleanse effort (the biggest wildcard).</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AI data profiler: scores each entity 0–100% quality</w:t>
            </w:r>
          </w:p>
        </w:tc>
      </w:tr>
      <w:tr>
        <w:tc>
          <w:tcPr>
            <w:tcW w:type="dxa" w:w="2000"/>
            <w:shd w:fill="FFFFFF" w:val="clear"/>
            <w:tcMar>
              <w:top w:type="dxa" w:w="113"/>
              <w:left w:type="dxa" w:w="170"/>
              <w:bottom w:type="dxa" w:w="113"/>
              <w:right w:type="dxa" w:w="170"/>
            </w:tcMar>
          </w:tcPr>
          <w:p>
            <w:r>
              <w:rPr>
                <w:b/>
                <w:bCs/>
                <w:color w:val="1F3F8F"/>
                <w:sz w:val="18"/>
                <w:szCs w:val="18"/>
              </w:rPr>
              <w:t xml:space="preserve">Duplication rate</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 of records that are duplicate or near-duplicate</w:t>
            </w:r>
          </w:p>
        </w:tc>
        <w:tc>
          <w:tcPr>
            <w:tcW w:type="dxa" w:w="2700"/>
            <w:shd w:fill="FFFFFF" w:val="clear"/>
            <w:tcMar>
              <w:top w:type="dxa" w:w="113"/>
              <w:left w:type="dxa" w:w="170"/>
              <w:bottom w:type="dxa" w:w="113"/>
              <w:right w:type="dxa" w:w="170"/>
            </w:tcMar>
          </w:tcPr>
          <w:p>
            <w:r>
              <w:rPr>
                <w:b w:val="false"/>
                <w:bCs w:val="false"/>
                <w:color w:val="1A1A2E"/>
                <w:sz w:val="18"/>
                <w:szCs w:val="18"/>
              </w:rPr>
              <w:t xml:space="preserve">ERP systems accumulate years of duplicates. High dedup rate = significant pre-cleanse effort.</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AI matching engine identifies duplicates by entity type</w:t>
            </w:r>
          </w:p>
        </w:tc>
      </w:tr>
      <w:tr>
        <w:tc>
          <w:tcPr>
            <w:tcW w:type="dxa" w:w="2000"/>
            <w:shd w:fill="EEF3FB" w:val="clear"/>
            <w:tcMar>
              <w:top w:type="dxa" w:w="113"/>
              <w:left w:type="dxa" w:w="170"/>
              <w:bottom w:type="dxa" w:w="113"/>
              <w:right w:type="dxa" w:w="170"/>
            </w:tcMar>
          </w:tcPr>
          <w:p>
            <w:r>
              <w:rPr>
                <w:b/>
                <w:bCs/>
                <w:color w:val="1F3F8F"/>
                <w:sz w:val="18"/>
                <w:szCs w:val="18"/>
              </w:rPr>
              <w:t xml:space="preserve">Historical data period</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Years of transactional history to be migrated</w:t>
            </w:r>
          </w:p>
        </w:tc>
        <w:tc>
          <w:tcPr>
            <w:tcW w:type="dxa" w:w="2700"/>
            <w:shd w:fill="EEF3FB" w:val="clear"/>
            <w:tcMar>
              <w:top w:type="dxa" w:w="113"/>
              <w:left w:type="dxa" w:w="170"/>
              <w:bottom w:type="dxa" w:w="113"/>
              <w:right w:type="dxa" w:w="170"/>
            </w:tcMar>
          </w:tcPr>
          <w:p>
            <w:r>
              <w:rPr>
                <w:b w:val="false"/>
                <w:bCs w:val="false"/>
                <w:color w:val="1A1A2E"/>
                <w:sz w:val="18"/>
                <w:szCs w:val="18"/>
              </w:rPr>
              <w:t xml:space="preserve">Each additional year multiplies extraction, transformation, and validation effort</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AI classifies transactions by age and reference frequency</w:t>
            </w:r>
          </w:p>
        </w:tc>
      </w:tr>
      <w:tr>
        <w:tc>
          <w:tcPr>
            <w:tcW w:type="dxa" w:w="2000"/>
            <w:shd w:fill="FFFFFF" w:val="clear"/>
            <w:tcMar>
              <w:top w:type="dxa" w:w="113"/>
              <w:left w:type="dxa" w:w="170"/>
              <w:bottom w:type="dxa" w:w="113"/>
              <w:right w:type="dxa" w:w="170"/>
            </w:tcMar>
          </w:tcPr>
          <w:p>
            <w:r>
              <w:rPr>
                <w:b/>
                <w:bCs/>
                <w:color w:val="1F3F8F"/>
                <w:sz w:val="18"/>
                <w:szCs w:val="18"/>
              </w:rPr>
              <w:t xml:space="preserve">Source schema complexity</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Number of source tables + relationships per entity</w:t>
            </w:r>
          </w:p>
        </w:tc>
        <w:tc>
          <w:tcPr>
            <w:tcW w:type="dxa" w:w="2700"/>
            <w:shd w:fill="FFFFFF" w:val="clear"/>
            <w:tcMar>
              <w:top w:type="dxa" w:w="113"/>
              <w:left w:type="dxa" w:w="170"/>
              <w:bottom w:type="dxa" w:w="113"/>
              <w:right w:type="dxa" w:w="170"/>
            </w:tcMar>
          </w:tcPr>
          <w:p>
            <w:r>
              <w:rPr>
                <w:b w:val="false"/>
                <w:bCs w:val="false"/>
                <w:color w:val="1A1A2E"/>
                <w:sz w:val="18"/>
                <w:szCs w:val="18"/>
              </w:rPr>
              <w:t xml:space="preserve">Complex ERP schemas (EBS, PeopleSoft) have hundreds of tables per module — each requires mapping</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AI reverse-engineers source schema and maps to target</w:t>
            </w:r>
          </w:p>
        </w:tc>
      </w:tr>
      <w:tr>
        <w:tc>
          <w:tcPr>
            <w:tcW w:type="dxa" w:w="2000"/>
            <w:shd w:fill="EEF3FB" w:val="clear"/>
            <w:tcMar>
              <w:top w:type="dxa" w:w="113"/>
              <w:left w:type="dxa" w:w="170"/>
              <w:bottom w:type="dxa" w:w="113"/>
              <w:right w:type="dxa" w:w="170"/>
            </w:tcMar>
          </w:tcPr>
          <w:p>
            <w:r>
              <w:rPr>
                <w:b/>
                <w:bCs/>
                <w:color w:val="1F3F8F"/>
                <w:sz w:val="18"/>
                <w:szCs w:val="18"/>
              </w:rPr>
              <w:t xml:space="preserve">Structural recode required</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 of master data requiring code structure change (e.g. COA restructure, cost centre rename)</w:t>
            </w:r>
          </w:p>
        </w:tc>
        <w:tc>
          <w:tcPr>
            <w:tcW w:type="dxa" w:w="2700"/>
            <w:shd w:fill="EEF3FB" w:val="clear"/>
            <w:tcMar>
              <w:top w:type="dxa" w:w="113"/>
              <w:left w:type="dxa" w:w="170"/>
              <w:bottom w:type="dxa" w:w="113"/>
              <w:right w:type="dxa" w:w="170"/>
            </w:tcMar>
          </w:tcPr>
          <w:p>
            <w:r>
              <w:rPr>
                <w:b w:val="false"/>
                <w:bCs w:val="false"/>
                <w:color w:val="1A1A2E"/>
                <w:sz w:val="18"/>
                <w:szCs w:val="18"/>
              </w:rPr>
              <w:t xml:space="preserve">Common in Brownfield upgrades / platform changes. Recoding adds 50–100% to base mapping effort.</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AI applies recode rules and validates derivation logic</w:t>
            </w:r>
          </w:p>
        </w:tc>
      </w:tr>
      <w:tr>
        <w:tc>
          <w:tcPr>
            <w:tcW w:type="dxa" w:w="2000"/>
            <w:shd w:fill="FFFFFF" w:val="clear"/>
            <w:tcMar>
              <w:top w:type="dxa" w:w="113"/>
              <w:left w:type="dxa" w:w="170"/>
              <w:bottom w:type="dxa" w:w="113"/>
              <w:right w:type="dxa" w:w="170"/>
            </w:tcMar>
          </w:tcPr>
          <w:p>
            <w:r>
              <w:rPr>
                <w:b/>
                <w:bCs/>
                <w:color w:val="1F3F8F"/>
                <w:sz w:val="18"/>
                <w:szCs w:val="18"/>
              </w:rPr>
              <w:t xml:space="preserve">Cutover data delta volume</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Volume of transactions between final mock run and go-live</w:t>
            </w:r>
          </w:p>
        </w:tc>
        <w:tc>
          <w:tcPr>
            <w:tcW w:type="dxa" w:w="2700"/>
            <w:shd w:fill="FFFFFF" w:val="clear"/>
            <w:tcMar>
              <w:top w:type="dxa" w:w="113"/>
              <w:left w:type="dxa" w:w="170"/>
              <w:bottom w:type="dxa" w:w="113"/>
              <w:right w:type="dxa" w:w="170"/>
            </w:tcMar>
          </w:tcPr>
          <w:p>
            <w:r>
              <w:rPr>
                <w:b w:val="false"/>
                <w:bCs w:val="false"/>
                <w:color w:val="1A1A2E"/>
                <w:sz w:val="18"/>
                <w:szCs w:val="18"/>
              </w:rPr>
              <w:t xml:space="preserve">Brownfield-only consideration — must extract and load the "delta" during cutover window</w:t>
            </w:r>
          </w:p>
        </w:tc>
        <w:tc>
          <w:tcPr>
            <w:tcW w:type="dxa" w:w="2660"/>
            <w:shd w:fill="FFFFFF" w:val="clear"/>
            <w:tcMar>
              <w:top w:type="dxa" w:w="113"/>
              <w:left w:type="dxa" w:w="170"/>
              <w:bottom w:type="dxa" w:w="113"/>
              <w:right w:type="dxa" w:w="170"/>
            </w:tcMar>
          </w:tcPr>
          <w:p>
            <w:r>
              <w:rPr>
                <w:b w:val="false"/>
                <w:bCs w:val="false"/>
                <w:color w:val="1A1A2E"/>
                <w:sz w:val="18"/>
                <w:szCs w:val="18"/>
              </w:rPr>
              <w:t xml:space="preserve">AI automates delta identification and incremental load</w:t>
            </w:r>
          </w:p>
        </w:tc>
      </w:tr>
      <w:tr>
        <w:tc>
          <w:tcPr>
            <w:tcW w:type="dxa" w:w="2000"/>
            <w:shd w:fill="EEF3FB" w:val="clear"/>
            <w:tcMar>
              <w:top w:type="dxa" w:w="113"/>
              <w:left w:type="dxa" w:w="170"/>
              <w:bottom w:type="dxa" w:w="113"/>
              <w:right w:type="dxa" w:w="170"/>
            </w:tcMar>
          </w:tcPr>
          <w:p>
            <w:r>
              <w:rPr>
                <w:b/>
                <w:bCs/>
                <w:color w:val="1F3F8F"/>
                <w:sz w:val="18"/>
                <w:szCs w:val="18"/>
              </w:rPr>
              <w:t xml:space="preserve">Reconciliation complexity</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Number of control reports and sign-off points required</w:t>
            </w:r>
          </w:p>
        </w:tc>
        <w:tc>
          <w:tcPr>
            <w:tcW w:type="dxa" w:w="2700"/>
            <w:shd w:fill="EEF3FB" w:val="clear"/>
            <w:tcMar>
              <w:top w:type="dxa" w:w="113"/>
              <w:left w:type="dxa" w:w="170"/>
              <w:bottom w:type="dxa" w:w="113"/>
              <w:right w:type="dxa" w:w="170"/>
            </w:tcMar>
          </w:tcPr>
          <w:p>
            <w:r>
              <w:rPr>
                <w:b w:val="false"/>
                <w:bCs w:val="false"/>
                <w:color w:val="1A1A2E"/>
                <w:sz w:val="18"/>
                <w:szCs w:val="18"/>
              </w:rPr>
              <w:t xml:space="preserve">Finance and HR require period-level reconciliation vs source system before go-live approval</w:t>
            </w:r>
          </w:p>
        </w:tc>
        <w:tc>
          <w:tcPr>
            <w:tcW w:type="dxa" w:w="2660"/>
            <w:shd w:fill="EEF3FB" w:val="clear"/>
            <w:tcMar>
              <w:top w:type="dxa" w:w="113"/>
              <w:left w:type="dxa" w:w="170"/>
              <w:bottom w:type="dxa" w:w="113"/>
              <w:right w:type="dxa" w:w="170"/>
            </w:tcMar>
          </w:tcPr>
          <w:p>
            <w:r>
              <w:rPr>
                <w:b w:val="false"/>
                <w:bCs w:val="false"/>
                <w:color w:val="1A1A2E"/>
                <w:sz w:val="18"/>
                <w:szCs w:val="18"/>
              </w:rPr>
              <w:t xml:space="preserve">AI comparison engine generates reconciliation pack automatically</w:t>
            </w:r>
          </w:p>
        </w:tc>
      </w:tr>
    </w:tbl>
    <w:p>
      <w:r>
        <w:br w:type="page"/>
      </w:r>
    </w:p>
    <w:p>
      <w:pPr>
        <w:pStyle w:val="Heading3"/>
        <w:spacing w:after="100" w:before="240"/>
      </w:pPr>
      <w:r>
        <w:rPr>
          <w:b/>
          <w:bCs/>
          <w:color w:val="1F3F8F"/>
          <w:sz w:val="20"/>
          <w:szCs w:val="20"/>
        </w:rPr>
        <w:t xml:space="preserve">Brownfield Sizing Input #4 — Testing Volumetrics</w:t>
      </w:r>
    </w:p>
    <w:p>
      <w:pPr>
        <w:spacing w:after="100" w:before="80" w:line="280"/>
      </w:pPr>
      <w:r>
        <w:rPr>
          <w:i w:val="false"/>
          <w:iCs w:val="false"/>
          <w:color w:val="1A1A2E"/>
          <w:sz w:val="20"/>
          <w:szCs w:val="20"/>
        </w:rPr>
        <w:t xml:space="preserve">Testing in Brownfield is not about testing what you have designed — it is about testing that what you had still works the same way (regression), PLUS testing everything that is new or changed. This creates a dual-layer testing scope that Greenfield does not have.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00"/>
        <w:gridCol w:w="2760"/>
      </w:tblGrid>
      <w:tr>
        <w:trPr>
          <w:tblHeader/>
        </w:trPr>
        <w:tc>
          <w:tcPr>
            <w:tcW w:type="dxa" w:w="2000"/>
            <w:shd w:fill="1F3F8F" w:val="clear"/>
            <w:tcMar>
              <w:top w:type="dxa" w:w="141"/>
              <w:left w:type="dxa" w:w="170"/>
              <w:bottom w:type="dxa" w:w="141"/>
              <w:right w:type="dxa" w:w="170"/>
            </w:tcMar>
          </w:tcPr>
          <w:p>
            <w:pPr>
              <w:jc w:val="center"/>
            </w:pPr>
            <w:r>
              <w:rPr>
                <w:b/>
                <w:bCs/>
                <w:color w:val="FFFFFF"/>
                <w:sz w:val="18"/>
                <w:szCs w:val="18"/>
              </w:rPr>
              <w:t xml:space="preserve">Test Type</w:t>
            </w:r>
          </w:p>
        </w:tc>
        <w:tc>
          <w:tcPr>
            <w:tcW w:type="dxa" w:w="2000"/>
            <w:shd w:fill="1F3F8F" w:val="clear"/>
            <w:tcMar>
              <w:top w:type="dxa" w:w="141"/>
              <w:left w:type="dxa" w:w="170"/>
              <w:bottom w:type="dxa" w:w="141"/>
              <w:right w:type="dxa" w:w="170"/>
            </w:tcMar>
          </w:tcPr>
          <w:p>
            <w:pPr>
              <w:jc w:val="center"/>
            </w:pPr>
            <w:r>
              <w:rPr>
                <w:b/>
                <w:bCs/>
                <w:color w:val="FFFFFF"/>
                <w:sz w:val="18"/>
                <w:szCs w:val="18"/>
              </w:rPr>
              <w:t xml:space="preserve">Greenfield</w:t>
            </w:r>
          </w:p>
        </w:tc>
        <w:tc>
          <w:tcPr>
            <w:tcW w:type="dxa" w:w="2600"/>
            <w:shd w:fill="1F3F8F" w:val="clear"/>
            <w:tcMar>
              <w:top w:type="dxa" w:w="141"/>
              <w:left w:type="dxa" w:w="170"/>
              <w:bottom w:type="dxa" w:w="141"/>
              <w:right w:type="dxa" w:w="170"/>
            </w:tcMar>
          </w:tcPr>
          <w:p>
            <w:pPr>
              <w:jc w:val="center"/>
            </w:pPr>
            <w:r>
              <w:rPr>
                <w:b/>
                <w:bCs/>
                <w:color w:val="FFFFFF"/>
                <w:sz w:val="18"/>
                <w:szCs w:val="18"/>
              </w:rPr>
              <w:t xml:space="preserve">Brownfield</w:t>
            </w:r>
          </w:p>
        </w:tc>
        <w:tc>
          <w:tcPr>
            <w:tcW w:type="dxa" w:w="2760"/>
            <w:shd w:fill="1F3F8F" w:val="clear"/>
            <w:tcMar>
              <w:top w:type="dxa" w:w="141"/>
              <w:left w:type="dxa" w:w="170"/>
              <w:bottom w:type="dxa" w:w="141"/>
              <w:right w:type="dxa" w:w="170"/>
            </w:tcMar>
          </w:tcPr>
          <w:p>
            <w:pPr>
              <w:jc w:val="center"/>
            </w:pPr>
            <w:r>
              <w:rPr>
                <w:b/>
                <w:bCs/>
                <w:color w:val="FFFFFF"/>
                <w:sz w:val="18"/>
                <w:szCs w:val="18"/>
              </w:rPr>
              <w:t xml:space="preserve">Key Difference</w:t>
            </w:r>
          </w:p>
        </w:tc>
      </w:tr>
      <w:tr>
        <w:tc>
          <w:tcPr>
            <w:tcW w:type="dxa" w:w="2000"/>
            <w:shd w:fill="EEF3FB" w:val="clear"/>
            <w:tcMar>
              <w:top w:type="dxa" w:w="113"/>
              <w:left w:type="dxa" w:w="170"/>
              <w:bottom w:type="dxa" w:w="113"/>
              <w:right w:type="dxa" w:w="170"/>
            </w:tcMar>
          </w:tcPr>
          <w:p>
            <w:r>
              <w:rPr>
                <w:b/>
                <w:bCs/>
                <w:color w:val="1F3F8F"/>
                <w:sz w:val="18"/>
                <w:szCs w:val="18"/>
              </w:rPr>
              <w:t xml:space="preserve">Testing Type</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Greenfield Basis</w:t>
            </w:r>
          </w:p>
        </w:tc>
        <w:tc>
          <w:tcPr>
            <w:tcW w:type="dxa" w:w="2600"/>
            <w:shd w:fill="EEF3FB" w:val="clear"/>
            <w:tcMar>
              <w:top w:type="dxa" w:w="113"/>
              <w:left w:type="dxa" w:w="170"/>
              <w:bottom w:type="dxa" w:w="113"/>
              <w:right w:type="dxa" w:w="170"/>
            </w:tcMar>
          </w:tcPr>
          <w:p>
            <w:r>
              <w:rPr>
                <w:b w:val="false"/>
                <w:bCs w:val="false"/>
                <w:color w:val="1A1A2E"/>
                <w:sz w:val="18"/>
                <w:szCs w:val="18"/>
              </w:rPr>
              <w:t xml:space="preserve">Brownfield Basis</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Key Difference</w:t>
            </w:r>
          </w:p>
        </w:tc>
      </w:tr>
      <w:tr>
        <w:tc>
          <w:tcPr>
            <w:tcW w:type="dxa" w:w="2000"/>
            <w:shd w:fill="FFFFFF" w:val="clear"/>
            <w:tcMar>
              <w:top w:type="dxa" w:w="113"/>
              <w:left w:type="dxa" w:w="170"/>
              <w:bottom w:type="dxa" w:w="113"/>
              <w:right w:type="dxa" w:w="170"/>
            </w:tcMar>
          </w:tcPr>
          <w:p>
            <w:r>
              <w:rPr>
                <w:b/>
                <w:bCs/>
                <w:color w:val="1F3F8F"/>
                <w:sz w:val="18"/>
                <w:szCs w:val="18"/>
              </w:rPr>
              <w:t xml:space="preserve">Functional Testing (SIT)</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All in-scope L3 processes (everything is new)</w:t>
            </w:r>
          </w:p>
        </w:tc>
        <w:tc>
          <w:tcPr>
            <w:tcW w:type="dxa" w:w="2600"/>
            <w:shd w:fill="FFFFFF" w:val="clear"/>
            <w:tcMar>
              <w:top w:type="dxa" w:w="113"/>
              <w:left w:type="dxa" w:w="170"/>
              <w:bottom w:type="dxa" w:w="113"/>
              <w:right w:type="dxa" w:w="170"/>
            </w:tcMar>
          </w:tcPr>
          <w:p>
            <w:r>
              <w:rPr>
                <w:b w:val="false"/>
                <w:bCs w:val="false"/>
                <w:color w:val="1A1A2E"/>
                <w:sz w:val="18"/>
                <w:szCs w:val="18"/>
              </w:rPr>
              <w:t xml:space="preserve">Delta processes only — what has changed in the upgrade / migration</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Brownfield SIT scope can be 40–60% of Greenfield if most processes are unchanged</w:t>
            </w:r>
          </w:p>
        </w:tc>
      </w:tr>
      <w:tr>
        <w:tc>
          <w:tcPr>
            <w:tcW w:type="dxa" w:w="2000"/>
            <w:shd w:fill="EEF3FB" w:val="clear"/>
            <w:tcMar>
              <w:top w:type="dxa" w:w="113"/>
              <w:left w:type="dxa" w:w="170"/>
              <w:bottom w:type="dxa" w:w="113"/>
              <w:right w:type="dxa" w:w="170"/>
            </w:tcMar>
          </w:tcPr>
          <w:p>
            <w:r>
              <w:rPr>
                <w:b/>
                <w:bCs/>
                <w:color w:val="1F3F8F"/>
                <w:sz w:val="18"/>
                <w:szCs w:val="18"/>
              </w:rPr>
              <w:t xml:space="preserve">Regression Testing</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Not applicable — no prior baseline exists</w:t>
            </w:r>
          </w:p>
        </w:tc>
        <w:tc>
          <w:tcPr>
            <w:tcW w:type="dxa" w:w="2600"/>
            <w:shd w:fill="EEF3FB" w:val="clear"/>
            <w:tcMar>
              <w:top w:type="dxa" w:w="113"/>
              <w:left w:type="dxa" w:w="170"/>
              <w:bottom w:type="dxa" w:w="113"/>
              <w:right w:type="dxa" w:w="170"/>
            </w:tcMar>
          </w:tcPr>
          <w:p>
            <w:r>
              <w:rPr>
                <w:b w:val="false"/>
                <w:bCs w:val="false"/>
                <w:color w:val="1A1A2E"/>
                <w:sz w:val="18"/>
                <w:szCs w:val="18"/>
              </w:rPr>
              <w:t xml:space="preserve">ENTIRE existing process footprint must be re-validated</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This is the largest testing cost unique to Brownfield — often larger than SIT</w:t>
            </w:r>
          </w:p>
        </w:tc>
      </w:tr>
      <w:tr>
        <w:tc>
          <w:tcPr>
            <w:tcW w:type="dxa" w:w="2000"/>
            <w:shd w:fill="FFFFFF" w:val="clear"/>
            <w:tcMar>
              <w:top w:type="dxa" w:w="113"/>
              <w:left w:type="dxa" w:w="170"/>
              <w:bottom w:type="dxa" w:w="113"/>
              <w:right w:type="dxa" w:w="170"/>
            </w:tcMar>
          </w:tcPr>
          <w:p>
            <w:r>
              <w:rPr>
                <w:b/>
                <w:bCs/>
                <w:color w:val="1F3F8F"/>
                <w:sz w:val="18"/>
                <w:szCs w:val="18"/>
              </w:rPr>
              <w:t xml:space="preserve">Custom Object Testing</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Unit test all newly built RICE objects</w:t>
            </w:r>
          </w:p>
        </w:tc>
        <w:tc>
          <w:tcPr>
            <w:tcW w:type="dxa" w:w="2600"/>
            <w:shd w:fill="FFFFFF" w:val="clear"/>
            <w:tcMar>
              <w:top w:type="dxa" w:w="113"/>
              <w:left w:type="dxa" w:w="170"/>
              <w:bottom w:type="dxa" w:w="113"/>
              <w:right w:type="dxa" w:w="170"/>
            </w:tcMar>
          </w:tcPr>
          <w:p>
            <w:r>
              <w:rPr>
                <w:b w:val="false"/>
                <w:bCs w:val="false"/>
                <w:color w:val="1A1A2E"/>
                <w:sz w:val="18"/>
                <w:szCs w:val="18"/>
              </w:rPr>
              <w:t xml:space="preserve">Unit test rebuilt objects + smoke test carry-forward objects + validate retired objects are truly gone</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3 test passes vs 1 — multiplies test effort significantly</w:t>
            </w:r>
          </w:p>
        </w:tc>
      </w:tr>
      <w:tr>
        <w:tc>
          <w:tcPr>
            <w:tcW w:type="dxa" w:w="2000"/>
            <w:shd w:fill="EEF3FB" w:val="clear"/>
            <w:tcMar>
              <w:top w:type="dxa" w:w="113"/>
              <w:left w:type="dxa" w:w="170"/>
              <w:bottom w:type="dxa" w:w="113"/>
              <w:right w:type="dxa" w:w="170"/>
            </w:tcMar>
          </w:tcPr>
          <w:p>
            <w:r>
              <w:rPr>
                <w:b/>
                <w:bCs/>
                <w:color w:val="1F3F8F"/>
                <w:sz w:val="18"/>
                <w:szCs w:val="18"/>
              </w:rPr>
              <w:t xml:space="preserve">Integration Testing</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Test all new interfaces</w:t>
            </w:r>
          </w:p>
        </w:tc>
        <w:tc>
          <w:tcPr>
            <w:tcW w:type="dxa" w:w="2600"/>
            <w:shd w:fill="EEF3FB" w:val="clear"/>
            <w:tcMar>
              <w:top w:type="dxa" w:w="113"/>
              <w:left w:type="dxa" w:w="170"/>
              <w:bottom w:type="dxa" w:w="113"/>
              <w:right w:type="dxa" w:w="170"/>
            </w:tcMar>
          </w:tcPr>
          <w:p>
            <w:r>
              <w:rPr>
                <w:b w:val="false"/>
                <w:bCs w:val="false"/>
                <w:color w:val="1A1A2E"/>
                <w:sz w:val="18"/>
                <w:szCs w:val="18"/>
              </w:rPr>
              <w:t xml:space="preserve">Test rebuilt interfaces + validate retired interfaces are decommissioned + test unchanged interfaces still work</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Decommissioning validation is a Brownfield-only cost</w:t>
            </w:r>
          </w:p>
        </w:tc>
      </w:tr>
      <w:tr>
        <w:tc>
          <w:tcPr>
            <w:tcW w:type="dxa" w:w="2000"/>
            <w:shd w:fill="FFFFFF" w:val="clear"/>
            <w:tcMar>
              <w:top w:type="dxa" w:w="113"/>
              <w:left w:type="dxa" w:w="170"/>
              <w:bottom w:type="dxa" w:w="113"/>
              <w:right w:type="dxa" w:w="170"/>
            </w:tcMar>
          </w:tcPr>
          <w:p>
            <w:r>
              <w:rPr>
                <w:b/>
                <w:bCs/>
                <w:color w:val="1F3F8F"/>
                <w:sz w:val="18"/>
                <w:szCs w:val="18"/>
              </w:rPr>
              <w:t xml:space="preserve">Data Migration Testing</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Validate loaded master data is correct</w:t>
            </w:r>
          </w:p>
        </w:tc>
        <w:tc>
          <w:tcPr>
            <w:tcW w:type="dxa" w:w="2600"/>
            <w:shd w:fill="FFFFFF" w:val="clear"/>
            <w:tcMar>
              <w:top w:type="dxa" w:w="113"/>
              <w:left w:type="dxa" w:w="170"/>
              <w:bottom w:type="dxa" w:w="113"/>
              <w:right w:type="dxa" w:w="170"/>
            </w:tcMar>
          </w:tcPr>
          <w:p>
            <w:r>
              <w:rPr>
                <w:b w:val="false"/>
                <w:bCs w:val="false"/>
                <w:color w:val="1A1A2E"/>
                <w:sz w:val="18"/>
                <w:szCs w:val="18"/>
              </w:rPr>
              <w:t xml:space="preserve">Validate migrated data MATCHES source system at record level + period-level financial reconciliation</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Parallel run is a Brownfield-only activity — can take 6–12 weeks traditionally (2–3 weeks with AI)</w:t>
            </w:r>
          </w:p>
        </w:tc>
      </w:tr>
      <w:tr>
        <w:tc>
          <w:tcPr>
            <w:tcW w:type="dxa" w:w="2000"/>
            <w:shd w:fill="EEF3FB" w:val="clear"/>
            <w:tcMar>
              <w:top w:type="dxa" w:w="113"/>
              <w:left w:type="dxa" w:w="170"/>
              <w:bottom w:type="dxa" w:w="113"/>
              <w:right w:type="dxa" w:w="170"/>
            </w:tcMar>
          </w:tcPr>
          <w:p>
            <w:r>
              <w:rPr>
                <w:b/>
                <w:bCs/>
                <w:color w:val="1F3F8F"/>
                <w:sz w:val="18"/>
                <w:szCs w:val="18"/>
              </w:rPr>
              <w:t xml:space="preserve">User Acceptance Testing</w:t>
            </w:r>
          </w:p>
        </w:tc>
        <w:tc>
          <w:tcPr>
            <w:tcW w:type="dxa" w:w="2000"/>
            <w:shd w:fill="EEF3FB" w:val="clear"/>
            <w:tcMar>
              <w:top w:type="dxa" w:w="113"/>
              <w:left w:type="dxa" w:w="170"/>
              <w:bottom w:type="dxa" w:w="113"/>
              <w:right w:type="dxa" w:w="170"/>
            </w:tcMar>
          </w:tcPr>
          <w:p>
            <w:r>
              <w:rPr>
                <w:b w:val="false"/>
                <w:bCs w:val="false"/>
                <w:color w:val="1A1A2E"/>
                <w:sz w:val="18"/>
                <w:szCs w:val="18"/>
              </w:rPr>
              <w:t xml:space="preserve">Business tests new processes</w:t>
            </w:r>
          </w:p>
        </w:tc>
        <w:tc>
          <w:tcPr>
            <w:tcW w:type="dxa" w:w="2600"/>
            <w:shd w:fill="EEF3FB" w:val="clear"/>
            <w:tcMar>
              <w:top w:type="dxa" w:w="113"/>
              <w:left w:type="dxa" w:w="170"/>
              <w:bottom w:type="dxa" w:w="113"/>
              <w:right w:type="dxa" w:w="170"/>
            </w:tcMar>
          </w:tcPr>
          <w:p>
            <w:r>
              <w:rPr>
                <w:b w:val="false"/>
                <w:bCs w:val="false"/>
                <w:color w:val="1A1A2E"/>
                <w:sz w:val="18"/>
                <w:szCs w:val="18"/>
              </w:rPr>
              <w:t xml:space="preserve">Business tests changed processes + confirms no regression on unchanged processes they rely on</w:t>
            </w:r>
          </w:p>
        </w:tc>
        <w:tc>
          <w:tcPr>
            <w:tcW w:type="dxa" w:w="2760"/>
            <w:shd w:fill="EEF3FB" w:val="clear"/>
            <w:tcMar>
              <w:top w:type="dxa" w:w="113"/>
              <w:left w:type="dxa" w:w="170"/>
              <w:bottom w:type="dxa" w:w="113"/>
              <w:right w:type="dxa" w:w="170"/>
            </w:tcMar>
          </w:tcPr>
          <w:p>
            <w:r>
              <w:rPr>
                <w:b w:val="false"/>
                <w:bCs w:val="false"/>
                <w:color w:val="1A1A2E"/>
                <w:sz w:val="18"/>
                <w:szCs w:val="18"/>
              </w:rPr>
              <w:t xml:space="preserve">UAT scope creep is higher in Brownfield — users test "what changed" AND "what should not have changed"</w:t>
            </w:r>
          </w:p>
        </w:tc>
      </w:tr>
      <w:tr>
        <w:tc>
          <w:tcPr>
            <w:tcW w:type="dxa" w:w="2000"/>
            <w:shd w:fill="FFFFFF" w:val="clear"/>
            <w:tcMar>
              <w:top w:type="dxa" w:w="113"/>
              <w:left w:type="dxa" w:w="170"/>
              <w:bottom w:type="dxa" w:w="113"/>
              <w:right w:type="dxa" w:w="170"/>
            </w:tcMar>
          </w:tcPr>
          <w:p>
            <w:r>
              <w:rPr>
                <w:b/>
                <w:bCs/>
                <w:color w:val="1F3F8F"/>
                <w:sz w:val="18"/>
                <w:szCs w:val="18"/>
              </w:rPr>
              <w:t xml:space="preserve">Cutover Dress Rehearsal</w:t>
            </w:r>
          </w:p>
        </w:tc>
        <w:tc>
          <w:tcPr>
            <w:tcW w:type="dxa" w:w="2000"/>
            <w:shd w:fill="FFFFFF" w:val="clear"/>
            <w:tcMar>
              <w:top w:type="dxa" w:w="113"/>
              <w:left w:type="dxa" w:w="170"/>
              <w:bottom w:type="dxa" w:w="113"/>
              <w:right w:type="dxa" w:w="170"/>
            </w:tcMar>
          </w:tcPr>
          <w:p>
            <w:r>
              <w:rPr>
                <w:b w:val="false"/>
                <w:bCs w:val="false"/>
                <w:color w:val="1A1A2E"/>
                <w:sz w:val="18"/>
                <w:szCs w:val="18"/>
              </w:rPr>
              <w:t xml:space="preserve">Simulate go-live data load</w:t>
            </w:r>
          </w:p>
        </w:tc>
        <w:tc>
          <w:tcPr>
            <w:tcW w:type="dxa" w:w="2600"/>
            <w:shd w:fill="FFFFFF" w:val="clear"/>
            <w:tcMar>
              <w:top w:type="dxa" w:w="113"/>
              <w:left w:type="dxa" w:w="170"/>
              <w:bottom w:type="dxa" w:w="113"/>
              <w:right w:type="dxa" w:w="170"/>
            </w:tcMar>
          </w:tcPr>
          <w:p>
            <w:r>
              <w:rPr>
                <w:b w:val="false"/>
                <w:bCs w:val="false"/>
                <w:color w:val="1A1A2E"/>
                <w:sz w:val="18"/>
                <w:szCs w:val="18"/>
              </w:rPr>
              <w:t xml:space="preserve">Simulate cutover including delta extraction, incremental load, and final reconciliation</w:t>
            </w:r>
          </w:p>
        </w:tc>
        <w:tc>
          <w:tcPr>
            <w:tcW w:type="dxa" w:w="2760"/>
            <w:shd w:fill="FFFFFF" w:val="clear"/>
            <w:tcMar>
              <w:top w:type="dxa" w:w="113"/>
              <w:left w:type="dxa" w:w="170"/>
              <w:bottom w:type="dxa" w:w="113"/>
              <w:right w:type="dxa" w:w="170"/>
            </w:tcMar>
          </w:tcPr>
          <w:p>
            <w:r>
              <w:rPr>
                <w:b w:val="false"/>
                <w:bCs w:val="false"/>
                <w:color w:val="1A1A2E"/>
                <w:sz w:val="18"/>
                <w:szCs w:val="18"/>
              </w:rPr>
              <w:t xml:space="preserve">Dress rehearsal is far more complex in Brownfield — requires production-like data state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E8A020" w:sz="10"/>
              <w:left w:val="thick" w:color="E8A020" w:sz="10"/>
              <w:bottom w:val="none"/>
              <w:right w:val="none"/>
            </w:tcBorders>
            <w:shd w:fill="FFF8EC" w:val="clear"/>
            <w:tcMar>
              <w:top w:type="dxa" w:w="170"/>
              <w:left w:type="dxa" w:w="283"/>
              <w:bottom w:type="dxa" w:w="170"/>
              <w:right w:type="dxa" w:w="283"/>
            </w:tcMar>
          </w:tcPr>
          <w:p>
            <w:pPr>
              <w:spacing w:after="80"/>
            </w:pPr>
            <w:r>
              <w:rPr>
                <w:b/>
                <w:bCs/>
                <w:color w:val="E8A020"/>
                <w:sz w:val="20"/>
                <w:szCs w:val="20"/>
              </w:rPr>
              <w:t xml:space="preserve">⚠  The Regression Testing Trap in Brownfield Estimates</w:t>
            </w:r>
          </w:p>
          <w:p>
            <w:pPr>
              <w:spacing w:after="40" w:before="40" w:line="276"/>
            </w:pPr>
            <w:r>
              <w:rPr>
                <w:color w:val="1A1A2E"/>
                <w:sz w:val="19"/>
                <w:szCs w:val="19"/>
              </w:rPr>
              <w:t xml:space="preserve">The single most underestimated workstream in Brownfield programs is regression testing.</w:t>
            </w:r>
          </w:p>
          <w:p>
            <w:pPr>
              <w:spacing w:after="40" w:before="40" w:line="276"/>
            </w:pPr>
            <w:r>
              <w:rPr>
                <w:color w:val="1A1A2E"/>
                <w:sz w:val="19"/>
                <w:szCs w:val="19"/>
              </w:rPr>
              <w:t xml:space="preserve"/>
            </w:r>
          </w:p>
          <w:p>
            <w:pPr>
              <w:spacing w:after="40" w:before="40" w:line="276"/>
            </w:pPr>
            <w:r>
              <w:rPr>
                <w:color w:val="1A1A2E"/>
                <w:sz w:val="19"/>
                <w:szCs w:val="19"/>
              </w:rPr>
              <w:t xml:space="preserve">Traditional Brownfield programs inherit test scripts from the existing system — but those scripts are</w:t>
            </w:r>
          </w:p>
          <w:p>
            <w:pPr>
              <w:spacing w:after="40" w:before="40" w:line="276"/>
            </w:pPr>
            <w:r>
              <w:rPr>
                <w:color w:val="1A1A2E"/>
                <w:sz w:val="19"/>
                <w:szCs w:val="19"/>
              </w:rPr>
              <w:t xml:space="preserve">often outdated, incomplete, or tied to an old test tool that is no longer supported.</w:t>
            </w:r>
          </w:p>
          <w:p>
            <w:pPr>
              <w:spacing w:after="40" w:before="40" w:line="276"/>
            </w:pPr>
            <w:r>
              <w:rPr>
                <w:color w:val="1A1A2E"/>
                <w:sz w:val="19"/>
                <w:szCs w:val="19"/>
              </w:rPr>
              <w:t xml:space="preserve"/>
            </w:r>
          </w:p>
          <w:p>
            <w:pPr>
              <w:spacing w:after="40" w:before="40" w:line="276"/>
            </w:pPr>
            <w:r>
              <w:rPr>
                <w:color w:val="1A1A2E"/>
                <w:sz w:val="19"/>
                <w:szCs w:val="19"/>
              </w:rPr>
              <w:t xml:space="preserve">The choice is: (a) update inherited scripts, or (b) rebuild the regression suite.</w:t>
            </w:r>
          </w:p>
          <w:p>
            <w:pPr>
              <w:spacing w:after="40" w:before="40" w:line="276"/>
            </w:pPr>
            <w:r>
              <w:rPr>
                <w:color w:val="1A1A2E"/>
                <w:sz w:val="19"/>
                <w:szCs w:val="19"/>
              </w:rPr>
              <w:t xml:space="preserve"/>
            </w:r>
          </w:p>
          <w:p>
            <w:pPr>
              <w:spacing w:after="40" w:before="40" w:line="276"/>
            </w:pPr>
            <w:r>
              <w:rPr>
                <w:color w:val="1A1A2E"/>
                <w:sz w:val="19"/>
                <w:szCs w:val="19"/>
              </w:rPr>
              <w:t xml:space="preserve">Traditional approach (a) often costs MORE than building fresh — because updating broken scripts is harder than writing new ones.</w:t>
            </w:r>
          </w:p>
          <w:p>
            <w:pPr>
              <w:spacing w:after="40" w:before="40" w:line="276"/>
            </w:pPr>
            <w:r>
              <w:rPr>
                <w:color w:val="1A1A2E"/>
                <w:sz w:val="19"/>
                <w:szCs w:val="19"/>
              </w:rPr>
              <w:t xml:space="preserve">AI approach: rebuild the regression suite from business process documentation in the AI-augmented rate.</w:t>
            </w:r>
          </w:p>
          <w:p>
            <w:pPr>
              <w:spacing w:after="40" w:before="40" w:line="276"/>
            </w:pPr>
            <w:r>
              <w:rPr>
                <w:color w:val="1A1A2E"/>
                <w:sz w:val="19"/>
                <w:szCs w:val="19"/>
              </w:rPr>
              <w:t xml:space="preserve">This is both faster AND produces a better-quality suite with higher coverage.</w:t>
            </w:r>
          </w:p>
          <w:p>
            <w:pPr>
              <w:spacing w:after="40" w:before="40" w:line="276"/>
            </w:pPr>
            <w:r>
              <w:rPr>
                <w:color w:val="1A1A2E"/>
                <w:sz w:val="19"/>
                <w:szCs w:val="19"/>
              </w:rPr>
              <w:t xml:space="preserve"/>
            </w:r>
          </w:p>
          <w:p>
            <w:pPr>
              <w:spacing w:after="40" w:before="40" w:line="276"/>
            </w:pPr>
            <w:r>
              <w:rPr>
                <w:color w:val="1A1A2E"/>
                <w:sz w:val="19"/>
                <w:szCs w:val="19"/>
              </w:rPr>
              <w:t xml:space="preserve">Brownfield regression suite rebuild using AI: 30–50% of the effort of the traditional update-inherited-scripts approach.</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6B3FA0" w:val="clear"/>
            <w:tcMar>
              <w:top w:type="dxa" w:w="198"/>
              <w:left w:type="dxa" w:w="283"/>
              <w:bottom w:type="dxa" w:w="198"/>
              <w:right w:type="dxa" w:w="283"/>
            </w:tcMar>
          </w:tcPr>
          <w:p>
            <w:pPr>
              <w:jc w:val="center"/>
            </w:pPr>
            <w:r>
              <w:rPr>
                <w:b/>
                <w:bCs/>
                <w:color w:val="FFFFFF"/>
                <w:sz w:val="26"/>
                <w:szCs w:val="26"/>
              </w:rPr>
              <w:t xml:space="preserve">PART C — COMPLETE SIDE-BY-SIDE SIZING COMPARISON</w:t>
            </w:r>
          </w:p>
        </w:tc>
      </w:tr>
    </w:tbl>
    <w:p>
      <w:pPr>
        <w:spacing w:after="0" w:before="80"/>
      </w:pPr>
      <w:r>
        <w:t xml:space="preserve"/>
      </w:r>
    </w:p>
    <w:p>
      <w:pPr>
        <w:pStyle w:val="Heading2"/>
        <w:spacing w:after="100" w:before="240"/>
      </w:pPr>
      <w:r>
        <w:rPr>
          <w:b/>
          <w:bCs/>
          <w:color w:val="1F3F8F"/>
          <w:sz w:val="20"/>
          <w:szCs w:val="20"/>
        </w:rPr>
        <w:t xml:space="preserve">Master Volumetric Comparison — Greenfield vs Brownfield</w:t>
      </w:r>
    </w:p>
    <w:p>
      <w:pPr>
        <w:spacing w:after="100" w:before="80" w:line="280"/>
      </w:pPr>
      <w:r>
        <w:rPr>
          <w:i w:val="false"/>
          <w:iCs w:val="false"/>
          <w:color w:val="1A1A2E"/>
          <w:sz w:val="20"/>
          <w:szCs w:val="20"/>
        </w:rPr>
        <w:t xml:space="preserve">The table below is the reference guide for any estimation exercise. For each sizing dimension, it shows the input required, how it differs between Greenfield and Brownfield, and the AI leverage available.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100"/>
        <w:gridCol w:w="1600"/>
        <w:gridCol w:w="1560"/>
      </w:tblGrid>
      <w:tr>
        <w:trPr>
          <w:tblHeader/>
        </w:trPr>
        <w:tc>
          <w:tcPr>
            <w:tcW w:type="dxa" w:w="2000"/>
            <w:shd w:fill="6B3FA0" w:val="clear"/>
            <w:tcMar>
              <w:top w:type="dxa" w:w="141"/>
              <w:left w:type="dxa" w:w="170"/>
              <w:bottom w:type="dxa" w:w="141"/>
              <w:right w:type="dxa" w:w="170"/>
            </w:tcMar>
          </w:tcPr>
          <w:p>
            <w:pPr>
              <w:jc w:val="center"/>
            </w:pPr>
            <w:r>
              <w:rPr>
                <w:b/>
                <w:bCs/>
                <w:color w:val="FFFFFF"/>
                <w:sz w:val="18"/>
                <w:szCs w:val="18"/>
              </w:rPr>
              <w:t xml:space="preserve">Sizing Dimension</w:t>
            </w:r>
          </w:p>
        </w:tc>
        <w:tc>
          <w:tcPr>
            <w:tcW w:type="dxa" w:w="2100"/>
            <w:shd w:fill="6B3FA0" w:val="clear"/>
            <w:tcMar>
              <w:top w:type="dxa" w:w="141"/>
              <w:left w:type="dxa" w:w="170"/>
              <w:bottom w:type="dxa" w:w="141"/>
              <w:right w:type="dxa" w:w="170"/>
            </w:tcMar>
          </w:tcPr>
          <w:p>
            <w:pPr>
              <w:jc w:val="center"/>
            </w:pPr>
            <w:r>
              <w:rPr>
                <w:b/>
                <w:bCs/>
                <w:color w:val="FFFFFF"/>
                <w:sz w:val="18"/>
                <w:szCs w:val="18"/>
              </w:rPr>
              <w:t xml:space="preserve">Greenfield Input</w:t>
            </w:r>
          </w:p>
        </w:tc>
        <w:tc>
          <w:tcPr>
            <w:tcW w:type="dxa" w:w="2100"/>
            <w:shd w:fill="6B3FA0" w:val="clear"/>
            <w:tcMar>
              <w:top w:type="dxa" w:w="141"/>
              <w:left w:type="dxa" w:w="170"/>
              <w:bottom w:type="dxa" w:w="141"/>
              <w:right w:type="dxa" w:w="170"/>
            </w:tcMar>
          </w:tcPr>
          <w:p>
            <w:pPr>
              <w:jc w:val="center"/>
            </w:pPr>
            <w:r>
              <w:rPr>
                <w:b/>
                <w:bCs/>
                <w:color w:val="FFFFFF"/>
                <w:sz w:val="18"/>
                <w:szCs w:val="18"/>
              </w:rPr>
              <w:t xml:space="preserve">Brownfield Input</w:t>
            </w:r>
          </w:p>
        </w:tc>
        <w:tc>
          <w:tcPr>
            <w:tcW w:type="dxa" w:w="1600"/>
            <w:shd w:fill="6B3FA0" w:val="clear"/>
            <w:tcMar>
              <w:top w:type="dxa" w:w="141"/>
              <w:left w:type="dxa" w:w="170"/>
              <w:bottom w:type="dxa" w:w="141"/>
              <w:right w:type="dxa" w:w="170"/>
            </w:tcMar>
          </w:tcPr>
          <w:p>
            <w:pPr>
              <w:jc w:val="center"/>
            </w:pPr>
            <w:r>
              <w:rPr>
                <w:b/>
                <w:bCs/>
                <w:color w:val="FFFFFF"/>
                <w:sz w:val="18"/>
                <w:szCs w:val="18"/>
              </w:rPr>
              <w:t xml:space="preserve">AI: Greenfield</w:t>
            </w:r>
          </w:p>
        </w:tc>
        <w:tc>
          <w:tcPr>
            <w:tcW w:type="dxa" w:w="1560"/>
            <w:shd w:fill="6B3FA0" w:val="clear"/>
            <w:tcMar>
              <w:top w:type="dxa" w:w="141"/>
              <w:left w:type="dxa" w:w="170"/>
              <w:bottom w:type="dxa" w:w="141"/>
              <w:right w:type="dxa" w:w="170"/>
            </w:tcMar>
          </w:tcPr>
          <w:p>
            <w:pPr>
              <w:jc w:val="center"/>
            </w:pPr>
            <w:r>
              <w:rPr>
                <w:b/>
                <w:bCs/>
                <w:color w:val="FFFFFF"/>
                <w:sz w:val="18"/>
                <w:szCs w:val="18"/>
              </w:rPr>
              <w:t xml:space="preserve">AI: Brownfield</w:t>
            </w:r>
          </w:p>
        </w:tc>
      </w:tr>
      <w:tr>
        <w:tc>
          <w:tcPr>
            <w:tcW w:type="dxa" w:w="2000"/>
            <w:shd w:fill="EEF3FB" w:val="clear"/>
            <w:tcMar>
              <w:top w:type="dxa" w:w="113"/>
              <w:left w:type="dxa" w:w="170"/>
              <w:bottom w:type="dxa" w:w="113"/>
              <w:right w:type="dxa" w:w="170"/>
            </w:tcMar>
          </w:tcPr>
          <w:p>
            <w:r>
              <w:rPr>
                <w:b/>
                <w:bCs/>
                <w:color w:val="1F3F8F"/>
                <w:sz w:val="18"/>
                <w:szCs w:val="18"/>
              </w:rPr>
              <w:t xml:space="preserve">Sizing Dimension</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Greenfield Input Required</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Brownfield Input Required</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AI Leverage: Greenfield</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Leverage: Brownfield</w:t>
            </w:r>
          </w:p>
        </w:tc>
      </w:tr>
      <w:tr>
        <w:tc>
          <w:tcPr>
            <w:tcW w:type="dxa" w:w="2000"/>
            <w:shd w:fill="FFFFFF" w:val="clear"/>
            <w:tcMar>
              <w:top w:type="dxa" w:w="113"/>
              <w:left w:type="dxa" w:w="170"/>
              <w:bottom w:type="dxa" w:w="113"/>
              <w:right w:type="dxa" w:w="170"/>
            </w:tcMar>
          </w:tcPr>
          <w:p>
            <w:r>
              <w:rPr>
                <w:b/>
                <w:bCs/>
                <w:color w:val="1F3F8F"/>
                <w:sz w:val="18"/>
                <w:szCs w:val="18"/>
              </w:rPr>
              <w:t xml:space="preserve">Module Scope</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Count of modules in scope</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Count of modules IMPACTED by upgrade/migration</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Auto-size via Oracle readiness tool</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identifies impacted modules from change delta</w:t>
            </w:r>
          </w:p>
        </w:tc>
      </w:tr>
      <w:tr>
        <w:tc>
          <w:tcPr>
            <w:tcW w:type="dxa" w:w="2000"/>
            <w:shd w:fill="EEF3FB" w:val="clear"/>
            <w:tcMar>
              <w:top w:type="dxa" w:w="113"/>
              <w:left w:type="dxa" w:w="170"/>
              <w:bottom w:type="dxa" w:w="113"/>
              <w:right w:type="dxa" w:w="170"/>
            </w:tcMar>
          </w:tcPr>
          <w:p>
            <w:r>
              <w:rPr>
                <w:b/>
                <w:bCs/>
                <w:color w:val="1F3F8F"/>
                <w:sz w:val="18"/>
                <w:szCs w:val="18"/>
              </w:rPr>
              <w:t xml:space="preserve">Process Count</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Level-3 processes in scope per module</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Processes that change + processes at regression risk</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AI maps requirements to process library</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compares source vs target process model</w:t>
            </w:r>
          </w:p>
        </w:tc>
      </w:tr>
      <w:tr>
        <w:tc>
          <w:tcPr>
            <w:tcW w:type="dxa" w:w="2000"/>
            <w:shd w:fill="FFFFFF" w:val="clear"/>
            <w:tcMar>
              <w:top w:type="dxa" w:w="113"/>
              <w:left w:type="dxa" w:w="170"/>
              <w:bottom w:type="dxa" w:w="113"/>
              <w:right w:type="dxa" w:w="170"/>
            </w:tcMar>
          </w:tcPr>
          <w:p>
            <w:r>
              <w:rPr>
                <w:b/>
                <w:bCs/>
                <w:color w:val="1F3F8F"/>
                <w:sz w:val="18"/>
                <w:szCs w:val="18"/>
              </w:rPr>
              <w:t xml:space="preserve">Process Variants</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Variants per process (org, country, entity)</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Variants that change + variants that must be regression-tested</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AI identifies from workshop transcripts</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reads existing config to catalogue variants</w:t>
            </w:r>
          </w:p>
        </w:tc>
      </w:tr>
      <w:tr>
        <w:tc>
          <w:tcPr>
            <w:tcW w:type="dxa" w:w="2000"/>
            <w:shd w:fill="EEF3FB" w:val="clear"/>
            <w:tcMar>
              <w:top w:type="dxa" w:w="113"/>
              <w:left w:type="dxa" w:w="170"/>
              <w:bottom w:type="dxa" w:w="113"/>
              <w:right w:type="dxa" w:w="170"/>
            </w:tcMar>
          </w:tcPr>
          <w:p>
            <w:r>
              <w:rPr>
                <w:b/>
                <w:bCs/>
                <w:color w:val="1F3F8F"/>
                <w:sz w:val="18"/>
                <w:szCs w:val="18"/>
              </w:rPr>
              <w:t xml:space="preserve">Config Volume</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Modules × complexity tier × setup task count</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Delta config only + carry-forward validation</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AI pre-populates FSM workbook</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compares source vs target config tables</w:t>
            </w:r>
          </w:p>
        </w:tc>
      </w:tr>
      <w:tr>
        <w:tc>
          <w:tcPr>
            <w:tcW w:type="dxa" w:w="2000"/>
            <w:shd w:fill="FFFFFF" w:val="clear"/>
            <w:tcMar>
              <w:top w:type="dxa" w:w="113"/>
              <w:left w:type="dxa" w:w="170"/>
              <w:bottom w:type="dxa" w:w="113"/>
              <w:right w:type="dxa" w:w="170"/>
            </w:tcMar>
          </w:tcPr>
          <w:p>
            <w:r>
              <w:rPr>
                <w:b/>
                <w:bCs/>
                <w:color w:val="1F3F8F"/>
                <w:sz w:val="18"/>
                <w:szCs w:val="18"/>
              </w:rPr>
              <w:t xml:space="preserve">Custom Object Count</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Designed WRICEF object list</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Inventory of ALL existing custom objects</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AI classifies gap list → object types</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scans system → full inventory in days</w:t>
            </w:r>
          </w:p>
        </w:tc>
      </w:tr>
      <w:tr>
        <w:tc>
          <w:tcPr>
            <w:tcW w:type="dxa" w:w="2000"/>
            <w:shd w:fill="EEF3FB" w:val="clear"/>
            <w:tcMar>
              <w:top w:type="dxa" w:w="113"/>
              <w:left w:type="dxa" w:w="170"/>
              <w:bottom w:type="dxa" w:w="113"/>
              <w:right w:type="dxa" w:w="170"/>
            </w:tcMar>
          </w:tcPr>
          <w:p>
            <w:r>
              <w:rPr>
                <w:b/>
                <w:bCs/>
                <w:color w:val="1F3F8F"/>
                <w:sz w:val="18"/>
                <w:szCs w:val="18"/>
              </w:rPr>
              <w:t xml:space="preserve">Custom Object Disposition</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N/A — all objects are net-new</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Retire / Adopt Standard / Rebuild / Carry Forward split</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N/A</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classifies each object into disposition category</w:t>
            </w:r>
          </w:p>
        </w:tc>
      </w:tr>
      <w:tr>
        <w:tc>
          <w:tcPr>
            <w:tcW w:type="dxa" w:w="2000"/>
            <w:shd w:fill="FFFFFF" w:val="clear"/>
            <w:tcMar>
              <w:top w:type="dxa" w:w="113"/>
              <w:left w:type="dxa" w:w="170"/>
              <w:bottom w:type="dxa" w:w="113"/>
              <w:right w:type="dxa" w:w="170"/>
            </w:tcMar>
          </w:tcPr>
          <w:p>
            <w:r>
              <w:rPr>
                <w:b/>
                <w:bCs/>
                <w:color w:val="1F3F8F"/>
                <w:sz w:val="18"/>
                <w:szCs w:val="18"/>
              </w:rPr>
              <w:t xml:space="preserve">Data Entities</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Entities to load (master + history)</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Entities to migrate + entities to archive + entities to cleanse</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AI maps to FBDI/HDL templates</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profiles, deduplicates, and quality-scores each entity</w:t>
            </w:r>
          </w:p>
        </w:tc>
      </w:tr>
      <w:tr>
        <w:tc>
          <w:tcPr>
            <w:tcW w:type="dxa" w:w="2000"/>
            <w:shd w:fill="EEF3FB" w:val="clear"/>
            <w:tcMar>
              <w:top w:type="dxa" w:w="113"/>
              <w:left w:type="dxa" w:w="170"/>
              <w:bottom w:type="dxa" w:w="113"/>
              <w:right w:type="dxa" w:w="170"/>
            </w:tcMar>
          </w:tcPr>
          <w:p>
            <w:r>
              <w:rPr>
                <w:b/>
                <w:bCs/>
                <w:color w:val="1F3F8F"/>
                <w:sz w:val="18"/>
                <w:szCs w:val="18"/>
              </w:rPr>
              <w:t xml:space="preserve">Data Record Counts</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Load volume per entity</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Gross count → net count after dedup and inactive exclusion</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Used for FBDI load time estimation</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calculates net migrable records after cleansing</w:t>
            </w:r>
          </w:p>
        </w:tc>
      </w:tr>
      <w:tr>
        <w:tc>
          <w:tcPr>
            <w:tcW w:type="dxa" w:w="2000"/>
            <w:shd w:fill="FFFFFF" w:val="clear"/>
            <w:tcMar>
              <w:top w:type="dxa" w:w="113"/>
              <w:left w:type="dxa" w:w="170"/>
              <w:bottom w:type="dxa" w:w="113"/>
              <w:right w:type="dxa" w:w="170"/>
            </w:tcMar>
          </w:tcPr>
          <w:p>
            <w:r>
              <w:rPr>
                <w:b/>
                <w:bCs/>
                <w:color w:val="1F3F8F"/>
                <w:sz w:val="18"/>
                <w:szCs w:val="18"/>
              </w:rPr>
              <w:t xml:space="preserve">Data Quality Score</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Not measured (assumed adequate)</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Quality % per entity — critical sizing input</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N/A</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data profiler generates quality score in hours</w:t>
            </w:r>
          </w:p>
        </w:tc>
      </w:tr>
      <w:tr>
        <w:tc>
          <w:tcPr>
            <w:tcW w:type="dxa" w:w="2000"/>
            <w:shd w:fill="EEF3FB" w:val="clear"/>
            <w:tcMar>
              <w:top w:type="dxa" w:w="113"/>
              <w:left w:type="dxa" w:w="170"/>
              <w:bottom w:type="dxa" w:w="113"/>
              <w:right w:type="dxa" w:w="170"/>
            </w:tcMar>
          </w:tcPr>
          <w:p>
            <w:r>
              <w:rPr>
                <w:b/>
                <w:bCs/>
                <w:color w:val="1F3F8F"/>
                <w:sz w:val="18"/>
                <w:szCs w:val="18"/>
              </w:rPr>
              <w:t xml:space="preserve">Historical Data Period</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Defined by business (usually 1–3 years)</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Existing history in source: may be 10–20 years, decision needed on what migrates</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AI sizes FBDI loads by year</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classifies history by age and reference frequency</w:t>
            </w:r>
          </w:p>
        </w:tc>
      </w:tr>
      <w:tr>
        <w:tc>
          <w:tcPr>
            <w:tcW w:type="dxa" w:w="2000"/>
            <w:shd w:fill="FFFFFF" w:val="clear"/>
            <w:tcMar>
              <w:top w:type="dxa" w:w="113"/>
              <w:left w:type="dxa" w:w="170"/>
              <w:bottom w:type="dxa" w:w="113"/>
              <w:right w:type="dxa" w:w="170"/>
            </w:tcMar>
          </w:tcPr>
          <w:p>
            <w:r>
              <w:rPr>
                <w:b/>
                <w:bCs/>
                <w:color w:val="1F3F8F"/>
                <w:sz w:val="18"/>
                <w:szCs w:val="18"/>
              </w:rPr>
              <w:t xml:space="preserve">Integration Count</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Count of new interfaces × complexity</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Count of existing: retire / rebuild / carry forward</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AI scaffolds OIC templates from specs</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mines logs to inventory active interfaces; classifies disposition</w:t>
            </w:r>
          </w:p>
        </w:tc>
      </w:tr>
      <w:tr>
        <w:tc>
          <w:tcPr>
            <w:tcW w:type="dxa" w:w="2000"/>
            <w:shd w:fill="EEF3FB" w:val="clear"/>
            <w:tcMar>
              <w:top w:type="dxa" w:w="113"/>
              <w:left w:type="dxa" w:w="170"/>
              <w:bottom w:type="dxa" w:w="113"/>
              <w:right w:type="dxa" w:w="170"/>
            </w:tcMar>
          </w:tcPr>
          <w:p>
            <w:r>
              <w:rPr>
                <w:b/>
                <w:bCs/>
                <w:color w:val="1F3F8F"/>
                <w:sz w:val="18"/>
                <w:szCs w:val="18"/>
              </w:rPr>
              <w:t xml:space="preserve">Report Count</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Count of gap reports needed</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Count of existing reports: retire / migrate / rebuild</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AI generates BIP/OTBI from data model</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identifies unused reports via access logs — retire candidates</w:t>
            </w:r>
          </w:p>
        </w:tc>
      </w:tr>
      <w:tr>
        <w:tc>
          <w:tcPr>
            <w:tcW w:type="dxa" w:w="2000"/>
            <w:shd w:fill="FFFFFF" w:val="clear"/>
            <w:tcMar>
              <w:top w:type="dxa" w:w="113"/>
              <w:left w:type="dxa" w:w="170"/>
              <w:bottom w:type="dxa" w:w="113"/>
              <w:right w:type="dxa" w:w="170"/>
            </w:tcMar>
          </w:tcPr>
          <w:p>
            <w:r>
              <w:rPr>
                <w:b/>
                <w:bCs/>
                <w:color w:val="1F3F8F"/>
                <w:sz w:val="18"/>
                <w:szCs w:val="18"/>
              </w:rPr>
              <w:t xml:space="preserve">Test Case Count (SIT)</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All processes × scenarios per process</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Delta processes only × scenarios</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AI generates from process docs</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identifies changed processes from impact assessment</w:t>
            </w:r>
          </w:p>
        </w:tc>
      </w:tr>
      <w:tr>
        <w:tc>
          <w:tcPr>
            <w:tcW w:type="dxa" w:w="2000"/>
            <w:shd w:fill="EEF3FB" w:val="clear"/>
            <w:tcMar>
              <w:top w:type="dxa" w:w="113"/>
              <w:left w:type="dxa" w:w="170"/>
              <w:bottom w:type="dxa" w:w="113"/>
              <w:right w:type="dxa" w:w="170"/>
            </w:tcMar>
          </w:tcPr>
          <w:p>
            <w:r>
              <w:rPr>
                <w:b/>
                <w:bCs/>
                <w:color w:val="1F3F8F"/>
                <w:sz w:val="18"/>
                <w:szCs w:val="18"/>
              </w:rPr>
              <w:t xml:space="preserve">Test Case Count (Regression)</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N/A</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Full existing process footprint × scenarios per process</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N/A</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rebuilds full regression suite from business process library</w:t>
            </w:r>
          </w:p>
        </w:tc>
      </w:tr>
      <w:tr>
        <w:tc>
          <w:tcPr>
            <w:tcW w:type="dxa" w:w="2000"/>
            <w:shd w:fill="FFFFFF" w:val="clear"/>
            <w:tcMar>
              <w:top w:type="dxa" w:w="113"/>
              <w:left w:type="dxa" w:w="170"/>
              <w:bottom w:type="dxa" w:w="113"/>
              <w:right w:type="dxa" w:w="170"/>
            </w:tcMar>
          </w:tcPr>
          <w:p>
            <w:r>
              <w:rPr>
                <w:b/>
                <w:bCs/>
                <w:color w:val="1F3F8F"/>
                <w:sz w:val="18"/>
                <w:szCs w:val="18"/>
              </w:rPr>
              <w:t xml:space="preserve">Parallel Run Volume</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N/A</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Transaction volume for comparison period (payroll, finance)</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N/A</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comparison engine validates at record level automatically</w:t>
            </w:r>
          </w:p>
        </w:tc>
      </w:tr>
      <w:tr>
        <w:tc>
          <w:tcPr>
            <w:tcW w:type="dxa" w:w="2000"/>
            <w:shd w:fill="EEF3FB" w:val="clear"/>
            <w:tcMar>
              <w:top w:type="dxa" w:w="113"/>
              <w:left w:type="dxa" w:w="170"/>
              <w:bottom w:type="dxa" w:w="113"/>
              <w:right w:type="dxa" w:w="170"/>
            </w:tcMar>
          </w:tcPr>
          <w:p>
            <w:r>
              <w:rPr>
                <w:b/>
                <w:bCs/>
                <w:color w:val="1F3F8F"/>
                <w:sz w:val="18"/>
                <w:szCs w:val="18"/>
              </w:rPr>
              <w:t xml:space="preserve">User Count / Training Units</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Users per role × modules</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Users impacted by change × degree of change</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AI clusters users into role groups</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assesses change impact per user group from delta analysis</w:t>
            </w:r>
          </w:p>
        </w:tc>
      </w:tr>
      <w:tr>
        <w:tc>
          <w:tcPr>
            <w:tcW w:type="dxa" w:w="2000"/>
            <w:shd w:fill="FFFFFF" w:val="clear"/>
            <w:tcMar>
              <w:top w:type="dxa" w:w="113"/>
              <w:left w:type="dxa" w:w="170"/>
              <w:bottom w:type="dxa" w:w="113"/>
              <w:right w:type="dxa" w:w="170"/>
            </w:tcMar>
          </w:tcPr>
          <w:p>
            <w:r>
              <w:rPr>
                <w:b/>
                <w:bCs/>
                <w:color w:val="1F3F8F"/>
                <w:sz w:val="18"/>
                <w:szCs w:val="18"/>
              </w:rPr>
              <w:t xml:space="preserve">Cutover Delta Volume</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N/A — cutover is a one-time load</w:t>
            </w:r>
          </w:p>
        </w:tc>
        <w:tc>
          <w:tcPr>
            <w:tcW w:type="dxa" w:w="2100"/>
            <w:shd w:fill="FFFFFF" w:val="clear"/>
            <w:tcMar>
              <w:top w:type="dxa" w:w="113"/>
              <w:left w:type="dxa" w:w="170"/>
              <w:bottom w:type="dxa" w:w="113"/>
              <w:right w:type="dxa" w:w="170"/>
            </w:tcMar>
          </w:tcPr>
          <w:p>
            <w:r>
              <w:rPr>
                <w:b w:val="false"/>
                <w:bCs w:val="false"/>
                <w:color w:val="1A1A2E"/>
                <w:sz w:val="18"/>
                <w:szCs w:val="18"/>
              </w:rPr>
              <w:t xml:space="preserve">Volume of transactions between last mock run and go-live</w:t>
            </w:r>
          </w:p>
        </w:tc>
        <w:tc>
          <w:tcPr>
            <w:tcW w:type="dxa" w:w="1600"/>
            <w:shd w:fill="FFFFFF" w:val="clear"/>
            <w:tcMar>
              <w:top w:type="dxa" w:w="113"/>
              <w:left w:type="dxa" w:w="170"/>
              <w:bottom w:type="dxa" w:w="113"/>
              <w:right w:type="dxa" w:w="170"/>
            </w:tcMar>
          </w:tcPr>
          <w:p>
            <w:r>
              <w:rPr>
                <w:b w:val="false"/>
                <w:bCs w:val="false"/>
                <w:color w:val="1A1A2E"/>
                <w:sz w:val="18"/>
                <w:szCs w:val="18"/>
              </w:rPr>
              <w:t xml:space="preserve">N/A</w:t>
            </w:r>
          </w:p>
        </w:tc>
        <w:tc>
          <w:tcPr>
            <w:tcW w:type="dxa" w:w="1560"/>
            <w:shd w:fill="FFFFFF" w:val="clear"/>
            <w:tcMar>
              <w:top w:type="dxa" w:w="113"/>
              <w:left w:type="dxa" w:w="170"/>
              <w:bottom w:type="dxa" w:w="113"/>
              <w:right w:type="dxa" w:w="170"/>
            </w:tcMar>
          </w:tcPr>
          <w:p>
            <w:r>
              <w:rPr>
                <w:b w:val="false"/>
                <w:bCs w:val="false"/>
                <w:color w:val="1A1A2E"/>
                <w:sz w:val="18"/>
                <w:szCs w:val="18"/>
              </w:rPr>
              <w:t xml:space="preserve">AI automates delta extract and incremental load</w:t>
            </w:r>
          </w:p>
        </w:tc>
      </w:tr>
      <w:tr>
        <w:tc>
          <w:tcPr>
            <w:tcW w:type="dxa" w:w="2000"/>
            <w:shd w:fill="EEF3FB" w:val="clear"/>
            <w:tcMar>
              <w:top w:type="dxa" w:w="113"/>
              <w:left w:type="dxa" w:w="170"/>
              <w:bottom w:type="dxa" w:w="113"/>
              <w:right w:type="dxa" w:w="170"/>
            </w:tcMar>
          </w:tcPr>
          <w:p>
            <w:r>
              <w:rPr>
                <w:b/>
                <w:bCs/>
                <w:color w:val="1F3F8F"/>
                <w:sz w:val="18"/>
                <w:szCs w:val="18"/>
              </w:rPr>
              <w:t xml:space="preserve">Change Management Complexity</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Moving to new — users starting fresh</w:t>
            </w:r>
          </w:p>
        </w:tc>
        <w:tc>
          <w:tcPr>
            <w:tcW w:type="dxa" w:w="2100"/>
            <w:shd w:fill="EEF3FB" w:val="clear"/>
            <w:tcMar>
              <w:top w:type="dxa" w:w="113"/>
              <w:left w:type="dxa" w:w="170"/>
              <w:bottom w:type="dxa" w:w="113"/>
              <w:right w:type="dxa" w:w="170"/>
            </w:tcMar>
          </w:tcPr>
          <w:p>
            <w:r>
              <w:rPr>
                <w:b w:val="false"/>
                <w:bCs w:val="false"/>
                <w:color w:val="1A1A2E"/>
                <w:sz w:val="18"/>
                <w:szCs w:val="18"/>
              </w:rPr>
              <w:t xml:space="preserve">Moving from known — users losing familiar system</w:t>
            </w:r>
          </w:p>
        </w:tc>
        <w:tc>
          <w:tcPr>
            <w:tcW w:type="dxa" w:w="1600"/>
            <w:shd w:fill="EEF3FB" w:val="clear"/>
            <w:tcMar>
              <w:top w:type="dxa" w:w="113"/>
              <w:left w:type="dxa" w:w="170"/>
              <w:bottom w:type="dxa" w:w="113"/>
              <w:right w:type="dxa" w:w="170"/>
            </w:tcMar>
          </w:tcPr>
          <w:p>
            <w:r>
              <w:rPr>
                <w:b w:val="false"/>
                <w:bCs w:val="false"/>
                <w:color w:val="1A1A2E"/>
                <w:sz w:val="18"/>
                <w:szCs w:val="18"/>
              </w:rPr>
              <w:t xml:space="preserve">AI generates training content from process docs</w:t>
            </w:r>
          </w:p>
        </w:tc>
        <w:tc>
          <w:tcPr>
            <w:tcW w:type="dxa" w:w="1560"/>
            <w:shd w:fill="EEF3FB" w:val="clear"/>
            <w:tcMar>
              <w:top w:type="dxa" w:w="113"/>
              <w:left w:type="dxa" w:w="170"/>
              <w:bottom w:type="dxa" w:w="113"/>
              <w:right w:type="dxa" w:w="170"/>
            </w:tcMar>
          </w:tcPr>
          <w:p>
            <w:r>
              <w:rPr>
                <w:b w:val="false"/>
                <w:bCs w:val="false"/>
                <w:color w:val="1A1A2E"/>
                <w:sz w:val="18"/>
                <w:szCs w:val="18"/>
              </w:rPr>
              <w:t xml:space="preserve">AI generates change impact assessment from delta analysis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8A020" w:val="clear"/>
            <w:tcMar>
              <w:top w:type="dxa" w:w="198"/>
              <w:left w:type="dxa" w:w="283"/>
              <w:bottom w:type="dxa" w:w="198"/>
              <w:right w:type="dxa" w:w="283"/>
            </w:tcMar>
          </w:tcPr>
          <w:p>
            <w:pPr>
              <w:jc w:val="center"/>
            </w:pPr>
            <w:r>
              <w:rPr>
                <w:b/>
                <w:bCs/>
                <w:color w:val="1A1A2E"/>
                <w:sz w:val="26"/>
                <w:szCs w:val="26"/>
              </w:rPr>
              <w:t xml:space="preserve">PART D — PRACTICAL SIZING GUIDE</w:t>
            </w:r>
          </w:p>
        </w:tc>
      </w:tr>
    </w:tbl>
    <w:p>
      <w:pPr>
        <w:spacing w:after="0" w:before="80"/>
      </w:pPr>
      <w:r>
        <w:t xml:space="preserve"/>
      </w:r>
    </w:p>
    <w:p>
      <w:pPr>
        <w:pStyle w:val="Heading2"/>
        <w:spacing w:after="100" w:before="240"/>
      </w:pPr>
      <w:r>
        <w:rPr>
          <w:b/>
          <w:bCs/>
          <w:color w:val="1F3F8F"/>
          <w:sz w:val="20"/>
          <w:szCs w:val="20"/>
        </w:rPr>
        <w:t xml:space="preserve">How to Collect Sizing Inputs: Greenfield</w:t>
      </w:r>
    </w:p>
    <w:p>
      <w:pPr>
        <w:spacing w:after="100" w:before="80" w:line="280"/>
      </w:pPr>
      <w:r>
        <w:rPr>
          <w:i w:val="false"/>
          <w:iCs w:val="false"/>
          <w:color w:val="1A1A2E"/>
          <w:sz w:val="20"/>
          <w:szCs w:val="20"/>
        </w:rPr>
        <w:t xml:space="preserve">The following sequence is the recommended approach to gathering sizing inputs for a Greenfield Oracle program estimate. All steps are AI-augmentable.</w:t>
      </w:r>
    </w:p>
    <w:p>
      <w:pPr>
        <w:spacing w:after="0" w:before="60"/>
      </w:pPr>
      <w:r>
        <w:t xml:space="preserve"/>
      </w:r>
    </w:p>
    <w:p>
      <w:pPr>
        <w:pStyle w:val="Heading3"/>
        <w:spacing w:after="100" w:before="240"/>
      </w:pPr>
      <w:r>
        <w:rPr>
          <w:b/>
          <w:bCs/>
          <w:color w:val="1F3F8F"/>
          <w:sz w:val="20"/>
          <w:szCs w:val="20"/>
        </w:rPr>
        <w:t xml:space="preserve">Step 1 — Scope Discovery Workshop (Greenfield)</w:t>
      </w:r>
    </w:p>
    <w:p>
      <w:pPr>
        <w:pStyle w:val="ListParagraph"/>
        <w:numPr>
          <w:ilvl w:val="0"/>
          <w:numId w:val="1"/>
        </w:numPr>
        <w:spacing w:after="60" w:before="60"/>
      </w:pPr>
      <w:r>
        <w:rPr>
          <w:b/>
          <w:bCs/>
          <w:color w:val="2E86AB"/>
          <w:sz w:val="20"/>
          <w:szCs w:val="20"/>
        </w:rPr>
        <w:t xml:space="preserve">Collect:  </w:t>
      </w:r>
      <w:r>
        <w:rPr>
          <w:color w:val="1A1A2E"/>
          <w:sz w:val="20"/>
          <w:szCs w:val="20"/>
        </w:rPr>
        <w:t xml:space="preserve">Module list, country list, legal entity list, integration landscape diagram, report catalogue</w:t>
      </w:r>
    </w:p>
    <w:p>
      <w:pPr>
        <w:pStyle w:val="ListParagraph"/>
        <w:numPr>
          <w:ilvl w:val="0"/>
          <w:numId w:val="1"/>
        </w:numPr>
        <w:spacing w:after="60" w:before="60"/>
      </w:pPr>
      <w:r>
        <w:rPr>
          <w:b/>
          <w:bCs/>
          <w:color w:val="2E86AB"/>
          <w:sz w:val="20"/>
          <w:szCs w:val="20"/>
        </w:rPr>
        <w:t xml:space="preserve">Duration:  </w:t>
      </w:r>
      <w:r>
        <w:rPr>
          <w:color w:val="1A1A2E"/>
          <w:sz w:val="20"/>
          <w:szCs w:val="20"/>
        </w:rPr>
        <w:t xml:space="preserve">2–4 days of workshops for a medium-sized program</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generates a pre-populated scope template from RFP/SOW documents before the workshop; AI takes structured notes and extracts scope items during workshops</w:t>
      </w:r>
    </w:p>
    <w:p>
      <w:pPr>
        <w:spacing w:after="0" w:before="40"/>
      </w:pPr>
      <w:r>
        <w:t xml:space="preserve"/>
      </w:r>
    </w:p>
    <w:p>
      <w:pPr>
        <w:pStyle w:val="Heading3"/>
        <w:spacing w:after="100" w:before="240"/>
      </w:pPr>
      <w:r>
        <w:rPr>
          <w:b/>
          <w:bCs/>
          <w:color w:val="1F3F8F"/>
          <w:sz w:val="20"/>
          <w:szCs w:val="20"/>
        </w:rPr>
        <w:t xml:space="preserve">Step 2 — Process Decomposition (Greenfield)</w:t>
      </w:r>
    </w:p>
    <w:p>
      <w:pPr>
        <w:pStyle w:val="ListParagraph"/>
        <w:numPr>
          <w:ilvl w:val="0"/>
          <w:numId w:val="1"/>
        </w:numPr>
        <w:spacing w:after="60" w:before="60"/>
      </w:pPr>
      <w:r>
        <w:rPr>
          <w:b/>
          <w:bCs/>
          <w:color w:val="2E86AB"/>
          <w:sz w:val="20"/>
          <w:szCs w:val="20"/>
        </w:rPr>
        <w:t xml:space="preserve">Collect:  </w:t>
      </w:r>
      <w:r>
        <w:rPr>
          <w:color w:val="1A1A2E"/>
          <w:sz w:val="20"/>
          <w:szCs w:val="20"/>
        </w:rPr>
        <w:t xml:space="preserve">Level 1–4 process hierarchy per module; number of variants per process</w:t>
      </w:r>
    </w:p>
    <w:p>
      <w:pPr>
        <w:pStyle w:val="ListParagraph"/>
        <w:numPr>
          <w:ilvl w:val="0"/>
          <w:numId w:val="1"/>
        </w:numPr>
        <w:spacing w:after="60" w:before="60"/>
      </w:pPr>
      <w:r>
        <w:rPr>
          <w:b/>
          <w:bCs/>
          <w:color w:val="2E86AB"/>
          <w:sz w:val="20"/>
          <w:szCs w:val="20"/>
        </w:rPr>
        <w:t xml:space="preserve">Duration:  </w:t>
      </w:r>
      <w:r>
        <w:rPr>
          <w:color w:val="1A1A2E"/>
          <w:sz w:val="20"/>
          <w:szCs w:val="20"/>
        </w:rPr>
        <w:t xml:space="preserve">1–2 weeks with functional leads</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maps client processes to Oracle standard process library; highlights gaps automatically</w:t>
      </w:r>
    </w:p>
    <w:p>
      <w:pPr>
        <w:spacing w:after="0" w:before="40"/>
      </w:pPr>
      <w:r>
        <w:t xml:space="preserve"/>
      </w:r>
    </w:p>
    <w:p>
      <w:pPr>
        <w:pStyle w:val="Heading3"/>
        <w:spacing w:after="100" w:before="240"/>
      </w:pPr>
      <w:r>
        <w:rPr>
          <w:b/>
          <w:bCs/>
          <w:color w:val="1F3F8F"/>
          <w:sz w:val="20"/>
          <w:szCs w:val="20"/>
        </w:rPr>
        <w:t xml:space="preserve">Step 3 — Object Count Estimation (Greenfield)</w:t>
      </w:r>
    </w:p>
    <w:p>
      <w:pPr>
        <w:pStyle w:val="ListParagraph"/>
        <w:numPr>
          <w:ilvl w:val="0"/>
          <w:numId w:val="1"/>
        </w:numPr>
        <w:spacing w:after="60" w:before="60"/>
      </w:pPr>
      <w:r>
        <w:rPr>
          <w:b/>
          <w:bCs/>
          <w:color w:val="2E86AB"/>
          <w:sz w:val="20"/>
          <w:szCs w:val="20"/>
        </w:rPr>
        <w:t xml:space="preserve">Collect:  </w:t>
      </w:r>
      <w:r>
        <w:rPr>
          <w:color w:val="1A1A2E"/>
          <w:sz w:val="20"/>
          <w:szCs w:val="20"/>
        </w:rPr>
        <w:t xml:space="preserve">WRICEF object counts by type and complexity; report count; integration count</w:t>
      </w:r>
    </w:p>
    <w:p>
      <w:pPr>
        <w:pStyle w:val="ListParagraph"/>
        <w:numPr>
          <w:ilvl w:val="0"/>
          <w:numId w:val="1"/>
        </w:numPr>
        <w:spacing w:after="60" w:before="60"/>
      </w:pPr>
      <w:r>
        <w:rPr>
          <w:b/>
          <w:bCs/>
          <w:color w:val="2E86AB"/>
          <w:sz w:val="20"/>
          <w:szCs w:val="20"/>
        </w:rPr>
        <w:t xml:space="preserve">Duration:  </w:t>
      </w:r>
      <w:r>
        <w:rPr>
          <w:color w:val="1A1A2E"/>
          <w:sz w:val="20"/>
          <w:szCs w:val="20"/>
        </w:rPr>
        <w:t xml:space="preserve">3–5 days with solution architects and functional leads</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analyses gap between process scope and Oracle standard to estimate object count ranges by type</w:t>
      </w:r>
    </w:p>
    <w:p>
      <w:pPr>
        <w:spacing w:after="0" w:before="40"/>
      </w:pPr>
      <w:r>
        <w:t xml:space="preserve"/>
      </w:r>
    </w:p>
    <w:p>
      <w:pPr>
        <w:pStyle w:val="Heading3"/>
        <w:spacing w:after="100" w:before="240"/>
      </w:pPr>
      <w:r>
        <w:rPr>
          <w:b/>
          <w:bCs/>
          <w:color w:val="1F3F8F"/>
          <w:sz w:val="20"/>
          <w:szCs w:val="20"/>
        </w:rPr>
        <w:t xml:space="preserve">Step 4 — Data Migration Scoping (Greenfield)</w:t>
      </w:r>
    </w:p>
    <w:p>
      <w:pPr>
        <w:pStyle w:val="ListParagraph"/>
        <w:numPr>
          <w:ilvl w:val="0"/>
          <w:numId w:val="1"/>
        </w:numPr>
        <w:spacing w:after="60" w:before="60"/>
      </w:pPr>
      <w:r>
        <w:rPr>
          <w:b/>
          <w:bCs/>
          <w:color w:val="2E86AB"/>
          <w:sz w:val="20"/>
          <w:szCs w:val="20"/>
        </w:rPr>
        <w:t xml:space="preserve">Collect:  </w:t>
      </w:r>
      <w:r>
        <w:rPr>
          <w:color w:val="1A1A2E"/>
          <w:sz w:val="20"/>
          <w:szCs w:val="20"/>
        </w:rPr>
        <w:t xml:space="preserve">Entity list, record counts, source system(s), history period, quality assumption</w:t>
      </w:r>
    </w:p>
    <w:p>
      <w:pPr>
        <w:pStyle w:val="ListParagraph"/>
        <w:numPr>
          <w:ilvl w:val="0"/>
          <w:numId w:val="1"/>
        </w:numPr>
        <w:spacing w:after="60" w:before="60"/>
      </w:pPr>
      <w:r>
        <w:rPr>
          <w:b/>
          <w:bCs/>
          <w:color w:val="2E86AB"/>
          <w:sz w:val="20"/>
          <w:szCs w:val="20"/>
        </w:rPr>
        <w:t xml:space="preserve">Duration:  </w:t>
      </w:r>
      <w:r>
        <w:rPr>
          <w:color w:val="1A1A2E"/>
          <w:sz w:val="20"/>
          <w:szCs w:val="20"/>
        </w:rPr>
        <w:t xml:space="preserve">2–3 days; requires data from client</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sizes FBDI templates from entity list; generates data migration effort model from entity count and quality inputs</w:t>
      </w:r>
    </w:p>
    <w:p>
      <w:pPr>
        <w:spacing w:after="0" w:before="40"/>
      </w:pPr>
      <w:r>
        <w:t xml:space="preserve"/>
      </w:r>
    </w:p>
    <w:p>
      <w:pPr>
        <w:pStyle w:val="Heading3"/>
        <w:spacing w:after="100" w:before="240"/>
      </w:pPr>
      <w:r>
        <w:rPr>
          <w:b/>
          <w:bCs/>
          <w:color w:val="1F3F8F"/>
          <w:sz w:val="20"/>
          <w:szCs w:val="20"/>
        </w:rPr>
        <w:t xml:space="preserve">Step 5 — Build the Estimate (Greenfield)</w:t>
      </w:r>
    </w:p>
    <w:p>
      <w:pPr>
        <w:pStyle w:val="ListParagraph"/>
        <w:numPr>
          <w:ilvl w:val="0"/>
          <w:numId w:val="1"/>
        </w:numPr>
        <w:spacing w:after="60" w:before="60"/>
      </w:pPr>
      <w:r>
        <w:rPr>
          <w:b/>
          <w:bCs/>
          <w:color w:val="2E86AB"/>
          <w:sz w:val="20"/>
          <w:szCs w:val="20"/>
        </w:rPr>
        <w:t xml:space="preserve">Apply:  </w:t>
      </w:r>
      <w:r>
        <w:rPr>
          <w:color w:val="1A1A2E"/>
          <w:sz w:val="20"/>
          <w:szCs w:val="20"/>
        </w:rPr>
        <w:t xml:space="preserve">Configuration complexity tier × module count; WRICEF object benchmarks (AI-adjusted); data entity migration model; process count × testing rate</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estimation model applies APC factors automatically once inputs are entered</w:t>
      </w:r>
    </w:p>
    <w:p>
      <w:pPr>
        <w:spacing w:after="0" w:before="100"/>
      </w:pPr>
      <w:r>
        <w:t xml:space="preserve"/>
      </w:r>
    </w:p>
    <w:p>
      <w:pPr>
        <w:pStyle w:val="Heading2"/>
        <w:spacing w:after="100" w:before="240"/>
      </w:pPr>
      <w:r>
        <w:rPr>
          <w:b/>
          <w:bCs/>
          <w:color w:val="1F3F8F"/>
          <w:sz w:val="20"/>
          <w:szCs w:val="20"/>
        </w:rPr>
        <w:t xml:space="preserve">How to Collect Sizing Inputs: Brownfield</w:t>
      </w:r>
    </w:p>
    <w:p>
      <w:pPr>
        <w:spacing w:after="100" w:before="80" w:line="280"/>
      </w:pPr>
      <w:r>
        <w:rPr>
          <w:i w:val="false"/>
          <w:iCs w:val="false"/>
          <w:color w:val="1A1A2E"/>
          <w:sz w:val="20"/>
          <w:szCs w:val="20"/>
        </w:rPr>
        <w:t xml:space="preserve">The Brownfield sizing sequence is fundamentally different — discovery must precede estimation. Attempting to size a Brownfield program without completing discovery leads to estimates that are wrong by 100–200%.</w:t>
      </w:r>
    </w:p>
    <w:p>
      <w:pPr>
        <w:spacing w:after="0" w:before="60"/>
      </w:pPr>
      <w:r>
        <w:t xml:space="preserve"/>
      </w:r>
    </w:p>
    <w:p>
      <w:pPr>
        <w:pStyle w:val="Heading3"/>
        <w:spacing w:after="100" w:before="240"/>
      </w:pPr>
      <w:r>
        <w:rPr>
          <w:b/>
          <w:bCs/>
          <w:color w:val="1F3F8F"/>
          <w:sz w:val="20"/>
          <w:szCs w:val="20"/>
        </w:rPr>
        <w:t xml:space="preserve">Step 1 — AI-Assisted System Scan (Brownfield)</w:t>
      </w:r>
    </w:p>
    <w:p>
      <w:pPr>
        <w:pStyle w:val="ListParagraph"/>
        <w:numPr>
          <w:ilvl w:val="0"/>
          <w:numId w:val="1"/>
        </w:numPr>
        <w:spacing w:after="60" w:before="60"/>
      </w:pPr>
      <w:r>
        <w:rPr>
          <w:b/>
          <w:bCs/>
          <w:color w:val="2E86AB"/>
          <w:sz w:val="20"/>
          <w:szCs w:val="20"/>
        </w:rPr>
        <w:t xml:space="preserve">Collect:  </w:t>
      </w:r>
      <w:r>
        <w:rPr>
          <w:color w:val="1A1A2E"/>
          <w:sz w:val="20"/>
          <w:szCs w:val="20"/>
        </w:rPr>
        <w:t xml:space="preserve">Full inventory of custom objects (code, config, reports, interfaces) via AI system scan</w:t>
      </w:r>
    </w:p>
    <w:p>
      <w:pPr>
        <w:pStyle w:val="ListParagraph"/>
        <w:numPr>
          <w:ilvl w:val="0"/>
          <w:numId w:val="1"/>
        </w:numPr>
        <w:spacing w:after="60" w:before="60"/>
      </w:pPr>
      <w:r>
        <w:rPr>
          <w:b/>
          <w:bCs/>
          <w:color w:val="2E86AB"/>
          <w:sz w:val="20"/>
          <w:szCs w:val="20"/>
        </w:rPr>
        <w:t xml:space="preserve">Duration:  </w:t>
      </w:r>
      <w:r>
        <w:rPr>
          <w:color w:val="1A1A2E"/>
          <w:sz w:val="20"/>
          <w:szCs w:val="20"/>
        </w:rPr>
        <w:t xml:space="preserve">1–2 weeks with AI tooling (was 4–8 weeks traditionally)</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scans source system, generates inventory with preliminary risk classification and disposition recommendation</w:t>
      </w:r>
    </w:p>
    <w:p>
      <w:pPr>
        <w:pStyle w:val="ListParagraph"/>
        <w:numPr>
          <w:ilvl w:val="1"/>
          <w:numId w:val="1"/>
        </w:numPr>
        <w:spacing w:after="40" w:before="40"/>
      </w:pPr>
      <w:r>
        <w:rPr>
          <w:i/>
          <w:iCs/>
          <w:color w:val="555577"/>
          <w:sz w:val="19"/>
          <w:szCs w:val="19"/>
        </w:rPr>
        <w:t xml:space="preserve">This step does not require client workshops — it is a technical extract. AI does the heavy lifting.</w:t>
      </w:r>
    </w:p>
    <w:p>
      <w:pPr>
        <w:spacing w:after="0" w:before="40"/>
      </w:pPr>
      <w:r>
        <w:t xml:space="preserve"/>
      </w:r>
    </w:p>
    <w:p>
      <w:pPr>
        <w:pStyle w:val="Heading3"/>
        <w:spacing w:after="100" w:before="240"/>
      </w:pPr>
      <w:r>
        <w:rPr>
          <w:b/>
          <w:bCs/>
          <w:color w:val="1F3F8F"/>
          <w:sz w:val="20"/>
          <w:szCs w:val="20"/>
        </w:rPr>
        <w:t xml:space="preserve">Step 2 — AI Data Profiling (Brownfield)</w:t>
      </w:r>
    </w:p>
    <w:p>
      <w:pPr>
        <w:pStyle w:val="ListParagraph"/>
        <w:numPr>
          <w:ilvl w:val="0"/>
          <w:numId w:val="1"/>
        </w:numPr>
        <w:spacing w:after="60" w:before="60"/>
      </w:pPr>
      <w:r>
        <w:rPr>
          <w:b/>
          <w:bCs/>
          <w:color w:val="2E86AB"/>
          <w:sz w:val="20"/>
          <w:szCs w:val="20"/>
        </w:rPr>
        <w:t xml:space="preserve">Collect:  </w:t>
      </w:r>
      <w:r>
        <w:rPr>
          <w:color w:val="1A1A2E"/>
          <w:sz w:val="20"/>
          <w:szCs w:val="20"/>
        </w:rPr>
        <w:t xml:space="preserve">Record counts, quality scores, duplication rates, historical data period, structural issues per data entity</w:t>
      </w:r>
    </w:p>
    <w:p>
      <w:pPr>
        <w:pStyle w:val="ListParagraph"/>
        <w:numPr>
          <w:ilvl w:val="0"/>
          <w:numId w:val="1"/>
        </w:numPr>
        <w:spacing w:after="60" w:before="60"/>
      </w:pPr>
      <w:r>
        <w:rPr>
          <w:b/>
          <w:bCs/>
          <w:color w:val="2E86AB"/>
          <w:sz w:val="20"/>
          <w:szCs w:val="20"/>
        </w:rPr>
        <w:t xml:space="preserve">Duration:  </w:t>
      </w:r>
      <w:r>
        <w:rPr>
          <w:color w:val="1A1A2E"/>
          <w:sz w:val="20"/>
          <w:szCs w:val="20"/>
        </w:rPr>
        <w:t xml:space="preserve">3–5 days with AI data profiling tool (was 2–4 weeks traditionally)</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profiles all entities simultaneously, generates quality score report, flags dedup candidates, recommends cleanse priorities</w:t>
      </w:r>
    </w:p>
    <w:p>
      <w:pPr>
        <w:pStyle w:val="ListParagraph"/>
        <w:numPr>
          <w:ilvl w:val="1"/>
          <w:numId w:val="1"/>
        </w:numPr>
        <w:spacing w:after="40" w:before="40"/>
      </w:pPr>
      <w:r>
        <w:rPr>
          <w:i/>
          <w:iCs/>
          <w:color w:val="555577"/>
          <w:sz w:val="19"/>
          <w:szCs w:val="19"/>
        </w:rPr>
        <w:t xml:space="preserve">Quality score is the single most important Brownfield data sizing input. Without it, estimate is a guess.</w:t>
      </w:r>
    </w:p>
    <w:p>
      <w:pPr>
        <w:spacing w:after="0" w:before="40"/>
      </w:pPr>
      <w:r>
        <w:t xml:space="preserve"/>
      </w:r>
    </w:p>
    <w:p>
      <w:pPr>
        <w:pStyle w:val="Heading3"/>
        <w:spacing w:after="100" w:before="240"/>
      </w:pPr>
      <w:r>
        <w:rPr>
          <w:b/>
          <w:bCs/>
          <w:color w:val="1F3F8F"/>
          <w:sz w:val="20"/>
          <w:szCs w:val="20"/>
        </w:rPr>
        <w:t xml:space="preserve">Step 3 — Object Disposition Workshop (Brownfield)</w:t>
      </w:r>
    </w:p>
    <w:p>
      <w:pPr>
        <w:pStyle w:val="ListParagraph"/>
        <w:numPr>
          <w:ilvl w:val="0"/>
          <w:numId w:val="1"/>
        </w:numPr>
        <w:spacing w:after="60" w:before="60"/>
      </w:pPr>
      <w:r>
        <w:rPr>
          <w:b/>
          <w:bCs/>
          <w:color w:val="2E86AB"/>
          <w:sz w:val="20"/>
          <w:szCs w:val="20"/>
        </w:rPr>
        <w:t xml:space="preserve">Collect:  </w:t>
      </w:r>
      <w:r>
        <w:rPr>
          <w:color w:val="1A1A2E"/>
          <w:sz w:val="20"/>
          <w:szCs w:val="20"/>
        </w:rPr>
        <w:t xml:space="preserve">Validated disposition classification (Retire / Adopt Standard / Rebuild / Carry Forward) for all custom objects</w:t>
      </w:r>
    </w:p>
    <w:p>
      <w:pPr>
        <w:pStyle w:val="ListParagraph"/>
        <w:numPr>
          <w:ilvl w:val="0"/>
          <w:numId w:val="1"/>
        </w:numPr>
        <w:spacing w:after="60" w:before="60"/>
      </w:pPr>
      <w:r>
        <w:rPr>
          <w:b/>
          <w:bCs/>
          <w:color w:val="2E86AB"/>
          <w:sz w:val="20"/>
          <w:szCs w:val="20"/>
        </w:rPr>
        <w:t xml:space="preserve">Duration:  </w:t>
      </w:r>
      <w:r>
        <w:rPr>
          <w:color w:val="1A1A2E"/>
          <w:sz w:val="20"/>
          <w:szCs w:val="20"/>
        </w:rPr>
        <w:t xml:space="preserve">3–5 days of focused workshops with functional and technical leads</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pre-populates disposition recommendations; humans validate and override. Reduces workshop time by 50%.</w:t>
      </w:r>
    </w:p>
    <w:p>
      <w:pPr>
        <w:pStyle w:val="ListParagraph"/>
        <w:numPr>
          <w:ilvl w:val="1"/>
          <w:numId w:val="1"/>
        </w:numPr>
        <w:spacing w:after="40" w:before="40"/>
      </w:pPr>
      <w:r>
        <w:rPr>
          <w:i/>
          <w:iCs/>
          <w:color w:val="555577"/>
          <w:sz w:val="19"/>
          <w:szCs w:val="19"/>
        </w:rPr>
        <w:t xml:space="preserve">This workshop is the single most important scoping exercise in a Brownfield program. Do not skip it.</w:t>
      </w:r>
    </w:p>
    <w:p>
      <w:pPr>
        <w:spacing w:after="0" w:before="40"/>
      </w:pPr>
      <w:r>
        <w:t xml:space="preserve"/>
      </w:r>
    </w:p>
    <w:p>
      <w:pPr>
        <w:pStyle w:val="Heading3"/>
        <w:spacing w:after="100" w:before="240"/>
      </w:pPr>
      <w:r>
        <w:rPr>
          <w:b/>
          <w:bCs/>
          <w:color w:val="1F3F8F"/>
          <w:sz w:val="20"/>
          <w:szCs w:val="20"/>
        </w:rPr>
        <w:t xml:space="preserve">Step 4 — Delta Analysis (Brownfield)</w:t>
      </w:r>
    </w:p>
    <w:p>
      <w:pPr>
        <w:pStyle w:val="ListParagraph"/>
        <w:numPr>
          <w:ilvl w:val="0"/>
          <w:numId w:val="1"/>
        </w:numPr>
        <w:spacing w:after="60" w:before="60"/>
      </w:pPr>
      <w:r>
        <w:rPr>
          <w:b/>
          <w:bCs/>
          <w:color w:val="2E86AB"/>
          <w:sz w:val="20"/>
          <w:szCs w:val="20"/>
        </w:rPr>
        <w:t xml:space="preserve">Collect:  </w:t>
      </w:r>
      <w:r>
        <w:rPr>
          <w:color w:val="1A1A2E"/>
          <w:sz w:val="20"/>
          <w:szCs w:val="20"/>
        </w:rPr>
        <w:t xml:space="preserve">Configuration delta between source and target; process changes driven by new platform features; integration changes</w:t>
      </w:r>
    </w:p>
    <w:p>
      <w:pPr>
        <w:pStyle w:val="ListParagraph"/>
        <w:numPr>
          <w:ilvl w:val="0"/>
          <w:numId w:val="1"/>
        </w:numPr>
        <w:spacing w:after="60" w:before="60"/>
      </w:pPr>
      <w:r>
        <w:rPr>
          <w:b/>
          <w:bCs/>
          <w:color w:val="2E86AB"/>
          <w:sz w:val="20"/>
          <w:szCs w:val="20"/>
        </w:rPr>
        <w:t xml:space="preserve">Duration:  </w:t>
      </w:r>
      <w:r>
        <w:rPr>
          <w:color w:val="1A1A2E"/>
          <w:sz w:val="20"/>
          <w:szCs w:val="20"/>
        </w:rPr>
        <w:t xml:space="preserve">1–2 weeks with AI comparison tooling (was 3–6 weeks)</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compares source vs target config tables, flags differences, and generates delta workbook</w:t>
      </w:r>
    </w:p>
    <w:p>
      <w:pPr>
        <w:spacing w:after="0" w:before="40"/>
      </w:pPr>
      <w:r>
        <w:t xml:space="preserve"/>
      </w:r>
    </w:p>
    <w:p>
      <w:pPr>
        <w:pStyle w:val="Heading3"/>
        <w:spacing w:after="100" w:before="240"/>
      </w:pPr>
      <w:r>
        <w:rPr>
          <w:b/>
          <w:bCs/>
          <w:color w:val="1F3F8F"/>
          <w:sz w:val="20"/>
          <w:szCs w:val="20"/>
        </w:rPr>
        <w:t xml:space="preserve">Step 5 — Build the Estimate (Brownfield)</w:t>
      </w:r>
    </w:p>
    <w:p>
      <w:pPr>
        <w:pStyle w:val="ListParagraph"/>
        <w:numPr>
          <w:ilvl w:val="0"/>
          <w:numId w:val="1"/>
        </w:numPr>
        <w:spacing w:after="60" w:before="60"/>
      </w:pPr>
      <w:r>
        <w:rPr>
          <w:b/>
          <w:bCs/>
          <w:color w:val="2E86AB"/>
          <w:sz w:val="20"/>
          <w:szCs w:val="20"/>
        </w:rPr>
        <w:t xml:space="preserve">Apply:  </w:t>
      </w:r>
      <w:r>
        <w:rPr>
          <w:color w:val="1A1A2E"/>
          <w:sz w:val="20"/>
          <w:szCs w:val="20"/>
        </w:rPr>
        <w:t xml:space="preserve">Object count × disposition-weighted effort; data migration model with quality-adjusted effort; regression test suite rebuild estimate; delta SIT estimate</w:t>
      </w:r>
    </w:p>
    <w:p>
      <w:pPr>
        <w:pStyle w:val="ListParagraph"/>
        <w:numPr>
          <w:ilvl w:val="0"/>
          <w:numId w:val="1"/>
        </w:numPr>
        <w:spacing w:after="60" w:before="60"/>
      </w:pPr>
      <w:r>
        <w:rPr>
          <w:b/>
          <w:bCs/>
          <w:color w:val="2E86AB"/>
          <w:sz w:val="20"/>
          <w:szCs w:val="20"/>
        </w:rPr>
        <w:t xml:space="preserve">AI assist:  </w:t>
      </w:r>
      <w:r>
        <w:rPr>
          <w:color w:val="1A1A2E"/>
          <w:sz w:val="20"/>
          <w:szCs w:val="20"/>
        </w:rPr>
        <w:t xml:space="preserve">AI estimation model applies disposition weights and APC factors; flags if data quality contingency should be applied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A7F37" w:sz="10"/>
              <w:left w:val="thick" w:color="1A7F37" w:sz="10"/>
              <w:bottom w:val="none"/>
              <w:right w:val="none"/>
            </w:tcBorders>
            <w:shd w:fill="EDFBF1" w:val="clear"/>
            <w:tcMar>
              <w:top w:type="dxa" w:w="170"/>
              <w:left w:type="dxa" w:w="283"/>
              <w:bottom w:type="dxa" w:w="170"/>
              <w:right w:type="dxa" w:w="283"/>
            </w:tcMar>
          </w:tcPr>
          <w:p>
            <w:pPr>
              <w:spacing w:after="80"/>
            </w:pPr>
            <w:r>
              <w:rPr>
                <w:b/>
                <w:bCs/>
                <w:color w:val="1A7F37"/>
                <w:sz w:val="20"/>
                <w:szCs w:val="20"/>
              </w:rPr>
              <w:t xml:space="preserve">📌  The Golden Rule of Brownfield Sizing</w:t>
            </w:r>
          </w:p>
          <w:p>
            <w:pPr>
              <w:spacing w:after="40" w:before="40" w:line="276"/>
            </w:pPr>
            <w:r>
              <w:rPr>
                <w:color w:val="1A1A2E"/>
                <w:sz w:val="19"/>
                <w:szCs w:val="19"/>
              </w:rPr>
              <w:t xml:space="preserve">Never build a Brownfield estimate without completing at minimum Steps 1 and 2 above.</w:t>
            </w:r>
          </w:p>
          <w:p>
            <w:pPr>
              <w:spacing w:after="40" w:before="40" w:line="276"/>
            </w:pPr>
            <w:r>
              <w:rPr>
                <w:color w:val="1A1A2E"/>
                <w:sz w:val="19"/>
                <w:szCs w:val="19"/>
              </w:rPr>
              <w:t xml:space="preserve"/>
            </w:r>
          </w:p>
          <w:p>
            <w:pPr>
              <w:spacing w:after="40" w:before="40" w:line="276"/>
            </w:pPr>
            <w:r>
              <w:rPr>
                <w:color w:val="1A1A2E"/>
                <w:sz w:val="19"/>
                <w:szCs w:val="19"/>
              </w:rPr>
              <w:t xml:space="preserve">A Brownfield estimate built without an AI-assisted system scan and data profiling is not an estimate —</w:t>
            </w:r>
          </w:p>
          <w:p>
            <w:pPr>
              <w:spacing w:after="40" w:before="40" w:line="276"/>
            </w:pPr>
            <w:r>
              <w:rPr>
                <w:color w:val="1A1A2E"/>
                <w:sz w:val="19"/>
                <w:szCs w:val="19"/>
              </w:rPr>
              <w:t xml:space="preserve">it is a guess with a spreadsheet attached to it.</w:t>
            </w:r>
          </w:p>
          <w:p>
            <w:pPr>
              <w:spacing w:after="40" w:before="40" w:line="276"/>
            </w:pPr>
            <w:r>
              <w:rPr>
                <w:color w:val="1A1A2E"/>
                <w:sz w:val="19"/>
                <w:szCs w:val="19"/>
              </w:rPr>
              <w:t xml:space="preserve"/>
            </w:r>
          </w:p>
          <w:p>
            <w:pPr>
              <w:spacing w:after="40" w:before="40" w:line="276"/>
            </w:pPr>
            <w:r>
              <w:rPr>
                <w:color w:val="1A1A2E"/>
                <w:sz w:val="19"/>
                <w:szCs w:val="19"/>
              </w:rPr>
              <w:t xml:space="preserve">The cost of running Steps 1 and 2 (typically 3–4 weeks, 150–250 hours with AI tooling) is returned</w:t>
            </w:r>
          </w:p>
          <w:p>
            <w:pPr>
              <w:spacing w:after="40" w:before="40" w:line="276"/>
            </w:pPr>
            <w:r>
              <w:rPr>
                <w:color w:val="1A1A2E"/>
                <w:sz w:val="19"/>
                <w:szCs w:val="19"/>
              </w:rPr>
              <w:t xml:space="preserve">many times over in estimate accuracy. A program that avoids this upfront investment typically</w:t>
            </w:r>
          </w:p>
          <w:p>
            <w:pPr>
              <w:spacing w:after="40" w:before="40" w:line="276"/>
            </w:pPr>
            <w:r>
              <w:rPr>
                <w:color w:val="1A1A2E"/>
                <w:sz w:val="19"/>
                <w:szCs w:val="19"/>
              </w:rPr>
              <w:t xml:space="preserve">discovers the same information during delivery — at program-threatening cost.</w:t>
            </w:r>
          </w:p>
        </w:tc>
      </w:tr>
    </w:tbl>
    <w:p>
      <w:pPr>
        <w:spacing w:after="0" w:before="120"/>
      </w:pPr>
      <w:r>
        <w:t xml:space="preserve"/>
      </w:r>
    </w:p>
    <w:p>
      <w:pPr>
        <w:pBdr>
          <w:bottom w:val="single" w:color="E8A020" w:sz="6"/>
        </w:pBdr>
        <w:spacing w:after="160" w:before="160"/>
      </w:pPr>
    </w:p>
    <w:p>
      <w:pPr>
        <w:spacing w:before="200"/>
        <w:jc w:val="center"/>
      </w:pPr>
      <w:r>
        <w:rPr>
          <w:i/>
          <w:iCs/>
          <w:color w:val="555577"/>
          <w:sz w:val="18"/>
          <w:szCs w:val="18"/>
        </w:rPr>
        <w:t xml:space="preserve">Sizing Volumetrics POV — Oracle AI Programs | July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2026-07-12T18:09:46.743Z</dcterms:created>
  <dcterms:modified xsi:type="dcterms:W3CDTF">2026-07-12T18:09:46.756Z</dcterms:modified>
</cp:coreProperties>
</file>

<file path=docProps/custom.xml><?xml version="1.0" encoding="utf-8"?>
<Properties xmlns="http://schemas.openxmlformats.org/officeDocument/2006/custom-properties" xmlns:vt="http://schemas.openxmlformats.org/officeDocument/2006/docPropsVTypes"/>
</file>