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i w:val="false"/>
          <w:iCs w:val="false"/>
          <w:color w:val="8B0000"/>
          <w:sz w:val="52"/>
          <w:szCs w:val="52"/>
        </w:rPr>
        <w:t xml:space="preserve">ORACLE FUSION CLOUD</w:t>
      </w:r>
    </w:p>
    <w:p>
      <w:pPr>
        <w:spacing w:after="80"/>
      </w:pPr>
      <w:r>
        <w:rPr>
          <w:rFonts w:ascii="Arial" w:cs="Arial" w:eastAsia="Arial" w:hAnsi="Arial"/>
          <w:b/>
          <w:bCs/>
          <w:i w:val="false"/>
          <w:iCs w:val="false"/>
          <w:color w:val="C74634"/>
          <w:sz w:val="40"/>
          <w:szCs w:val="40"/>
        </w:rPr>
        <w:t xml:space="preserve">IMPLEMENTATION ESTIMATOR</w:t>
      </w:r>
    </w:p>
    <w:p>
      <w:pPr>
        <w:pBdr>
          <w:bottom w:val="single" w:color="C74634" w:sz="12"/>
        </w:pBdr>
        <w:spacing w:after="60"/>
      </w:pPr>
      <w:r>
        <w:rPr>
          <w:rFonts w:ascii="Arial" w:cs="Arial" w:eastAsia="Arial" w:hAnsi="Arial"/>
          <w:b/>
          <w:bCs/>
          <w:i w:val="false"/>
          <w:iCs w:val="false"/>
          <w:color w:val="1A237E"/>
          <w:sz w:val="28"/>
          <w:szCs w:val="28"/>
        </w:rPr>
        <w:t xml:space="preserve">Estimation Calibration &amp; Benchmark Scoring Guideline</w:t>
      </w:r>
    </w:p>
    <w:p>
      <w:pPr>
        <w:spacing w:after="60"/>
      </w:pPr>
    </w:p>
    <w:p>
      <w:pPr>
        <w:spacing w:after="60"/>
      </w:pPr>
    </w:p>
    <w:p>
      <w:pPr>
        <w:spacing w:after="60"/>
      </w:pPr>
      <w:r>
        <w:rPr>
          <w:rFonts w:ascii="Arial" w:cs="Arial" w:eastAsia="Arial" w:hAnsi="Arial"/>
          <w:b w:val="false"/>
          <w:bCs w:val="false"/>
          <w:i/>
          <w:iCs/>
          <w:color w:val="757575"/>
          <w:sz w:val="18"/>
          <w:szCs w:val="18"/>
        </w:rPr>
        <w:t xml:space="preserve">How to calibrate the HL Estimator using execution actuals  |  How to score a completed estimate against the company benchmark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000"/>
        <w:gridCol w:w="4200"/>
      </w:tblGrid>
      <w:tr>
        <w:trPr>
          <w:tblHeader/>
        </w:trPr>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Document Reference</w:t>
            </w:r>
          </w:p>
        </w:tc>
        <w:tc>
          <w:tcPr>
            <w:tcW w:type="dxa" w:w="9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Version</w:t>
            </w:r>
          </w:p>
        </w:tc>
        <w:tc>
          <w:tcPr>
            <w:tcW w:type="dxa" w:w="5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Audience</w:t>
            </w:r>
          </w:p>
        </w:tc>
        <w:tc>
          <w:tcPr>
            <w:tcW w:type="dxa" w:w="4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Data Source</w:t>
            </w:r>
          </w:p>
        </w:tc>
      </w:tr>
      <w:tr>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EST-CAL-GUIDE-001</w:t>
            </w:r>
          </w:p>
        </w:tc>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v1.0</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 · Delivery Leads · Solution Architects</w:t>
            </w:r>
          </w:p>
        </w:tc>
        <w:tc>
          <w:tcPr>
            <w:tcW w:type="dxa" w:w="4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Oracle Fusion 500-Project Execution Dataset v1.0</w:t>
            </w:r>
          </w:p>
        </w:tc>
      </w:tr>
    </w:tbl>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1.  Purpose &amp; Scope</w:t>
      </w:r>
    </w:p>
    <w:p>
      <w:pPr>
        <w:spacing w:after="120" w:before="0"/>
        <w:jc w:val="left"/>
      </w:pPr>
      <w:r>
        <w:rPr>
          <w:rFonts w:ascii="Arial" w:cs="Arial" w:eastAsia="Arial" w:hAnsi="Arial"/>
          <w:b w:val="false"/>
          <w:bCs w:val="false"/>
          <w:i w:val="false"/>
          <w:iCs w:val="false"/>
          <w:color w:val="000000"/>
          <w:sz w:val="18"/>
          <w:szCs w:val="18"/>
        </w:rPr>
        <w:t xml:space="preserve">This guideline serves two distinct purposes, both enabled by the Oracle Fusion 500-Project Execution Dataset:</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Purpose 1 — Template Calibration</w:t>
            </w:r>
          </w:p>
        </w:tc>
      </w:tr>
      <w:tr>
        <w:tc>
          <w:tcPr>
            <w:tcW w:type="dxa" w:w="10080"/>
            <w:shd w:fill="E3F2FD"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Update the HL Estimator's unit effort values, complexity multipliers, and SDLC phase splits so they reflect what your organisation actually delivers — not just what published benchmarks say.</w:t>
            </w:r>
          </w:p>
          <w:p>
            <w:pPr>
              <w:spacing w:after="60"/>
              <w:ind w:left="120"/>
            </w:pPr>
            <w:r>
              <w:rPr>
                <w:rFonts w:ascii="Arial" w:cs="Arial" w:eastAsia="Arial" w:hAnsi="Arial"/>
                <w:b w:val="false"/>
                <w:bCs w:val="false"/>
                <w:i w:val="false"/>
                <w:iCs w:val="false"/>
                <w:color w:val="424242"/>
                <w:sz w:val="17"/>
                <w:szCs w:val="17"/>
              </w:rPr>
              <w:t xml:space="preserve">Calibration is a periodic activity (quarterly for unit efforts; bi-annual for multipliers) run by the Estimation CoE after each cohort of projects completes.</w:t>
            </w:r>
          </w:p>
        </w:tc>
      </w:tr>
    </w:tbl>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Purpose 2 — Estimate Benchmark Scoring (Post-Estimation Quality Gate)</w:t>
            </w:r>
          </w:p>
        </w:tc>
      </w:tr>
      <w:tr>
        <w:tc>
          <w:tcPr>
            <w:tcW w:type="dxa" w:w="10080"/>
            <w:shd w:fill="E8F5E9"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After completing an estimate in the HL Estimator, run it through the Benchmark Confidence Score (BCS) to get a RAG-rated view of whether the estimate is optimistic, realistic, or conservative compared to actuals from similar projects.</w:t>
            </w:r>
          </w:p>
          <w:p>
            <w:pPr>
              <w:spacing w:after="60"/>
              <w:ind w:left="120"/>
            </w:pPr>
            <w:r>
              <w:rPr>
                <w:rFonts w:ascii="Arial" w:cs="Arial" w:eastAsia="Arial" w:hAnsi="Arial"/>
                <w:b w:val="false"/>
                <w:bCs w:val="false"/>
                <w:i w:val="false"/>
                <w:iCs w:val="false"/>
                <w:color w:val="424242"/>
                <w:sz w:val="17"/>
                <w:szCs w:val="17"/>
              </w:rPr>
              <w:t xml:space="preserve">BCS scoring is a mandatory pre-submission gate for all proposals above a defined value threshold.</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1.1  What the Execution Dataset Contains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6200"/>
      </w:tblGrid>
      <w:tr>
        <w:trPr>
          <w:tblHeader/>
        </w:trPr>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Dataset Element</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Volume</w:t>
            </w:r>
          </w:p>
        </w:tc>
        <w:tc>
          <w:tcPr>
            <w:tcW w:type="dxa" w:w="6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What It Tells You</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Master</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500 projects</w:t>
            </w:r>
          </w:p>
        </w:tc>
        <w:tc>
          <w:tcPr>
            <w:tcW w:type="dxa" w:w="6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Overall benchmark vs actual effort; volumetric drivers; complexity; industry; SI firm</w:t>
            </w:r>
          </w:p>
        </w:tc>
      </w:tr>
      <w:tr>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Phase-Wise Effort</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5,000 rows (500×10 phases)</w:t>
            </w:r>
          </w:p>
        </w:tc>
        <w:tc>
          <w:tcPr>
            <w:tcW w:type="dxa" w:w="6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Phase-level deviation % and reason text for all 10 SDLC phases</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Component Actuals</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~2,730 rows</w:t>
            </w:r>
          </w:p>
        </w:tc>
        <w:tc>
          <w:tcPr>
            <w:tcW w:type="dxa" w:w="6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Component-level actual vs benchmark for key config/CEMLI/DM components</w:t>
            </w:r>
          </w:p>
        </w:tc>
      </w:tr>
      <w:tr>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Calibration Benchmarks</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Aggregated stats</w:t>
            </w:r>
          </w:p>
        </w:tc>
        <w:tc>
          <w:tcPr>
            <w:tcW w:type="dxa" w:w="6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Deviation percentiles by complexity, phase, industry, and SI firm</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Calibration Factors</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Ready-to-use multipliers</w:t>
            </w:r>
          </w:p>
        </w:tc>
        <w:tc>
          <w:tcPr>
            <w:tcW w:type="dxa" w:w="6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P25/P50/P75/P90 factors per phase and complexity — apply directly to estimates</w:t>
            </w:r>
          </w:p>
        </w:tc>
      </w:tr>
    </w:tbl>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2.  How to Calibrate the HL Estimator</w:t>
      </w:r>
    </w:p>
    <w:p>
      <w:pPr>
        <w:spacing w:after="120" w:before="0"/>
        <w:jc w:val="left"/>
      </w:pPr>
      <w:r>
        <w:rPr>
          <w:rFonts w:ascii="Arial" w:cs="Arial" w:eastAsia="Arial" w:hAnsi="Arial"/>
          <w:b w:val="false"/>
          <w:bCs w:val="false"/>
          <w:i w:val="false"/>
          <w:iCs w:val="false"/>
          <w:color w:val="000000"/>
          <w:sz w:val="18"/>
          <w:szCs w:val="18"/>
        </w:rPr>
        <w:t xml:space="preserve">Calibration means adjusting the HL Estimator's inputs so that estimates it produces are statistically aligned with your company's historical delivery outcomes. There are three levels, applied in sequence from most impactful to most structural.</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600"/>
        <w:gridCol w:w="1800"/>
      </w:tblGrid>
      <w:tr>
        <w:trPr>
          <w:tblHeader/>
        </w:trPr>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Calibration Level</w:t>
            </w:r>
          </w:p>
        </w:tc>
        <w:tc>
          <w:tcPr>
            <w:tcW w:type="dxa" w:w="5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What Gets Updated</w:t>
            </w:r>
          </w:p>
        </w:tc>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Frequency</w:t>
            </w:r>
          </w:p>
        </w:tc>
        <w:tc>
          <w:tcPr>
            <w:tcW w:type="dxa" w:w="1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Owner</w:t>
            </w:r>
          </w:p>
        </w:tc>
      </w:tr>
      <w:tr>
        <w:tc>
          <w:tcPr>
            <w:tcW w:type="dxa" w:w="2800"/>
            <w:shd w:fill="E3F2F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L1 — Unit Effort</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Unit effort (days) per component — Module Estimator col F</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Quarterly</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r>
      <w:tr>
        <w:tc>
          <w:tcPr>
            <w:tcW w:type="dxa" w:w="2800"/>
            <w:shd w:fill="E0F2F1"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L2 — Complexity Multipliers</w:t>
            </w:r>
          </w:p>
        </w:tc>
        <w:tc>
          <w:tcPr>
            <w:tcW w:type="dxa" w:w="5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Multipliers in Assumptions tab Section C (Low/Med/High/VH)</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Bi-annual</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 + Delivery Leads</w:t>
            </w:r>
          </w:p>
        </w:tc>
      </w:tr>
      <w:tr>
        <w:tc>
          <w:tcPr>
            <w:tcW w:type="dxa" w:w="28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L3 — Phase % Splits</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SDLC phase % distribution in Assumptions tab Section D</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Annual</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Delivery</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2.1  Level 1 — Calibrating Unit Effort per Component</w:t>
      </w:r>
    </w:p>
    <w:p>
      <w:pPr>
        <w:pStyle w:val="Heading3"/>
        <w:spacing w:after="60" w:before="160"/>
      </w:pPr>
      <w:r>
        <w:rPr>
          <w:rFonts w:ascii="Arial" w:cs="Arial" w:eastAsia="Arial" w:hAnsi="Arial"/>
          <w:b/>
          <w:bCs/>
          <w:i w:val="false"/>
          <w:iCs w:val="false"/>
          <w:color w:val="1A237E"/>
          <w:sz w:val="19"/>
          <w:szCs w:val="19"/>
        </w:rPr>
        <w:t xml:space="preserve">Step 1: Extract component actuals</w:t>
      </w:r>
    </w:p>
    <w:p>
      <w:pPr>
        <w:spacing w:after="120" w:before="0"/>
        <w:jc w:val="left"/>
      </w:pPr>
      <w:r>
        <w:rPr>
          <w:rFonts w:ascii="Arial" w:cs="Arial" w:eastAsia="Arial" w:hAnsi="Arial"/>
          <w:b w:val="false"/>
          <w:bCs w:val="false"/>
          <w:i w:val="false"/>
          <w:iCs w:val="false"/>
          <w:color w:val="000000"/>
          <w:sz w:val="18"/>
          <w:szCs w:val="18"/>
        </w:rPr>
        <w:t xml:space="preserve">Open the Component Actuals sheet. Filter by: module to calibrate, matching complexity level (typically M and H), minimum 20 observations. Export to a working tab.</w:t>
      </w:r>
    </w:p>
    <w:p>
      <w:pPr>
        <w:spacing w:after="60"/>
      </w:pPr>
    </w:p>
    <w:p>
      <w:pPr>
        <w:pStyle w:val="Heading3"/>
        <w:spacing w:after="60" w:before="160"/>
      </w:pPr>
      <w:r>
        <w:rPr>
          <w:rFonts w:ascii="Arial" w:cs="Arial" w:eastAsia="Arial" w:hAnsi="Arial"/>
          <w:b/>
          <w:bCs/>
          <w:i w:val="false"/>
          <w:iCs w:val="false"/>
          <w:color w:val="1A237E"/>
          <w:sz w:val="19"/>
          <w:szCs w:val="19"/>
        </w:rPr>
        <w:t xml:space="preserve">Step 2: Compute calibrated unit effort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4700"/>
      </w:tblGrid>
      <w:tr>
        <w:trPr>
          <w:tblHeader/>
        </w:trPr>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Statistic</w:t>
            </w:r>
          </w:p>
        </w:tc>
        <w:tc>
          <w:tcPr>
            <w:tcW w:type="dxa" w:w="4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Formula</w:t>
            </w:r>
          </w:p>
        </w:tc>
        <w:tc>
          <w:tcPr>
            <w:tcW w:type="dxa" w:w="47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Use For</w:t>
            </w:r>
          </w:p>
        </w:tc>
      </w:tr>
      <w:tr>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P50 (Median)</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=MEDIAN(actual_days range)</w:t>
            </w:r>
          </w:p>
        </w:tc>
        <w:tc>
          <w:tcPr>
            <w:tcW w:type="dxa" w:w="47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Replace col F in Module Estimator — this becomes the new base unit effort</w:t>
            </w:r>
          </w:p>
        </w:tc>
      </w:tr>
      <w:tr>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P75</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=PERCENTILE(range, 0.75)</w:t>
            </w:r>
          </w:p>
        </w:tc>
        <w:tc>
          <w:tcPr>
            <w:tcW w:type="dxa" w:w="47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Risk-adjusted estimates; flag high-variance components</w:t>
            </w:r>
          </w:p>
        </w:tc>
      </w:tr>
      <w:tr>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P90</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=PERCENTILE(range, 0.90)</w:t>
            </w:r>
          </w:p>
        </w:tc>
        <w:tc>
          <w:tcPr>
            <w:tcW w:type="dxa" w:w="47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Conservative / fixed-price proposals</w:t>
            </w:r>
          </w:p>
        </w:tc>
      </w:tr>
      <w:tr>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P90 ÷ P50 Ratio</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=P90/P50</w:t>
            </w:r>
          </w:p>
        </w:tc>
        <w:tc>
          <w:tcPr>
            <w:tcW w:type="dxa" w:w="47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Variance signal — ratio &gt;2.0 means this component needs individual risk treatment</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Step 3: Update Module Estimator col F</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Replace the existing Everest/Forrester benchmark unit effort with the P50 from your execution data</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Add a cell comment: 'Calibrated: [date]. N=[count]. Dataset: Oracle Fusion 500-Project v1.0'</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Retain the original published benchmark in an adjacent reference column for audit purposes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For components where P90/P50 &gt; 2.0 (high variance), add a risk flag in the remarks column — these should never be estimated at P50 for fixed-price work</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Worked Example — AP Invoice Approval Workflow (Medium complexity)</w:t>
            </w:r>
          </w:p>
        </w:tc>
      </w:tr>
      <w:tr>
        <w:tc>
          <w:tcPr>
            <w:tcW w:type="dxa" w:w="10080"/>
            <w:shd w:fill="E8F5E9"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Everest published benchmark: 5.0 days</w:t>
            </w:r>
          </w:p>
          <w:p>
            <w:pPr>
              <w:spacing w:after="60"/>
              <w:ind w:left="120"/>
            </w:pPr>
            <w:r>
              <w:rPr>
                <w:rFonts w:ascii="Arial" w:cs="Arial" w:eastAsia="Arial" w:hAnsi="Arial"/>
                <w:b w:val="false"/>
                <w:bCs w:val="false"/>
                <w:i w:val="false"/>
                <w:iCs w:val="false"/>
                <w:color w:val="424242"/>
                <w:sz w:val="17"/>
                <w:szCs w:val="17"/>
              </w:rPr>
              <w:t xml:space="preserve">Dataset: 34 matching observations (ERP–AP, Medium complexity)</w:t>
            </w:r>
          </w:p>
          <w:p>
            <w:pPr>
              <w:spacing w:after="60"/>
              <w:ind w:left="120"/>
            </w:pPr>
            <w:r>
              <w:rPr>
                <w:rFonts w:ascii="Arial" w:cs="Arial" w:eastAsia="Arial" w:hAnsi="Arial"/>
                <w:b w:val="false"/>
                <w:bCs w:val="false"/>
                <w:i w:val="false"/>
                <w:iCs w:val="false"/>
                <w:color w:val="424242"/>
                <w:sz w:val="17"/>
                <w:szCs w:val="17"/>
              </w:rPr>
              <w:t xml:space="preserve">P50 = 6.2 days  |  P75 = 8.1 days  |  P90 = 11.4 days  |  Variance ratio (P90/P50) = 1.84</w:t>
            </w:r>
          </w:p>
          <w:p>
            <w:pPr>
              <w:spacing w:after="60"/>
              <w:ind w:left="120"/>
            </w:pPr>
            <w:r>
              <w:rPr>
                <w:rFonts w:ascii="Arial" w:cs="Arial" w:eastAsia="Arial" w:hAnsi="Arial"/>
                <w:b w:val="false"/>
                <w:bCs w:val="false"/>
                <w:i w:val="false"/>
                <w:iCs w:val="false"/>
                <w:color w:val="424242"/>
                <w:sz w:val="17"/>
                <w:szCs w:val="17"/>
              </w:rPr>
              <w:t xml:space="preserve">Action: Update col F from 5.0 → 6.2. Add note. Flag as medium-variance (ratio 1.5–2.0).</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2.2  Level 2 — Calibrating Complexity Multipliers</w:t>
      </w:r>
    </w:p>
    <w:p>
      <w:pPr>
        <w:spacing w:after="120" w:before="0"/>
        <w:jc w:val="left"/>
      </w:pPr>
      <w:r>
        <w:rPr>
          <w:rFonts w:ascii="Arial" w:cs="Arial" w:eastAsia="Arial" w:hAnsi="Arial"/>
          <w:b w:val="false"/>
          <w:bCs w:val="false"/>
          <w:i w:val="false"/>
          <w:iCs w:val="false"/>
          <w:color w:val="000000"/>
          <w:sz w:val="18"/>
          <w:szCs w:val="18"/>
        </w:rPr>
        <w:t xml:space="preserve">The HL Estimator uses complexity multipliers (L=0.7×, M=1.0×, H=1.4×, VH=1.9×). Calibrate these by computing the actual/benchmark effort ratio from the Project Master sheet, stratified by complexity code.</w:t>
      </w:r>
    </w:p>
    <w:p>
      <w:pPr>
        <w:spacing w:after="60"/>
      </w:pPr>
    </w:p>
    <w:p>
      <w:pPr>
        <w:pStyle w:val="Heading3"/>
        <w:spacing w:after="60" w:before="160"/>
      </w:pPr>
      <w:r>
        <w:rPr>
          <w:rFonts w:ascii="Arial" w:cs="Arial" w:eastAsia="Arial" w:hAnsi="Arial"/>
          <w:b/>
          <w:bCs/>
          <w:i w:val="false"/>
          <w:iCs w:val="false"/>
          <w:color w:val="1A237E"/>
          <w:sz w:val="19"/>
          <w:szCs w:val="19"/>
        </w:rPr>
        <w:t xml:space="preserve">Step 1: Calculate actual/benchmark ratio by complexity</w:t>
      </w:r>
    </w:p>
    <w:p>
      <w:pPr>
        <w:spacing w:after="120" w:before="0"/>
        <w:jc w:val="left"/>
      </w:pPr>
      <w:r>
        <w:rPr>
          <w:rFonts w:ascii="Arial" w:cs="Arial" w:eastAsia="Arial" w:hAnsi="Arial"/>
          <w:b w:val="false"/>
          <w:bCs w:val="false"/>
          <w:i w:val="false"/>
          <w:iCs w:val="false"/>
          <w:color w:val="000000"/>
          <w:sz w:val="18"/>
          <w:szCs w:val="18"/>
        </w:rPr>
        <w:t xml:space="preserve">From Project Master, compute Ratio = Actual Total ÷ Benchmark Total for each project. Group by CX code. Calculate P50 ratio per group.</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gridCol w:w="2200"/>
      </w:tblGrid>
      <w:tr>
        <w:trPr>
          <w:tblHeader/>
        </w:trPr>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Complexity</w:t>
            </w:r>
          </w:p>
        </w:tc>
        <w:tc>
          <w:tcPr>
            <w:tcW w:type="dxa" w:w="1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Current Mult</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Execution P50 Ratio*</w:t>
            </w:r>
          </w:p>
        </w:tc>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Calibrated Mult</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Key Finding</w:t>
            </w:r>
          </w:p>
        </w:tc>
      </w:tr>
      <w:tr>
        <w:tc>
          <w:tcPr>
            <w:tcW w:type="dxa" w:w="2200"/>
            <w:shd w:fill="E8F5E9"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 — Low</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0.7×</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~0.78×</w:t>
            </w:r>
          </w:p>
        </w:tc>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0.7 × 0.78 = 0.55×</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Low projects often under-run — multiplier may be too high</w:t>
            </w:r>
          </w:p>
        </w:tc>
      </w:tr>
      <w:tr>
        <w:tc>
          <w:tcPr>
            <w:tcW w:type="dxa" w:w="2200"/>
            <w:shd w:fill="E3F2FD"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 — Medium</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1.0×</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~1.23×</w:t>
            </w:r>
          </w:p>
        </w:tc>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1.0 × 1.23 = 1.23×</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Most common finding — Medium projects overrun the baseline by ~23%</w:t>
            </w:r>
          </w:p>
        </w:tc>
      </w:tr>
      <w:tr>
        <w:tc>
          <w:tcPr>
            <w:tcW w:type="dxa" w:w="22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 — High</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1.4×</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~1.28×</w:t>
            </w:r>
          </w:p>
        </w:tc>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1.4 × 1.28 = 1.79×</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High complexity carries significant additional risk beyond the multiplier</w:t>
            </w:r>
          </w:p>
        </w:tc>
      </w:tr>
      <w:tr>
        <w:tc>
          <w:tcPr>
            <w:tcW w:type="dxa" w:w="2200"/>
            <w:shd w:fill="FDECEA"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VH — Very High</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1.9×</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~1.45×</w:t>
            </w:r>
          </w:p>
        </w:tc>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1.9 × 1.45 = 2.76×</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VH projects have the widest variance; never use below P75 for fixed-price</w:t>
            </w:r>
          </w:p>
        </w:tc>
      </w:tr>
    </w:tbl>
    <w:p>
      <w:pPr>
        <w:spacing w:after="120" w:before="0"/>
        <w:jc w:val="left"/>
      </w:pPr>
      <w:r>
        <w:rPr>
          <w:rFonts w:ascii="Arial" w:cs="Arial" w:eastAsia="Arial" w:hAnsi="Arial"/>
          <w:b w:val="false"/>
          <w:bCs w:val="false"/>
          <w:i/>
          <w:iCs/>
          <w:color w:val="757575"/>
          <w:sz w:val="16"/>
          <w:szCs w:val="16"/>
        </w:rPr>
        <w:t xml:space="preserve">* P50 ratios shown are illustrative — replace with your company's actual figures from the dataset.</w:t>
      </w:r>
    </w:p>
    <w:p>
      <w:pPr>
        <w:spacing w:after="60"/>
      </w:pPr>
    </w:p>
    <w:p>
      <w:pPr>
        <w:pStyle w:val="Heading3"/>
        <w:spacing w:after="60" w:before="160"/>
      </w:pPr>
      <w:r>
        <w:rPr>
          <w:rFonts w:ascii="Arial" w:cs="Arial" w:eastAsia="Arial" w:hAnsi="Arial"/>
          <w:b/>
          <w:bCs/>
          <w:i w:val="false"/>
          <w:iCs w:val="false"/>
          <w:color w:val="1A237E"/>
          <w:sz w:val="19"/>
          <w:szCs w:val="19"/>
        </w:rPr>
        <w:t xml:space="preserve">Step 2: Update Assumptions tab Section C</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Navigate to Assumptions tab → Section C: Complexity Multipliers (amber input cells)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Replace multiplier values with calibrated values computed above</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Record old value, new value, N observations, and date in a cell comment</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Do not update VH unless you have ≥15 VH project observations — sample is too small below this threshold</w:t>
      </w:r>
    </w:p>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2.3  Level 3 — Calibrating SDLC Phase % Splits</w:t>
      </w:r>
    </w:p>
    <w:p>
      <w:pPr>
        <w:spacing w:after="120" w:before="0"/>
        <w:jc w:val="left"/>
      </w:pPr>
      <w:r>
        <w:rPr>
          <w:rFonts w:ascii="Arial" w:cs="Arial" w:eastAsia="Arial" w:hAnsi="Arial"/>
          <w:b w:val="false"/>
          <w:bCs w:val="false"/>
          <w:i w:val="false"/>
          <w:iCs w:val="false"/>
          <w:color w:val="000000"/>
          <w:sz w:val="18"/>
          <w:szCs w:val="18"/>
        </w:rPr>
        <w:t xml:space="preserve">The Assumptions tab Section D distributes total effort across 9 SDLC phases. Calibrate these splits using the Phase-Wise Effort sheet from the execution dataset.</w:t>
      </w:r>
    </w:p>
    <w:p>
      <w:pPr>
        <w:spacing w:after="60"/>
      </w:pPr>
    </w:p>
    <w:p>
      <w:pPr>
        <w:pStyle w:val="Heading3"/>
        <w:spacing w:after="60" w:before="160"/>
      </w:pPr>
      <w:r>
        <w:rPr>
          <w:rFonts w:ascii="Arial" w:cs="Arial" w:eastAsia="Arial" w:hAnsi="Arial"/>
          <w:b/>
          <w:bCs/>
          <w:i w:val="false"/>
          <w:iCs w:val="false"/>
          <w:color w:val="1A237E"/>
          <w:sz w:val="19"/>
          <w:szCs w:val="19"/>
        </w:rPr>
        <w:t xml:space="preserve">Step 1: Calculate actual phase weight from execution data</w:t>
      </w:r>
    </w:p>
    <w:p>
      <w:pPr>
        <w:spacing w:after="120" w:before="0"/>
        <w:jc w:val="left"/>
      </w:pPr>
      <w:r>
        <w:rPr>
          <w:rFonts w:ascii="Arial" w:cs="Arial" w:eastAsia="Arial" w:hAnsi="Arial"/>
          <w:b w:val="false"/>
          <w:bCs w:val="false"/>
          <w:i w:val="false"/>
          <w:iCs w:val="false"/>
          <w:color w:val="000000"/>
          <w:sz w:val="18"/>
          <w:szCs w:val="18"/>
        </w:rPr>
        <w:t xml:space="preserve">From Phase-Wise Effort sheet: group by SDLC Phase. For each phase compute: Average(Actual Phase Effort) ÷ Average(Actual Total Effort per Project). This gives the average actual phase weight.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000"/>
        <w:gridCol w:w="2600"/>
      </w:tblGrid>
      <w:tr>
        <w:trPr>
          <w:tblHeader/>
        </w:trPr>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SDLC Phase</w:t>
            </w:r>
          </w:p>
        </w:tc>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Benchmark Split</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Common Actual Finding</w:t>
            </w:r>
          </w:p>
        </w:tc>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Calibrated Split</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Calibration Note</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Ph0: Inception</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3–6%</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Stable; only change if your mobilisation model has changed significantly</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Ph1: Discover</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10–18%</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13%</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Increase for complex multi-country programmes; reduce for repeat clients with strong SME availability</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Ph2: Design</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15–22%</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Usually well-calibrated; increase for programmes with high decision risk or frequent change of direction</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Ph3: Build</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28%</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28–38%</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32%</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Most consistently under-estimated — increase for H/VH complexity; CEMLI and integration rework drives overrun</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Ph4: SIT</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12–20%</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14%</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Increase if integration count is high or third-party system readiness is a known risk</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Ph5: UAT</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8%</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6–14%</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9%</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Business availability is the critical constraint — build explicit schedule buffer, not just effort buffer</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Ph6: Data Mig</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8%</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8–15%</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10%</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Increase whenever source data quality has not been profiled at estimate time</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Ph7: Training</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3–8%</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Stable unless user population is large, geographically dispersed, or requires multi-language materials</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Ph8: Go-Live</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2–5%</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Increase if a parallel run is required or cutover window is constrained</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Ph9: Hypercare</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2–8%</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Size based on expected ticket volume and SLA — high-complexity go-lives need 6–8 weeks minimum</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Step 2: Update Assumptions tab Section D</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Replace phase % values (amber cells) with your calibrated splits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Verify phases still sum to exactly 100% — the Effort Summary tab has a formula check</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Sanity check: run 3 recently completed projects through the updated estimator and verify actuals fall within P25–P75 of the updated output</w:t>
      </w:r>
    </w:p>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3.  How to Score an Estimate Against the Benchmark</w:t>
      </w:r>
    </w:p>
    <w:p>
      <w:pPr>
        <w:spacing w:after="120" w:before="0"/>
        <w:jc w:val="left"/>
      </w:pPr>
      <w:r>
        <w:rPr>
          <w:rFonts w:ascii="Arial" w:cs="Arial" w:eastAsia="Arial" w:hAnsi="Arial"/>
          <w:b w:val="false"/>
          <w:bCs w:val="false"/>
          <w:i w:val="false"/>
          <w:iCs w:val="false"/>
          <w:color w:val="000000"/>
          <w:sz w:val="18"/>
          <w:szCs w:val="18"/>
        </w:rPr>
        <w:t xml:space="preserve">Once an estimate has been completed in the HL Estimator, the Benchmark Confidence Score (BCS) provides a structured, evidence-based view of whether the estimate is likely to hold up in delivery. It is not a check of whether the estimate is 'right' — it is a check of whether the estimate is consistent with how similar projects have historically performed.</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Benchmark Confidence Score — What It Is</w:t>
            </w:r>
          </w:p>
        </w:tc>
      </w:tr>
      <w:tr>
        <w:tc>
          <w:tcPr>
            <w:tcW w:type="dxa" w:w="10080"/>
            <w:shd w:fill="FFF3CD"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The BCS is a five-dimension weighted RAG score comparing your estimate against comparator projects from the execution dataset.</w:t>
            </w:r>
          </w:p>
          <w:p>
            <w:pPr>
              <w:spacing w:after="60"/>
              <w:ind w:left="120"/>
            </w:pPr>
            <w:r>
              <w:rPr>
                <w:rFonts w:ascii="Arial" w:cs="Arial" w:eastAsia="Arial" w:hAnsi="Arial"/>
                <w:b w:val="false"/>
                <w:bCs w:val="false"/>
                <w:i w:val="false"/>
                <w:iCs w:val="false"/>
                <w:color w:val="424242"/>
                <w:sz w:val="17"/>
                <w:szCs w:val="17"/>
              </w:rPr>
              <w:t xml:space="preserve">It answers: 'If we ran this engagement with this estimate as the budget, what is the historical probability of delivering within budget?'</w:t>
            </w:r>
          </w:p>
          <w:p>
            <w:pPr>
              <w:spacing w:after="60"/>
              <w:ind w:left="120"/>
            </w:pPr>
            <w:r>
              <w:rPr>
                <w:rFonts w:ascii="Arial" w:cs="Arial" w:eastAsia="Arial" w:hAnsi="Arial"/>
                <w:b w:val="false"/>
                <w:bCs w:val="false"/>
                <w:i w:val="false"/>
                <w:iCs w:val="false"/>
                <w:color w:val="424242"/>
                <w:sz w:val="17"/>
                <w:szCs w:val="17"/>
              </w:rPr>
              <w:t xml:space="preserve">BCS-Green (≥2.5): &gt;65% historical probability of on-budget delivery. Proceed to submission.</w:t>
            </w:r>
          </w:p>
          <w:p>
            <w:pPr>
              <w:spacing w:after="60"/>
              <w:ind w:left="120"/>
            </w:pPr>
            <w:r>
              <w:rPr>
                <w:rFonts w:ascii="Arial" w:cs="Arial" w:eastAsia="Arial" w:hAnsi="Arial"/>
                <w:b w:val="false"/>
                <w:bCs w:val="false"/>
                <w:i w:val="false"/>
                <w:iCs w:val="false"/>
                <w:color w:val="424242"/>
                <w:sz w:val="17"/>
                <w:szCs w:val="17"/>
              </w:rPr>
              <w:t xml:space="preserve">BCS-Amber (2.0–2.4): 40–65% probability. Peer review required before submission.</w:t>
            </w:r>
          </w:p>
          <w:p>
            <w:pPr>
              <w:spacing w:after="60"/>
              <w:ind w:left="120"/>
            </w:pPr>
            <w:r>
              <w:rPr>
                <w:rFonts w:ascii="Arial" w:cs="Arial" w:eastAsia="Arial" w:hAnsi="Arial"/>
                <w:b w:val="false"/>
                <w:bCs w:val="false"/>
                <w:i w:val="false"/>
                <w:iCs w:val="false"/>
                <w:color w:val="424242"/>
                <w:sz w:val="17"/>
                <w:szCs w:val="17"/>
              </w:rPr>
              <w:t xml:space="preserve">BCS-Red (&lt;2.0): &lt;40% probability. Mandatory rework — cannot submit without Delivery Director sign-off.</w:t>
            </w:r>
          </w:p>
          <w:p>
            <w:pPr>
              <w:spacing w:after="60"/>
              <w:ind w:left="120"/>
            </w:pPr>
            <w:r>
              <w:rPr>
                <w:rFonts w:ascii="Arial" w:cs="Arial" w:eastAsia="Arial" w:hAnsi="Arial"/>
                <w:b w:val="false"/>
                <w:bCs w:val="false"/>
                <w:i w:val="false"/>
                <w:iCs w:val="false"/>
                <w:color w:val="424242"/>
                <w:sz w:val="17"/>
                <w:szCs w:val="17"/>
              </w:rPr>
              <w:t xml:space="preserve">The BCS is not a pass/fail gate on the estimate's quality — it is an evidence-based calibration check that should prompt structured conversation about scope, risk, and contingency.</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3.1  The Five Scoring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900"/>
        <w:gridCol w:w="4000"/>
        <w:gridCol w:w="3200"/>
      </w:tblGrid>
      <w:tr>
        <w:trPr>
          <w:tblHeader/>
        </w:trPr>
        <w:tc>
          <w:tcPr>
            <w:tcW w:type="dxa" w:w="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Dimension</w:t>
            </w:r>
          </w:p>
        </w:tc>
        <w:tc>
          <w:tcPr>
            <w:tcW w:type="dxa" w:w="9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Weight</w:t>
            </w:r>
          </w:p>
        </w:tc>
        <w:tc>
          <w:tcPr>
            <w:tcW w:type="dxa" w:w="4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What to Measure</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RAG Thresholds</w:t>
            </w:r>
          </w:p>
        </w:tc>
      </w:tr>
      <w:tr>
        <w:tc>
          <w:tcPr>
            <w:tcW w:type="dxa" w:w="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Effort Density vs Benchmark</w:t>
            </w:r>
          </w:p>
        </w:tc>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Total estimate days ÷ (N modules × project months). Compare to comparator pool P50.</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 within ±15% of P50  |  A: 15–35% below P50  |  R: &gt;35% below P50</w:t>
            </w:r>
          </w:p>
        </w:tc>
      </w:tr>
      <w:tr>
        <w:tc>
          <w:tcPr>
            <w:tcW w:type="dxa" w:w="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Phase Distribution Alignment</w:t>
            </w:r>
          </w:p>
        </w:tc>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Each phase % vs calibrated Assumptions Section D splits.</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 all phases within ±5pp  |  A: 1–2 phases &gt;10pp off  |  R: &gt;2 phases &gt;10pp off</w:t>
            </w:r>
          </w:p>
        </w:tc>
      </w:tr>
      <w:tr>
        <w:tc>
          <w:tcPr>
            <w:tcW w:type="dxa" w:w="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Integration Effort Coverage</w:t>
            </w:r>
          </w:p>
        </w:tc>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 integration days vs formula: (N_simple×6 + N_complex×14) × CX multiplier.</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 coverage ≥85%  |  A: 65–85%  |  R: &lt;65%</w:t>
            </w:r>
          </w:p>
        </w:tc>
      </w:tr>
      <w:tr>
        <w:tc>
          <w:tcPr>
            <w:tcW w:type="dxa" w:w="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Data Migration Coverage</w:t>
            </w:r>
          </w:p>
        </w:tc>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 DM days vs formula: N_objects × 4.5 × CX multiplier.</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 coverage ≥85%  |  A: 65–85%  |  R: &lt;65%</w:t>
            </w:r>
          </w:p>
        </w:tc>
      </w:tr>
      <w:tr>
        <w:tc>
          <w:tcPr>
            <w:tcW w:type="dxa" w:w="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Contingency Adequacy</w:t>
            </w:r>
          </w:p>
        </w:tc>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Contingency % vs complexity-specific minimum from Calibration Factors sheet.</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 ≥P50 rate  |  A: between P25 and P50  |  R: below P25 rate</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3.2  Step-by-Step Scoring Process</w:t>
      </w:r>
    </w:p>
    <w:p>
      <w:pPr>
        <w:pStyle w:val="Heading3"/>
        <w:spacing w:after="60" w:before="160"/>
      </w:pPr>
      <w:r>
        <w:rPr>
          <w:rFonts w:ascii="Arial" w:cs="Arial" w:eastAsia="Arial" w:hAnsi="Arial"/>
          <w:b/>
          <w:bCs/>
          <w:i w:val="false"/>
          <w:iCs w:val="false"/>
          <w:color w:val="1A237E"/>
          <w:sz w:val="19"/>
          <w:szCs w:val="19"/>
        </w:rPr>
        <w:t xml:space="preserve">Step 1 — Identify the Comparator Pool</w:t>
      </w:r>
    </w:p>
    <w:p>
      <w:pPr>
        <w:spacing w:after="120" w:before="0"/>
        <w:jc w:val="left"/>
      </w:pPr>
      <w:r>
        <w:rPr>
          <w:rFonts w:ascii="Arial" w:cs="Arial" w:eastAsia="Arial" w:hAnsi="Arial"/>
          <w:b w:val="false"/>
          <w:bCs w:val="false"/>
          <w:i w:val="false"/>
          <w:iCs w:val="false"/>
          <w:color w:val="000000"/>
          <w:sz w:val="18"/>
          <w:szCs w:val="18"/>
        </w:rPr>
        <w:t xml:space="preserve">From the execution dataset Project Master sheet, filter rows to find comparable projects: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Match complexity level: include your CX code ± one level (e.g. for H, include M and H)</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Match module count: within ±2 modules of your estimate</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Match industry if ≥10 projects available; otherwise use all industries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Minimum 20 comparator projects — if fewer, broaden filters before proceeding</w:t>
      </w:r>
    </w:p>
    <w:p>
      <w:pPr>
        <w:spacing w:after="120" w:before="0"/>
        <w:jc w:val="left"/>
      </w:pPr>
      <w:r>
        <w:rPr>
          <w:rFonts w:ascii="Arial" w:cs="Arial" w:eastAsia="Arial" w:hAnsi="Arial"/>
          <w:b w:val="false"/>
          <w:bCs w:val="false"/>
          <w:i/>
          <w:iCs/>
          <w:color w:val="757575"/>
          <w:sz w:val="17"/>
          <w:szCs w:val="17"/>
        </w:rPr>
        <w:t xml:space="preserve">Record: N comparators, their median actual total, P25 total, P75 total, and median deviation %.</w:t>
      </w:r>
    </w:p>
    <w:p>
      <w:pPr>
        <w:spacing w:after="60"/>
      </w:pPr>
    </w:p>
    <w:p>
      <w:pPr>
        <w:pStyle w:val="Heading3"/>
        <w:spacing w:after="60" w:before="160"/>
      </w:pPr>
      <w:r>
        <w:rPr>
          <w:rFonts w:ascii="Arial" w:cs="Arial" w:eastAsia="Arial" w:hAnsi="Arial"/>
          <w:b/>
          <w:bCs/>
          <w:i w:val="false"/>
          <w:iCs w:val="false"/>
          <w:color w:val="1A237E"/>
          <w:sz w:val="19"/>
          <w:szCs w:val="19"/>
        </w:rPr>
        <w:t xml:space="preserve">Step 2 — Score Dimension 1: Effort Density</w:t>
      </w:r>
    </w:p>
    <w:p>
      <w:pPr>
        <w:spacing w:after="120" w:before="0"/>
        <w:jc w:val="left"/>
      </w:pPr>
      <w:r>
        <w:rPr>
          <w:rFonts w:ascii="Arial" w:cs="Arial" w:eastAsia="Arial" w:hAnsi="Arial"/>
          <w:b w:val="false"/>
          <w:bCs w:val="false"/>
          <w:i w:val="false"/>
          <w:iCs w:val="false"/>
          <w:color w:val="000000"/>
          <w:sz w:val="18"/>
          <w:szCs w:val="18"/>
        </w:rPr>
        <w:t xml:space="preserve">Calculate your estimate's effort density: Total Estimated Days ÷ (N Modules × Project Duration months). Then compute the same metric for each comparator project and take the median. Compute Variance = (Your Density − Comparator Median) ÷ Comparator Median × 100%.</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7200"/>
      </w:tblGrid>
      <w:tr>
        <w:trPr>
          <w:tblHeader/>
        </w:trPr>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Variance vs Comparator P50</w:t>
            </w:r>
          </w:p>
        </w:tc>
        <w:tc>
          <w:tcPr>
            <w:tcW w:type="dxa" w:w="1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Rating</w:t>
            </w:r>
          </w:p>
        </w:tc>
        <w:tc>
          <w:tcPr>
            <w:tcW w:type="dxa" w:w="7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Interpretation &amp; Action</w:t>
            </w:r>
          </w:p>
        </w:tc>
      </w:tr>
      <w:tr>
        <w:tc>
          <w:tcPr>
            <w:tcW w:type="dxa" w:w="2800"/>
            <w:shd w:fill="E8F5E9"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Within ±15%</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GREEN</w:t>
            </w:r>
          </w:p>
        </w:tc>
        <w:tc>
          <w:tcPr>
            <w:tcW w:type="dxa" w:w="7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Consistent with historical delivery density. No action required on this dimension.</w:t>
            </w:r>
          </w:p>
        </w:tc>
      </w:tr>
      <w:tr>
        <w:tc>
          <w:tcPr>
            <w:tcW w:type="dxa" w:w="28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856404"/>
                <w:sz w:val="16"/>
                <w:szCs w:val="16"/>
              </w:rPr>
              <w:t xml:space="preserve">15–35% below P50</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AMBER</w:t>
            </w:r>
          </w:p>
        </w:tc>
        <w:tc>
          <w:tcPr>
            <w:tcW w:type="dxa" w:w="7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 may be lean relative to actuals. Review scope assumptions, team ramp-up plan, and travel/overhead allowances.</w:t>
            </w:r>
          </w:p>
        </w:tc>
      </w:tr>
      <w:tr>
        <w:tc>
          <w:tcPr>
            <w:tcW w:type="dxa" w:w="2800"/>
            <w:shd w:fill="FDECEA"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&gt;35% below P50</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RED</w:t>
            </w:r>
          </w:p>
        </w:tc>
        <w:tc>
          <w:tcPr>
            <w:tcW w:type="dxa" w:w="7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 is likely insufficient. High probability of overrun. Mandatory review — investigate which streams are driving the gap.</w:t>
            </w:r>
          </w:p>
        </w:tc>
      </w:tr>
      <w:tr>
        <w:tc>
          <w:tcPr>
            <w:tcW w:type="dxa" w:w="2800"/>
            <w:shd w:fill="E3F2F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1565C0"/>
                <w:sz w:val="16"/>
                <w:szCs w:val="16"/>
              </w:rPr>
              <w:t xml:space="preserve">&gt;35% above P50</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BLUE (Conservative)</w:t>
            </w:r>
          </w:p>
        </w:tc>
        <w:tc>
          <w:tcPr>
            <w:tcW w:type="dxa" w:w="7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 is conservative. Review for gold-plating or over-staffing. May affect commercial competitiveness.</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Step 3 — Score Dimension 2: Phase Distribution</w:t>
      </w:r>
    </w:p>
    <w:p>
      <w:pPr>
        <w:spacing w:after="120" w:before="0"/>
        <w:jc w:val="left"/>
      </w:pPr>
      <w:r>
        <w:rPr>
          <w:rFonts w:ascii="Arial" w:cs="Arial" w:eastAsia="Arial" w:hAnsi="Arial"/>
          <w:b w:val="false"/>
          <w:bCs w:val="false"/>
          <w:i w:val="false"/>
          <w:iCs w:val="false"/>
          <w:color w:val="000000"/>
          <w:sz w:val="18"/>
          <w:szCs w:val="18"/>
        </w:rPr>
        <w:t xml:space="preserve">Extract phase % from the Effort Summary tab of the HL Estimator. Compare each phase against your calibrated Assumptions Section D splits (or the Calibration Benchmarks sheet Section B P50 column):</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Compute variance = Your Phase % − Calibrated Benchmark %  for each of the 10 phases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Count phases with variance &gt; ±10 percentage points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Flag the specific phases that are out of range and document the reason (intentional or estimation gap?)</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Common Phase Distribution Red Flags — Always Investigate These</w:t>
            </w:r>
          </w:p>
        </w:tc>
      </w:tr>
      <w:tr>
        <w:tc>
          <w:tcPr>
            <w:tcW w:type="dxa" w:w="10080"/>
            <w:shd w:fill="FDECEA"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Build phase &lt; 25%: consistently too low — config and CEMLI development takes 28–38% in execution</w:t>
            </w:r>
          </w:p>
          <w:p>
            <w:pPr>
              <w:spacing w:after="60"/>
              <w:ind w:left="120"/>
            </w:pPr>
            <w:r>
              <w:rPr>
                <w:rFonts w:ascii="Arial" w:cs="Arial" w:eastAsia="Arial" w:hAnsi="Arial"/>
                <w:b w:val="false"/>
                <w:bCs w:val="false"/>
                <w:i w:val="false"/>
                <w:iCs w:val="false"/>
                <w:color w:val="424242"/>
                <w:sz w:val="17"/>
                <w:szCs w:val="17"/>
              </w:rPr>
              <w:t xml:space="preserve">Data Migration &lt; 6%: likely under-scoped unless DM objects are genuinely few and source data quality has been confirmed clean</w:t>
            </w:r>
          </w:p>
          <w:p>
            <w:pPr>
              <w:spacing w:after="60"/>
              <w:ind w:left="120"/>
            </w:pPr>
            <w:r>
              <w:rPr>
                <w:rFonts w:ascii="Arial" w:cs="Arial" w:eastAsia="Arial" w:hAnsi="Arial"/>
                <w:b w:val="false"/>
                <w:bCs w:val="false"/>
                <w:i w:val="false"/>
                <w:iCs w:val="false"/>
                <w:color w:val="424242"/>
                <w:sz w:val="17"/>
                <w:szCs w:val="17"/>
              </w:rPr>
              <w:t xml:space="preserve">SIT + UAT combined &lt; 15%: integration-heavy programmes routinely need 18–25% for testing phases</w:t>
            </w:r>
          </w:p>
          <w:p>
            <w:pPr>
              <w:spacing w:after="60"/>
              <w:ind w:left="120"/>
            </w:pPr>
            <w:r>
              <w:rPr>
                <w:rFonts w:ascii="Arial" w:cs="Arial" w:eastAsia="Arial" w:hAnsi="Arial"/>
                <w:b w:val="false"/>
                <w:bCs w:val="false"/>
                <w:i w:val="false"/>
                <w:iCs w:val="false"/>
                <w:color w:val="424242"/>
                <w:sz w:val="17"/>
                <w:szCs w:val="17"/>
              </w:rPr>
              <w:t xml:space="preserve">Go-Live + Hypercare &lt; 4%: cutover complexity and post-go-live stabilisation are the most routinely under-resourced phases</w:t>
            </w:r>
          </w:p>
          <w:p>
            <w:pPr>
              <w:spacing w:after="60"/>
              <w:ind w:left="120"/>
            </w:pPr>
            <w:r>
              <w:rPr>
                <w:rFonts w:ascii="Arial" w:cs="Arial" w:eastAsia="Arial" w:hAnsi="Arial"/>
                <w:b w:val="false"/>
                <w:bCs w:val="false"/>
                <w:i w:val="false"/>
                <w:iCs w:val="false"/>
                <w:color w:val="424242"/>
                <w:sz w:val="17"/>
                <w:szCs w:val="17"/>
              </w:rPr>
              <w:t xml:space="preserve">Discover &gt; 18%: may indicate scope is not sufficiently defined — consider whether a paid discovery engagement is needed first</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Step 4 — Score Dimensions 3 &amp; 4: Stream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gridCol w:w="3000"/>
      </w:tblGrid>
      <w:tr>
        <w:trPr>
          <w:tblHeader/>
        </w:trPr>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Stream</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Coverage Formula</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Coverage Ratio</w:t>
            </w:r>
          </w:p>
        </w:tc>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Rating Logic</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(Simple)</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N_Simple × 6 × CX_Mult</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Your Est. Days ÷ Formula Days</w:t>
            </w:r>
          </w:p>
        </w:tc>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≥0.85 = G  |  0.65–0.85 = A  |  &lt;0.65 = R</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(Complex)</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N_Complex × 14 × CX_Mult</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Your Est. Days ÷ Formula Days</w:t>
            </w:r>
          </w:p>
        </w:tc>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≥0.85 = G  |  0.65–0.85 = A  |  &lt;0.65 = R</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Migration</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N_Objects × 4.5 × CX_Mult</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Your Est. Days ÷ Formula Days</w:t>
            </w:r>
          </w:p>
        </w:tc>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≥0.85 = G  |  0.65–0.85 = A  |  &lt;0.65 = R</w:t>
            </w:r>
          </w:p>
        </w:tc>
      </w:tr>
    </w:tbl>
    <w:p>
      <w:pPr>
        <w:spacing w:after="120" w:before="0"/>
        <w:jc w:val="left"/>
      </w:pPr>
      <w:r>
        <w:rPr>
          <w:rFonts w:ascii="Arial" w:cs="Arial" w:eastAsia="Arial" w:hAnsi="Arial"/>
          <w:b w:val="false"/>
          <w:bCs w:val="false"/>
          <w:i/>
          <w:iCs/>
          <w:color w:val="C74634"/>
          <w:sz w:val="17"/>
          <w:szCs w:val="17"/>
        </w:rPr>
        <w:t xml:space="preserve">A coverage ratio below 0.65 (RED) almost always indicates either an undiscovered scope item or a systematic under-estimation of this stream. Do not proceed without understanding and documenting why.</w:t>
      </w:r>
    </w:p>
    <w:p>
      <w:pPr>
        <w:spacing w:after="60"/>
      </w:pPr>
    </w:p>
    <w:p>
      <w:pPr>
        <w:pStyle w:val="Heading3"/>
        <w:spacing w:after="60" w:before="160"/>
      </w:pPr>
      <w:r>
        <w:rPr>
          <w:rFonts w:ascii="Arial" w:cs="Arial" w:eastAsia="Arial" w:hAnsi="Arial"/>
          <w:b/>
          <w:bCs/>
          <w:i w:val="false"/>
          <w:iCs w:val="false"/>
          <w:color w:val="1A237E"/>
          <w:sz w:val="19"/>
          <w:szCs w:val="19"/>
        </w:rPr>
        <w:t xml:space="preserve">Step 5 — Score Dimension 5: Contingency Adequacy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600"/>
        <w:gridCol w:w="2800"/>
      </w:tblGrid>
      <w:tr>
        <w:trPr>
          <w:tblHeader/>
        </w:trPr>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Complexity</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P25 Minimum</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P50 Base Estimate</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P75 Risk-Adjusted</w:t>
            </w:r>
          </w:p>
        </w:tc>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P90 Fixed-Price</w:t>
            </w:r>
          </w:p>
        </w:tc>
      </w:tr>
      <w:tr>
        <w:tc>
          <w:tcPr>
            <w:tcW w:type="dxa" w:w="2200"/>
            <w:shd w:fill="E8F5E9"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 — Low</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25%</w:t>
            </w:r>
          </w:p>
        </w:tc>
      </w:tr>
      <w:tr>
        <w:tc>
          <w:tcPr>
            <w:tcW w:type="dxa" w:w="2200"/>
            <w:shd w:fill="E3F2FD"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 — Medium</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25%</w:t>
            </w:r>
          </w:p>
        </w:tc>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r>
      <w:tr>
        <w:tc>
          <w:tcPr>
            <w:tcW w:type="dxa" w:w="22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 — High</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22%</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40%</w:t>
            </w:r>
          </w:p>
        </w:tc>
      </w:tr>
      <w:tr>
        <w:tc>
          <w:tcPr>
            <w:tcW w:type="dxa" w:w="2200"/>
            <w:shd w:fill="FDECEA"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VH — Very High</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25%</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40%</w:t>
            </w:r>
          </w:p>
        </w:tc>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w:t>
            </w:r>
          </w:p>
        </w:tc>
      </w:tr>
    </w:tbl>
    <w:p>
      <w:pPr>
        <w:spacing w:after="120" w:before="0"/>
        <w:jc w:val="left"/>
      </w:pPr>
      <w:r>
        <w:rPr>
          <w:rFonts w:ascii="Arial" w:cs="Arial" w:eastAsia="Arial" w:hAnsi="Arial"/>
          <w:b w:val="false"/>
          <w:bCs w:val="false"/>
          <w:i/>
          <w:iCs/>
          <w:color w:val="757575"/>
          <w:sz w:val="17"/>
          <w:szCs w:val="17"/>
        </w:rPr>
        <w:t xml:space="preserve">Compare Assumptions!C13 (contingency %) against P50 for standard proposals; P75 for fixed-price engagements; P90 for high-risk regulated programmes (BFSI, Healthcare, Public Sector).</w:t>
      </w:r>
    </w:p>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4.  Computing the Overall Benchmark Confidence Score</w:t>
      </w:r>
    </w:p>
    <w:p>
      <w:pPr>
        <w:pStyle w:val="Heading2"/>
        <w:spacing w:after="80" w:before="240"/>
      </w:pPr>
      <w:r>
        <w:rPr>
          <w:rFonts w:ascii="Arial" w:cs="Arial" w:eastAsia="Arial" w:hAnsi="Arial"/>
          <w:b/>
          <w:bCs/>
          <w:i w:val="false"/>
          <w:iCs w:val="false"/>
          <w:color w:val="C74634"/>
          <w:sz w:val="22"/>
          <w:szCs w:val="22"/>
        </w:rPr>
        <w:t xml:space="preserve">4.1  Weighted Scoring</w:t>
      </w:r>
    </w:p>
    <w:p>
      <w:pPr>
        <w:spacing w:after="120" w:before="0"/>
        <w:jc w:val="left"/>
      </w:pPr>
      <w:r>
        <w:rPr>
          <w:rFonts w:ascii="Arial" w:cs="Arial" w:eastAsia="Arial" w:hAnsi="Arial"/>
          <w:b w:val="false"/>
          <w:bCs w:val="false"/>
          <w:i w:val="false"/>
          <w:iCs w:val="false"/>
          <w:color w:val="000000"/>
          <w:sz w:val="18"/>
          <w:szCs w:val="18"/>
        </w:rPr>
        <w:t xml:space="preserve">Assign a numeric score to each dimension's RAG rating: Green = 3, Amber = 2, Red = 1. Blue (Conservative) scores the same as Green = 3. Multiply each by its weight and sum.</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800"/>
        <w:gridCol w:w="2000"/>
        <w:gridCol w:w="2600"/>
      </w:tblGrid>
      <w:tr>
        <w:trPr>
          <w:tblHeader/>
        </w:trPr>
        <w:tc>
          <w:tcPr>
            <w:tcW w:type="dxa" w:w="3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Dimension</w:t>
            </w:r>
          </w:p>
        </w:tc>
        <w:tc>
          <w:tcPr>
            <w:tcW w:type="dxa" w:w="1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Weight</w:t>
            </w:r>
          </w:p>
        </w:tc>
        <w:tc>
          <w:tcPr>
            <w:tcW w:type="dxa" w:w="1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Green Score</w:t>
            </w:r>
          </w:p>
        </w:tc>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Your Rating
(G/A/R)</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Weighted Score</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 Effort Density</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______</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=0.30 × score</w:t>
            </w:r>
          </w:p>
        </w:tc>
      </w:tr>
      <w:tr>
        <w:tc>
          <w:tcPr>
            <w:tcW w:type="dxa" w:w="3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 Phase Distribution</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______</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=0.20 × score</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 Integration Coverage</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______</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=0.20 × score</w:t>
            </w:r>
          </w:p>
        </w:tc>
      </w:tr>
      <w:tr>
        <w:tc>
          <w:tcPr>
            <w:tcW w:type="dxa" w:w="3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 Data Migration Coverage</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______</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=0.15 × score</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 Contingency Adequacy</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______</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=0.15 × score</w:t>
            </w:r>
          </w:p>
        </w:tc>
      </w:tr>
      <w:tr>
        <w:tc>
          <w:tcPr>
            <w:tcW w:type="dxa" w:w="3600"/>
            <w:shd w:fill="1A237E"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FFFFF"/>
                <w:sz w:val="16"/>
                <w:szCs w:val="16"/>
              </w:rPr>
              <w:t xml:space="preserve">TOTAL BCS</w:t>
            </w:r>
          </w:p>
        </w:tc>
        <w:tc>
          <w:tcPr>
            <w:tcW w:type="dxa" w:w="1200"/>
            <w:shd w:fill="1A237E"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FFFFF"/>
                <w:sz w:val="16"/>
                <w:szCs w:val="16"/>
              </w:rPr>
              <w:t xml:space="preserve">100%</w:t>
            </w:r>
          </w:p>
        </w:tc>
        <w:tc>
          <w:tcPr>
            <w:tcW w:type="dxa" w:w="1800"/>
            <w:shd w:fill="1A237E"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FFFFF"/>
                <w:sz w:val="16"/>
                <w:szCs w:val="16"/>
              </w:rPr>
              <w:t xml:space="preserve">Max = 3.0</w:t>
            </w:r>
          </w:p>
        </w:tc>
        <w:tc>
          <w:tcPr>
            <w:tcW w:type="dxa" w:w="2000"/>
            <w:shd w:fill="1A237E"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[object Object]</w:t>
            </w:r>
          </w:p>
        </w:tc>
        <w:tc>
          <w:tcPr>
            <w:tcW w:type="dxa" w:w="2600"/>
            <w:shd w:fill="1A237E"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FFFFF"/>
                <w:sz w:val="16"/>
                <w:szCs w:val="16"/>
              </w:rPr>
              <w:t xml:space="preserve">= Sum above</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4.2  BCS Interpretation &amp; Required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4600"/>
      </w:tblGrid>
      <w:tr>
        <w:trPr>
          <w:tblHeader/>
        </w:trPr>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BCS Range</w:t>
            </w:r>
          </w:p>
        </w:tc>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Overall Rating</w:t>
            </w:r>
          </w:p>
        </w:tc>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Historical Probability
of On-Budget Delivery</w:t>
            </w:r>
          </w:p>
        </w:tc>
        <w:tc>
          <w:tcPr>
            <w:tcW w:type="dxa" w:w="4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Required Action Before Submission</w:t>
            </w:r>
          </w:p>
        </w:tc>
      </w:tr>
      <w:tr>
        <w:tc>
          <w:tcPr>
            <w:tcW w:type="dxa" w:w="1600"/>
            <w:shd w:fill="E8F5E9"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2E7D32"/>
                <w:sz w:val="16"/>
                <w:szCs w:val="16"/>
              </w:rPr>
              <w:t xml:space="preserve">2.5 – 3.0</w:t>
            </w:r>
          </w:p>
        </w:tc>
        <w:tc>
          <w:tcPr>
            <w:tcW w:type="dxa" w:w="3000"/>
            <w:shd w:fill="E8F5E9"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GREEN — Benchmark-Aligned</w:t>
            </w:r>
          </w:p>
        </w:tc>
        <w:tc>
          <w:tcPr>
            <w:tcW w:type="dxa" w:w="2000"/>
            <w:shd w:fill="E8F5E9" w:color="auto" w:val="clear"/>
            <w:tcMar>
              <w:top w:type="dxa" w:w="50"/>
              <w:left w:type="dxa" w:w="80"/>
              <w:bottom w:type="dxa" w:w="50"/>
              <w:right w:type="dxa" w:w="80"/>
            </w:tcMar>
            <w:vAlign w:val="center"/>
          </w:tcPr>
          <w:p>
            <w:pPr>
              <w:spacing w:after="50" w:before="50"/>
              <w:jc w:val="center"/>
            </w:pPr>
            <w:r>
              <w:rPr>
                <w:rFonts w:ascii="Arial" w:cs="Arial" w:eastAsia="Arial" w:hAnsi="Arial"/>
                <w:b w:val="false"/>
                <w:bCs w:val="false"/>
                <w:i w:val="false"/>
                <w:iCs w:val="false"/>
                <w:color w:val="2E7D32"/>
                <w:sz w:val="16"/>
                <w:szCs w:val="16"/>
              </w:rPr>
              <w:t xml:space="preserve">&gt;65%</w:t>
            </w:r>
          </w:p>
        </w:tc>
        <w:tc>
          <w:tcPr>
            <w:tcW w:type="dxa" w:w="4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Proceed to submission. Document BCS score and comparator pool size in Estimation Assumptions &amp; Risks tab. Schedule BCS re-check at project 25% completion milestone.</w:t>
            </w:r>
          </w:p>
        </w:tc>
      </w:tr>
      <w:tr>
        <w:tc>
          <w:tcPr>
            <w:tcW w:type="dxa" w:w="1600"/>
            <w:shd w:fill="FFF3CD"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856404"/>
                <w:sz w:val="16"/>
                <w:szCs w:val="16"/>
              </w:rPr>
              <w:t xml:space="preserve">2.0 – 2.4</w:t>
            </w:r>
          </w:p>
        </w:tc>
        <w:tc>
          <w:tcPr>
            <w:tcW w:type="dxa" w:w="30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856404"/>
                <w:sz w:val="16"/>
                <w:szCs w:val="16"/>
              </w:rPr>
              <w:t xml:space="preserve">AMBER — Moderately Aligned</w:t>
            </w:r>
          </w:p>
        </w:tc>
        <w:tc>
          <w:tcPr>
            <w:tcW w:type="dxa" w:w="2000"/>
            <w:shd w:fill="FFF3CD" w:color="auto" w:val="clear"/>
            <w:tcMar>
              <w:top w:type="dxa" w:w="50"/>
              <w:left w:type="dxa" w:w="80"/>
              <w:bottom w:type="dxa" w:w="50"/>
              <w:right w:type="dxa" w:w="80"/>
            </w:tcMar>
            <w:vAlign w:val="center"/>
          </w:tcPr>
          <w:p>
            <w:pPr>
              <w:spacing w:after="50" w:before="50"/>
              <w:jc w:val="center"/>
            </w:pPr>
            <w:r>
              <w:rPr>
                <w:rFonts w:ascii="Arial" w:cs="Arial" w:eastAsia="Arial" w:hAnsi="Arial"/>
                <w:b w:val="false"/>
                <w:bCs w:val="false"/>
                <w:i w:val="false"/>
                <w:iCs w:val="false"/>
                <w:color w:val="856404"/>
                <w:sz w:val="16"/>
                <w:szCs w:val="16"/>
              </w:rPr>
              <w:t xml:space="preserve">40–65%</w:t>
            </w:r>
          </w:p>
        </w:tc>
        <w:tc>
          <w:tcPr>
            <w:tcW w:type="dxa" w:w="4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Mandatory peer review (Senior Estimator or Estimation CoE). Identify and document each Amber dimension root cause. Increase contingency by minimum 5pp. Re-score after review — must achieve BCS ≥ 2.5 before submission or accept with Delivery Director sign-off.</w:t>
            </w:r>
          </w:p>
        </w:tc>
      </w:tr>
      <w:tr>
        <w:tc>
          <w:tcPr>
            <w:tcW w:type="dxa" w:w="1600"/>
            <w:shd w:fill="FDECEA"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C74634"/>
                <w:sz w:val="16"/>
                <w:szCs w:val="16"/>
              </w:rPr>
              <w:t xml:space="preserve">1.5 – 1.9</w:t>
            </w:r>
          </w:p>
        </w:tc>
        <w:tc>
          <w:tcPr>
            <w:tcW w:type="dxa" w:w="3000"/>
            <w:shd w:fill="FDECEA"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RED — Benchmark Gap Identified</w:t>
            </w:r>
          </w:p>
        </w:tc>
        <w:tc>
          <w:tcPr>
            <w:tcW w:type="dxa" w:w="2000"/>
            <w:shd w:fill="FDECEA" w:color="auto" w:val="clear"/>
            <w:tcMar>
              <w:top w:type="dxa" w:w="50"/>
              <w:left w:type="dxa" w:w="80"/>
              <w:bottom w:type="dxa" w:w="50"/>
              <w:right w:type="dxa" w:w="80"/>
            </w:tcMar>
            <w:vAlign w:val="center"/>
          </w:tcPr>
          <w:p>
            <w:pPr>
              <w:spacing w:after="50" w:before="50"/>
              <w:jc w:val="center"/>
            </w:pPr>
            <w:r>
              <w:rPr>
                <w:rFonts w:ascii="Arial" w:cs="Arial" w:eastAsia="Arial" w:hAnsi="Arial"/>
                <w:b w:val="false"/>
                <w:bCs w:val="false"/>
                <w:i w:val="false"/>
                <w:iCs w:val="false"/>
                <w:color w:val="C74634"/>
                <w:sz w:val="16"/>
                <w:szCs w:val="16"/>
              </w:rPr>
              <w:t xml:space="preserve">25–40%</w:t>
            </w:r>
          </w:p>
        </w:tc>
        <w:tc>
          <w:tcPr>
            <w:tcW w:type="dxa" w:w="4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 review required. Cannot submit without Delivery Director sign-off. Produce a written root-cause for each Red dimension. Either re-estimate with corrected inputs or formally document and accept the risk with executive acknowledgement.</w:t>
            </w:r>
          </w:p>
        </w:tc>
      </w:tr>
      <w:tr>
        <w:tc>
          <w:tcPr>
            <w:tcW w:type="dxa" w:w="1600"/>
            <w:shd w:fill="FFCCCC"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8B0000"/>
                <w:sz w:val="16"/>
                <w:szCs w:val="16"/>
              </w:rPr>
              <w:t xml:space="preserve">&lt; 1.5</w:t>
            </w:r>
          </w:p>
        </w:tc>
        <w:tc>
          <w:tcPr>
            <w:tcW w:type="dxa" w:w="3000"/>
            <w:shd w:fill="FFCCCC"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8B0000"/>
                <w:sz w:val="16"/>
                <w:szCs w:val="16"/>
              </w:rPr>
              <w:t xml:space="preserve">CRITICAL — Major Benchmark Gap</w:t>
            </w:r>
          </w:p>
        </w:tc>
        <w:tc>
          <w:tcPr>
            <w:tcW w:type="dxa" w:w="2000"/>
            <w:shd w:fill="FFCCCC" w:color="auto" w:val="clear"/>
            <w:tcMar>
              <w:top w:type="dxa" w:w="50"/>
              <w:left w:type="dxa" w:w="80"/>
              <w:bottom w:type="dxa" w:w="50"/>
              <w:right w:type="dxa" w:w="80"/>
            </w:tcMar>
            <w:vAlign w:val="center"/>
          </w:tcPr>
          <w:p>
            <w:pPr>
              <w:spacing w:after="50" w:before="50"/>
              <w:jc w:val="center"/>
            </w:pPr>
            <w:r>
              <w:rPr>
                <w:rFonts w:ascii="Arial" w:cs="Arial" w:eastAsia="Arial" w:hAnsi="Arial"/>
                <w:b w:val="false"/>
                <w:bCs w:val="false"/>
                <w:i w:val="false"/>
                <w:iCs w:val="false"/>
                <w:color w:val="8B0000"/>
                <w:sz w:val="16"/>
                <w:szCs w:val="16"/>
              </w:rPr>
              <w:t xml:space="preserve">&lt;25%</w:t>
            </w:r>
          </w:p>
        </w:tc>
        <w:tc>
          <w:tcPr>
            <w:tcW w:type="dxa" w:w="4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 must not be submitted. Full re-estimation required. Escalate to Head of Delivery. Before re-estimating, convene a scoping workshop to confirm module count, integration inventory, data migration object catalogue, and CEMLI count — the most common source of critical gaps.</w:t>
            </w:r>
          </w:p>
        </w:tc>
      </w:tr>
    </w:tbl>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5.  Worked Example</w:t>
      </w:r>
    </w:p>
    <w:p>
      <w:pPr>
        <w:spacing w:after="120" w:before="0"/>
        <w:jc w:val="left"/>
      </w:pPr>
      <w:r>
        <w:rPr>
          <w:rFonts w:ascii="Arial" w:cs="Arial" w:eastAsia="Arial" w:hAnsi="Arial"/>
          <w:b w:val="false"/>
          <w:bCs w:val="false"/>
          <w:i w:val="false"/>
          <w:iCs w:val="false"/>
          <w:color w:val="000000"/>
          <w:sz w:val="18"/>
          <w:szCs w:val="18"/>
        </w:rPr>
        <w:t xml:space="preserve">Scenario: ERP Financials + HCM + SCM for a manufacturing client. High complexity. 3 legal entities. 20 simple integrations, 8 complex. 18 DM objects. 45 reports. 12 CEMLI. Duration: 18 months.</w:t>
      </w:r>
    </w:p>
    <w:p>
      <w:pPr>
        <w:spacing w:after="60"/>
      </w:pPr>
    </w:p>
    <w:p>
      <w:pPr>
        <w:pStyle w:val="Heading2"/>
        <w:spacing w:after="80" w:before="240"/>
      </w:pPr>
      <w:r>
        <w:rPr>
          <w:rFonts w:ascii="Arial" w:cs="Arial" w:eastAsia="Arial" w:hAnsi="Arial"/>
          <w:b/>
          <w:bCs/>
          <w:i w:val="false"/>
          <w:iCs w:val="false"/>
          <w:color w:val="C74634"/>
          <w:sz w:val="22"/>
          <w:szCs w:val="22"/>
        </w:rPr>
        <w:t xml:space="preserve">5.1  HL Estimator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200"/>
      </w:tblGrid>
      <w:tr>
        <w:trPr>
          <w:tblHeader/>
        </w:trPr>
        <w:tc>
          <w:tcPr>
            <w:tcW w:type="dxa" w:w="4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Stream</w:t>
            </w:r>
          </w:p>
        </w:tc>
        <w:tc>
          <w:tcPr>
            <w:tcW w:type="dxa" w:w="2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Estimate (days)</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 of Total</w:t>
            </w:r>
          </w:p>
        </w:tc>
      </w:tr>
      <w:tr>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Configuration &amp; Setup</w:t>
            </w:r>
          </w:p>
        </w:tc>
        <w:tc>
          <w:tcPr>
            <w:tcW w:type="dxa" w:w="2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480</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r>
      <w:tr>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(Simple + Complex)</w:t>
            </w:r>
          </w:p>
        </w:tc>
        <w:tc>
          <w:tcPr>
            <w:tcW w:type="dxa" w:w="2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220</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14%</w:t>
            </w:r>
          </w:p>
        </w:tc>
      </w:tr>
      <w:tr>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Migration</w:t>
            </w:r>
          </w:p>
        </w:tc>
        <w:tc>
          <w:tcPr>
            <w:tcW w:type="dxa" w:w="2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95</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6%</w:t>
            </w:r>
          </w:p>
        </w:tc>
      </w:tr>
      <w:tr>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Reporting &amp; Analytics</w:t>
            </w:r>
          </w:p>
        </w:tc>
        <w:tc>
          <w:tcPr>
            <w:tcW w:type="dxa" w:w="2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130</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8%</w:t>
            </w:r>
          </w:p>
        </w:tc>
      </w:tr>
      <w:tr>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Testing (SIT + UAT)</w:t>
            </w:r>
          </w:p>
        </w:tc>
        <w:tc>
          <w:tcPr>
            <w:tcW w:type="dxa" w:w="2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240</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r>
      <w:tr>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OCM &amp; Training</w:t>
            </w:r>
          </w:p>
        </w:tc>
        <w:tc>
          <w:tcPr>
            <w:tcW w:type="dxa" w:w="2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95</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6%</w:t>
            </w:r>
          </w:p>
        </w:tc>
      </w:tr>
      <w:tr>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Programme Management</w:t>
            </w:r>
          </w:p>
        </w:tc>
        <w:tc>
          <w:tcPr>
            <w:tcW w:type="dxa" w:w="2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200</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13%</w:t>
            </w:r>
          </w:p>
        </w:tc>
      </w:tr>
      <w:tr>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Contingency (15%)</w:t>
            </w:r>
          </w:p>
        </w:tc>
        <w:tc>
          <w:tcPr>
            <w:tcW w:type="dxa" w:w="2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219</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t>
            </w:r>
          </w:p>
        </w:tc>
      </w:tr>
      <w:tr>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TOTAL</w:t>
            </w:r>
          </w:p>
        </w:tc>
        <w:tc>
          <w:tcPr>
            <w:tcW w:type="dxa" w:w="2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1,679 days</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100%</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5.2  Benchmark Scoring</w:t>
      </w:r>
    </w:p>
    <w:p>
      <w:pPr>
        <w:pStyle w:val="Heading3"/>
        <w:spacing w:after="60" w:before="160"/>
      </w:pPr>
      <w:r>
        <w:rPr>
          <w:rFonts w:ascii="Arial" w:cs="Arial" w:eastAsia="Arial" w:hAnsi="Arial"/>
          <w:b/>
          <w:bCs/>
          <w:i w:val="false"/>
          <w:iCs w:val="false"/>
          <w:color w:val="1A237E"/>
          <w:sz w:val="19"/>
          <w:szCs w:val="19"/>
        </w:rPr>
        <w:t xml:space="preserve">Step 1: Comparator Pool</w:t>
      </w:r>
    </w:p>
    <w:p>
      <w:pPr>
        <w:spacing w:after="120" w:before="0"/>
        <w:jc w:val="left"/>
      </w:pPr>
      <w:r>
        <w:rPr>
          <w:rFonts w:ascii="Arial" w:cs="Arial" w:eastAsia="Arial" w:hAnsi="Arial"/>
          <w:b w:val="false"/>
          <w:bCs w:val="false"/>
          <w:i w:val="false"/>
          <w:iCs w:val="false"/>
          <w:color w:val="000000"/>
          <w:sz w:val="18"/>
          <w:szCs w:val="18"/>
        </w:rPr>
        <w:t xml:space="preserve">Filtered execution dataset: H complexity, 3+ modules including ERP+HCM, manufacturing industry → 38 matching projects. Median actual = 2,050 days. P75 = 2,420 days.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2200"/>
        <w:gridCol w:w="1200"/>
        <w:gridCol w:w="1400"/>
        <w:gridCol w:w="2400"/>
      </w:tblGrid>
      <w:tr>
        <w:trPr>
          <w:tblHeader/>
        </w:trPr>
        <w:tc>
          <w:tcPr>
            <w:tcW w:type="dxa" w:w="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Dimension</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Your Metric</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Comparator P50</w:t>
            </w:r>
          </w:p>
        </w:tc>
        <w:tc>
          <w:tcPr>
            <w:tcW w:type="dxa" w:w="1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Variance</w:t>
            </w:r>
          </w:p>
        </w:tc>
        <w:tc>
          <w:tcPr>
            <w:tcW w:type="dxa" w:w="1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Rating</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Root Cause</w:t>
            </w:r>
          </w:p>
        </w:tc>
      </w:tr>
      <w:tr>
        <w:tc>
          <w:tcPr>
            <w:tcW w:type="dxa" w:w="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Effort Density</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1,679 ÷ (3×18) = 31.1 days/mod-month</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38.1 days/mod-month</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C74634"/>
                <w:sz w:val="16"/>
                <w:szCs w:val="16"/>
              </w:rPr>
              <w:t xml:space="preserve">−18.4%</w:t>
            </w:r>
          </w:p>
        </w:tc>
        <w:tc>
          <w:tcPr>
            <w:tcW w:type="dxa" w:w="1400"/>
            <w:shd w:fill="FFF3CD"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856404"/>
                <w:sz w:val="16"/>
                <w:szCs w:val="16"/>
              </w:rPr>
              <w:t xml:space="preserve">AMBER</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 lean — likely underweights PM overhead and travel</w:t>
            </w:r>
          </w:p>
        </w:tc>
      </w:tr>
      <w:tr>
        <w:tc>
          <w:tcPr>
            <w:tcW w:type="dxa" w:w="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 Distribution</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Build=30% DM=6%</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Build=32% DM=10%</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C74634"/>
                <w:sz w:val="16"/>
                <w:szCs w:val="16"/>
              </w:rPr>
              <w:t xml:space="preserve">DM −4pp</w:t>
            </w:r>
          </w:p>
        </w:tc>
        <w:tc>
          <w:tcPr>
            <w:tcW w:type="dxa" w:w="1400"/>
            <w:shd w:fill="FFF3CD"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856404"/>
                <w:sz w:val="16"/>
                <w:szCs w:val="16"/>
              </w:rPr>
              <w:t xml:space="preserve">AMBER</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migration phase likely under-scoped; source data quality unknown</w:t>
            </w:r>
          </w:p>
        </w:tc>
      </w:tr>
      <w:tr>
        <w:tc>
          <w:tcPr>
            <w:tcW w:type="dxa" w:w="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Coverage</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220 days</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(20×6+8×14)×1.4 = 325 days</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−32%</w:t>
            </w:r>
          </w:p>
        </w:tc>
        <w:tc>
          <w:tcPr>
            <w:tcW w:type="dxa" w:w="1400"/>
            <w:shd w:fill="FDECEA"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C74634"/>
                <w:sz w:val="16"/>
                <w:szCs w:val="16"/>
              </w:rPr>
              <w:t xml:space="preserve">RED</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significantly below formula — interface scope review needed urgently</w:t>
            </w:r>
          </w:p>
        </w:tc>
      </w:tr>
      <w:tr>
        <w:tc>
          <w:tcPr>
            <w:tcW w:type="dxa" w:w="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DM Coverage</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95 days</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18×4.5×1.4 = 113 days</w:t>
            </w:r>
          </w:p>
        </w:tc>
        <w:tc>
          <w:tcPr>
            <w:tcW w:type="dxa" w:w="1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757575"/>
                <w:sz w:val="16"/>
                <w:szCs w:val="16"/>
              </w:rPr>
              <w:t xml:space="preserve">−16%</w:t>
            </w:r>
          </w:p>
        </w:tc>
        <w:tc>
          <w:tcPr>
            <w:tcW w:type="dxa" w:w="1400"/>
            <w:shd w:fill="E8F5E9"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2E7D32"/>
                <w:sz w:val="16"/>
                <w:szCs w:val="16"/>
              </w:rPr>
              <w:t xml:space="preserve">GREEN</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Within acceptable range (coverage ratio = 0.84)</w:t>
            </w:r>
          </w:p>
        </w:tc>
      </w:tr>
      <w:tr>
        <w:tc>
          <w:tcPr>
            <w:tcW w:type="dxa" w:w="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Contingency</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 complexity P50 = 22%</w:t>
            </w:r>
          </w:p>
        </w:tc>
        <w:tc>
          <w:tcPr>
            <w:tcW w:type="dxa" w:w="1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C74634"/>
                <w:sz w:val="16"/>
                <w:szCs w:val="16"/>
              </w:rPr>
              <w:t xml:space="preserve">−7pp</w:t>
            </w:r>
          </w:p>
        </w:tc>
        <w:tc>
          <w:tcPr>
            <w:tcW w:type="dxa" w:w="1400"/>
            <w:shd w:fill="FFF3CD" w:color="auto" w:val="clear"/>
            <w:tcMar>
              <w:top w:type="dxa" w:w="50"/>
              <w:left w:type="dxa" w:w="80"/>
              <w:bottom w:type="dxa" w:w="50"/>
              <w:right w:type="dxa" w:w="80"/>
            </w:tcMar>
            <w:vAlign w:val="center"/>
          </w:tcPr>
          <w:p>
            <w:pPr>
              <w:spacing w:after="50" w:before="50"/>
              <w:jc w:val="center"/>
            </w:pPr>
            <w:r>
              <w:rPr>
                <w:rFonts w:ascii="Arial" w:cs="Arial" w:eastAsia="Arial" w:hAnsi="Arial"/>
                <w:b/>
                <w:bCs/>
                <w:i w:val="false"/>
                <w:iCs w:val="false"/>
                <w:color w:val="856404"/>
                <w:sz w:val="16"/>
                <w:szCs w:val="16"/>
              </w:rPr>
              <w:t xml:space="preserve">AMBER</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Below P50 minimum for High complexity — increase to 22% minimum</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BCS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400"/>
        <w:gridCol w:w="3800"/>
      </w:tblGrid>
      <w:tr>
        <w:trPr>
          <w:tblHeader/>
        </w:trPr>
        <w:tc>
          <w:tcPr>
            <w:tcW w:type="dxa" w:w="3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Dimension</w:t>
            </w:r>
          </w:p>
        </w:tc>
        <w:tc>
          <w:tcPr>
            <w:tcW w:type="dxa" w:w="1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Weight</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Score (G=3,A=2,R=1)</w:t>
            </w:r>
          </w:p>
        </w:tc>
        <w:tc>
          <w:tcPr>
            <w:tcW w:type="dxa" w:w="3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Weighted Score</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 Effort Density</w:t>
            </w:r>
          </w:p>
        </w:tc>
        <w:tc>
          <w:tcPr>
            <w:tcW w:type="dxa" w:w="1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30%</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 (Amber)</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0.60</w:t>
            </w:r>
          </w:p>
        </w:tc>
      </w:tr>
      <w:tr>
        <w:tc>
          <w:tcPr>
            <w:tcW w:type="dxa" w:w="3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 Phase Distribution</w:t>
            </w:r>
          </w:p>
        </w:tc>
        <w:tc>
          <w:tcPr>
            <w:tcW w:type="dxa" w:w="1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 (Amber)</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0.40</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 Integration Coverage</w:t>
            </w:r>
          </w:p>
        </w:tc>
        <w:tc>
          <w:tcPr>
            <w:tcW w:type="dxa" w:w="1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 (Red)</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0.20</w:t>
            </w:r>
          </w:p>
        </w:tc>
      </w:tr>
      <w:tr>
        <w:tc>
          <w:tcPr>
            <w:tcW w:type="dxa" w:w="3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 Data Migration</w:t>
            </w:r>
          </w:p>
        </w:tc>
        <w:tc>
          <w:tcPr>
            <w:tcW w:type="dxa" w:w="1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 (Green)</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0.45</w:t>
            </w:r>
          </w:p>
        </w:tc>
      </w:tr>
      <w:tr>
        <w:tc>
          <w:tcPr>
            <w:tcW w:type="dxa" w:w="3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 Contingency</w:t>
            </w:r>
          </w:p>
        </w:tc>
        <w:tc>
          <w:tcPr>
            <w:tcW w:type="dxa" w:w="1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15%</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 (Amber)</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0.30</w:t>
            </w:r>
          </w:p>
        </w:tc>
      </w:tr>
      <w:tr>
        <w:tc>
          <w:tcPr>
            <w:tcW w:type="dxa" w:w="3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TOTAL BCS</w:t>
            </w:r>
          </w:p>
        </w:tc>
        <w:tc>
          <w:tcPr>
            <w:tcW w:type="dxa" w:w="1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100%</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5A623"/>
                <w:sz w:val="16"/>
                <w:szCs w:val="16"/>
              </w:rPr>
              <w:t xml:space="preserve">1.95 → AMBER</w:t>
            </w:r>
          </w:p>
        </w:tc>
      </w:tr>
    </w:tbl>
    <w:p>
      <w:pPr>
        <w:spacing w:after="60"/>
      </w:pPr>
    </w:p>
    <w:p>
      <w:pPr>
        <w:pStyle w:val="Heading3"/>
        <w:spacing w:after="60" w:before="160"/>
      </w:pPr>
      <w:r>
        <w:rPr>
          <w:rFonts w:ascii="Arial" w:cs="Arial" w:eastAsia="Arial" w:hAnsi="Arial"/>
          <w:b/>
          <w:bCs/>
          <w:i w:val="false"/>
          <w:iCs w:val="false"/>
          <w:color w:val="1A237E"/>
          <w:sz w:val="19"/>
          <w:szCs w:val="19"/>
        </w:rPr>
        <w:t xml:space="preserve">Required Actions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Integration effort MUST be reviewed: estimate (220 days) is 32% below formula benchmark (325 days). Most likely cause: interface complexity was not assessed during estimation. Book integration discovery workshop before finalising estimate.</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Increase contingency from 15% to 22% (H complexity P50 minimum per calibration factors).</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Re-scope DM days once source data quality has been assessed — current allocation (95 days) is within range but carries no buffer for poor data quality. Profile the data before committing.</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Submit for peer review with Estimation CoE. Re-score after revisions. Target BCS ≥ 2.5 (Green) before submission.</w:t>
      </w:r>
    </w:p>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6.  Governance, Refresh Cadence &amp; Roles</w:t>
      </w:r>
    </w:p>
    <w:p>
      <w:pPr>
        <w:pStyle w:val="Heading2"/>
        <w:spacing w:after="80" w:before="240"/>
      </w:pPr>
      <w:r>
        <w:rPr>
          <w:rFonts w:ascii="Arial" w:cs="Arial" w:eastAsia="Arial" w:hAnsi="Arial"/>
          <w:b/>
          <w:bCs/>
          <w:i w:val="false"/>
          <w:iCs w:val="false"/>
          <w:color w:val="C74634"/>
          <w:sz w:val="22"/>
          <w:szCs w:val="22"/>
        </w:rPr>
        <w:t xml:space="preserve">6.1  Calibration &amp; Scoring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1800"/>
        <w:gridCol w:w="18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Activity</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Trigger</w:t>
            </w:r>
          </w:p>
        </w:tc>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Owner</w:t>
            </w:r>
          </w:p>
        </w:tc>
        <w:tc>
          <w:tcPr>
            <w:tcW w:type="dxa" w:w="1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Approver</w:t>
            </w:r>
          </w:p>
        </w:tc>
        <w:tc>
          <w:tcPr>
            <w:tcW w:type="dxa" w:w="1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Frequency</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L1 Unit Effort Calibration</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≥20 new component actuals</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Lead</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Quarterly</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L2 Multiplier Calibration</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 new project completions</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Delivery</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Bi-annual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L3 Phase Split Calibration</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Delivery model change / annual cycle</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Delivery</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Annual</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BCS Scoring</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Every estimate before submission</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Delivery Lead</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Solution Architect</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Per engagement</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Dataset Refresh</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close</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PMO / Delivery Lead</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t>
            </w:r>
          </w:p>
        </w:tc>
        <w:tc>
          <w:tcPr>
            <w:tcW w:type="dxa" w:w="1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Per project</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Full Dataset Audit</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Annual</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Estimation</w:t>
            </w:r>
          </w:p>
        </w:tc>
        <w:tc>
          <w:tcPr>
            <w:tcW w:type="dxa" w:w="1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Annual</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6.2  Adding a New Project to the Dataset</w:t>
      </w:r>
    </w:p>
    <w:p>
      <w:pPr>
        <w:spacing w:after="120" w:before="0"/>
        <w:jc w:val="left"/>
      </w:pPr>
      <w:r>
        <w:rPr>
          <w:rFonts w:ascii="Arial" w:cs="Arial" w:eastAsia="Arial" w:hAnsi="Arial"/>
          <w:b w:val="false"/>
          <w:bCs w:val="false"/>
          <w:i w:val="false"/>
          <w:iCs w:val="false"/>
          <w:color w:val="000000"/>
          <w:sz w:val="18"/>
          <w:szCs w:val="18"/>
        </w:rPr>
        <w:t xml:space="preserve">At project close the Delivery Lead submits the following actuals to the PMO:</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Final actual effort by SDLC phase (days charged, not planned)</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Actual counts: modules, entities, integrations (simple/complex), DM objects, reports, CEMLI</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Phase-wise deviation reason (select from standard library or add new)</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Project health classification (Smooth / Normal / Troubled / Critical)</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SI firm, industry, and go-live date</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Data Quality Rules for Dataset Inclusion</w:t>
            </w:r>
          </w:p>
        </w:tc>
      </w:tr>
      <w:tr>
        <w:tc>
          <w:tcPr>
            <w:tcW w:type="dxa" w:w="10080"/>
            <w:shd w:fill="FFF3CD"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Rule 1: Only projects where all 10 SDLC phase actuals are available may be added. Projects with blended T&amp;M charges (no phase breakdown) are excluded until reconstructed from timesheets.</w:t>
            </w:r>
          </w:p>
          <w:p>
            <w:pPr>
              <w:spacing w:after="60"/>
              <w:ind w:left="120"/>
            </w:pPr>
            <w:r>
              <w:rPr>
                <w:rFonts w:ascii="Arial" w:cs="Arial" w:eastAsia="Arial" w:hAnsi="Arial"/>
                <w:b w:val="false"/>
                <w:bCs w:val="false"/>
                <w:i w:val="false"/>
                <w:iCs w:val="false"/>
                <w:color w:val="424242"/>
                <w:sz w:val="17"/>
                <w:szCs w:val="17"/>
              </w:rPr>
              <w:t xml:space="preserve">Rule 2: Phase actuals must sum to within 5% of total project effort. Outliers require explanation.</w:t>
            </w:r>
          </w:p>
          <w:p>
            <w:pPr>
              <w:spacing w:after="60"/>
              <w:ind w:left="120"/>
            </w:pPr>
            <w:r>
              <w:rPr>
                <w:rFonts w:ascii="Arial" w:cs="Arial" w:eastAsia="Arial" w:hAnsi="Arial"/>
                <w:b w:val="false"/>
                <w:bCs w:val="false"/>
                <w:i w:val="false"/>
                <w:iCs w:val="false"/>
                <w:color w:val="424242"/>
                <w:sz w:val="17"/>
                <w:szCs w:val="17"/>
              </w:rPr>
              <w:t xml:space="preserve">Rule 3: Minimum dataset size for statistically reliable calibration is N=200 projects. Below this, weight internal data at 30% and published benchmarks at 70%.</w:t>
            </w:r>
          </w:p>
          <w:p>
            <w:pPr>
              <w:spacing w:after="60"/>
              <w:ind w:left="120"/>
            </w:pPr>
            <w:r>
              <w:rPr>
                <w:rFonts w:ascii="Arial" w:cs="Arial" w:eastAsia="Arial" w:hAnsi="Arial"/>
                <w:b w:val="false"/>
                <w:bCs w:val="false"/>
                <w:i w:val="false"/>
                <w:iCs w:val="false"/>
                <w:color w:val="424242"/>
                <w:sz w:val="17"/>
                <w:szCs w:val="17"/>
              </w:rPr>
              <w:t xml:space="preserve">Rule 4: Projects with abnormal external events (global pandemic, client acquisition mid-project) should be tagged and excluded from core calibration but retained for scenario analysis.</w:t>
            </w:r>
          </w:p>
        </w:tc>
      </w:tr>
    </w:tbl>
    <w:p>
      <w:pPr>
        <w:spacing w:after="60"/>
      </w:pPr>
    </w:p>
    <w:p>
      <w:pPr>
        <w:spacing w:after="60"/>
      </w:pPr>
    </w:p>
    <w:p>
      <w:pPr>
        <w:pStyle w:val="Heading2"/>
        <w:spacing w:after="80" w:before="240"/>
      </w:pPr>
      <w:r>
        <w:rPr>
          <w:rFonts w:ascii="Arial" w:cs="Arial" w:eastAsia="Arial" w:hAnsi="Arial"/>
          <w:b/>
          <w:bCs/>
          <w:i w:val="false"/>
          <w:iCs w:val="false"/>
          <w:color w:val="C74634"/>
          <w:sz w:val="22"/>
          <w:szCs w:val="22"/>
        </w:rPr>
        <w:t xml:space="preserve">6.3  Escalation Path for Red/Critical BCS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gridCol w:w="2600"/>
      </w:tblGrid>
      <w:tr>
        <w:trPr>
          <w:tblHeader/>
        </w:trPr>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BCS Rating</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First Reviewer</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Escalation if Unresolved</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Max Turnaround</w:t>
            </w:r>
          </w:p>
        </w:tc>
      </w:tr>
      <w:tr>
        <w:tc>
          <w:tcPr>
            <w:tcW w:type="dxa" w:w="2200"/>
            <w:shd w:fill="E8F5E9"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GREEN</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 required</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Same day</w:t>
            </w:r>
          </w:p>
        </w:tc>
      </w:tr>
      <w:tr>
        <w:tc>
          <w:tcPr>
            <w:tcW w:type="dxa" w:w="22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856404"/>
                <w:sz w:val="16"/>
                <w:szCs w:val="16"/>
              </w:rPr>
              <w:t xml:space="preserve">AMBER</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Senior Estimator / Estimation CoE</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Delivery Director</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48 hours</w:t>
            </w:r>
          </w:p>
        </w:tc>
      </w:tr>
      <w:tr>
        <w:tc>
          <w:tcPr>
            <w:tcW w:type="dxa" w:w="2200"/>
            <w:shd w:fill="FDECEA"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RED</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 + Delivery Director</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Delivery</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72 hours</w:t>
            </w:r>
          </w:p>
        </w:tc>
      </w:tr>
      <w:tr>
        <w:tc>
          <w:tcPr>
            <w:tcW w:type="dxa" w:w="2200"/>
            <w:shd w:fill="FFCCCC"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8B0000"/>
                <w:sz w:val="16"/>
                <w:szCs w:val="16"/>
              </w:rPr>
              <w:t xml:space="preserve">CRITICAL (&lt;1.5)</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Head of Delivery</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CEO/COO (strategic bids)</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 business days</w:t>
            </w:r>
          </w:p>
        </w:tc>
      </w:tr>
    </w:tbl>
    <w:p>
      <w:pPr>
        <w:spacing w:after="60"/>
      </w:pPr>
    </w:p>
    <w:p>
      <w:pPr>
        <w:spacing w:after="60"/>
      </w:pPr>
    </w:p>
    <w:p>
      <w:r>
        <w:br w:type="page"/>
      </w:r>
    </w:p>
    <w:p>
      <w:pPr>
        <w:pStyle w:val="Heading1"/>
        <w:pBdr>
          <w:bottom w:val="single" w:color="C74634" w:sz="6"/>
        </w:pBdr>
        <w:spacing w:after="120" w:before="300"/>
      </w:pPr>
      <w:r>
        <w:rPr>
          <w:rFonts w:ascii="Arial" w:cs="Arial" w:eastAsia="Arial" w:hAnsi="Arial"/>
          <w:b/>
          <w:bCs/>
          <w:i w:val="false"/>
          <w:iCs w:val="false"/>
          <w:color w:val="8B0000"/>
          <w:sz w:val="26"/>
          <w:szCs w:val="26"/>
        </w:rPr>
        <w:t xml:space="preserve">7.  Quick Reference Card</w:t>
      </w:r>
    </w:p>
    <w:p>
      <w:pPr>
        <w:spacing w:after="120" w:before="0"/>
        <w:jc w:val="left"/>
      </w:pPr>
      <w:r>
        <w:rPr>
          <w:rFonts w:ascii="Arial" w:cs="Arial" w:eastAsia="Arial" w:hAnsi="Arial"/>
          <w:b w:val="false"/>
          <w:bCs w:val="false"/>
          <w:i w:val="false"/>
          <w:iCs w:val="false"/>
          <w:color w:val="000000"/>
          <w:sz w:val="18"/>
          <w:szCs w:val="18"/>
        </w:rPr>
        <w:t xml:space="preserve">Tear-out reference for daily use.</w:t>
      </w:r>
    </w:p>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CALIBRATION — Do This Quarterly</w:t>
            </w:r>
          </w:p>
        </w:tc>
      </w:tr>
      <w:tr>
        <w:tc>
          <w:tcPr>
            <w:tcW w:type="dxa" w:w="10080"/>
            <w:shd w:fill="E3F2FD"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1. Export component actuals for completed projects → compute P50 per component → update Module Estimator col F</w:t>
            </w:r>
          </w:p>
          <w:p>
            <w:pPr>
              <w:spacing w:after="60"/>
              <w:ind w:left="120"/>
            </w:pPr>
            <w:r>
              <w:rPr>
                <w:rFonts w:ascii="Arial" w:cs="Arial" w:eastAsia="Arial" w:hAnsi="Arial"/>
                <w:b w:val="false"/>
                <w:bCs w:val="false"/>
                <w:i w:val="false"/>
                <w:iCs w:val="false"/>
                <w:color w:val="424242"/>
                <w:sz w:val="17"/>
                <w:szCs w:val="17"/>
              </w:rPr>
              <w:t xml:space="preserve">2. Compute actual/benchmark ratio by complexity code → update Assumptions Section C multipliers if ratio deviates &gt;15% from current value</w:t>
            </w:r>
          </w:p>
          <w:p>
            <w:pPr>
              <w:spacing w:after="60"/>
              <w:ind w:left="120"/>
            </w:pPr>
            <w:r>
              <w:rPr>
                <w:rFonts w:ascii="Arial" w:cs="Arial" w:eastAsia="Arial" w:hAnsi="Arial"/>
                <w:b w:val="false"/>
                <w:bCs w:val="false"/>
                <w:i w:val="false"/>
                <w:iCs w:val="false"/>
                <w:color w:val="424242"/>
                <w:sz w:val="17"/>
                <w:szCs w:val="17"/>
              </w:rPr>
              <w:t xml:space="preserve">3. Compute actual phase % distribution → update Assumptions Section D if any phase deviates &gt;5pp from current split</w:t>
            </w:r>
          </w:p>
          <w:p>
            <w:pPr>
              <w:spacing w:after="60"/>
              <w:ind w:left="120"/>
            </w:pPr>
            <w:r>
              <w:rPr>
                <w:rFonts w:ascii="Arial" w:cs="Arial" w:eastAsia="Arial" w:hAnsi="Arial"/>
                <w:b w:val="false"/>
                <w:bCs w:val="false"/>
                <w:i w:val="false"/>
                <w:iCs w:val="false"/>
                <w:color w:val="424242"/>
                <w:sz w:val="17"/>
                <w:szCs w:val="17"/>
              </w:rPr>
              <w:t xml:space="preserve">4. Sanity check: run 3 recent projects through the updated estimator → verify actuals fall within P25–P75 of updated output</w:t>
            </w:r>
          </w:p>
        </w:tc>
      </w:tr>
    </w:tbl>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ESTIMATE SCORING — Do This for Every Proposal (BCS Checklist)</w:t>
            </w:r>
          </w:p>
        </w:tc>
      </w:tr>
      <w:tr>
        <w:tc>
          <w:tcPr>
            <w:tcW w:type="dxa" w:w="10080"/>
            <w:shd w:fill="E8F5E9"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D1 (30%): Effort density vs comparator P50   →  G: ±15%  |  A: 15–35% below  |  R: &gt;35% below</w:t>
            </w:r>
          </w:p>
          <w:p>
            <w:pPr>
              <w:spacing w:after="60"/>
              <w:ind w:left="120"/>
            </w:pPr>
            <w:r>
              <w:rPr>
                <w:rFonts w:ascii="Arial" w:cs="Arial" w:eastAsia="Arial" w:hAnsi="Arial"/>
                <w:b w:val="false"/>
                <w:bCs w:val="false"/>
                <w:i w:val="false"/>
                <w:iCs w:val="false"/>
                <w:color w:val="424242"/>
                <w:sz w:val="17"/>
                <w:szCs w:val="17"/>
              </w:rPr>
              <w:t xml:space="preserve">D2 (20%): Phase % vs calibrated splits          →  G: all within ±5pp  |  A: 1–2 phases &gt;10pp  |  R: &gt;2 phases &gt;10pp</w:t>
            </w:r>
          </w:p>
          <w:p>
            <w:pPr>
              <w:spacing w:after="60"/>
              <w:ind w:left="120"/>
            </w:pPr>
            <w:r>
              <w:rPr>
                <w:rFonts w:ascii="Arial" w:cs="Arial" w:eastAsia="Arial" w:hAnsi="Arial"/>
                <w:b w:val="false"/>
                <w:bCs w:val="false"/>
                <w:i w:val="false"/>
                <w:iCs w:val="false"/>
                <w:color w:val="424242"/>
                <w:sz w:val="17"/>
                <w:szCs w:val="17"/>
              </w:rPr>
              <w:t xml:space="preserve">D3 (20%): Integration days vs formula            →  G: ≥85% coverage  |  A: 65–85%  |  R: &lt;65%</w:t>
            </w:r>
          </w:p>
          <w:p>
            <w:pPr>
              <w:spacing w:after="60"/>
              <w:ind w:left="120"/>
            </w:pPr>
            <w:r>
              <w:rPr>
                <w:rFonts w:ascii="Arial" w:cs="Arial" w:eastAsia="Arial" w:hAnsi="Arial"/>
                <w:b w:val="false"/>
                <w:bCs w:val="false"/>
                <w:i w:val="false"/>
                <w:iCs w:val="false"/>
                <w:color w:val="424242"/>
                <w:sz w:val="17"/>
                <w:szCs w:val="17"/>
              </w:rPr>
              <w:t xml:space="preserve">D4 (15%): Data migration days vs formula         →  G: ≥85% coverage  |  A: 65–85%  |  R: &lt;65%</w:t>
            </w:r>
          </w:p>
          <w:p>
            <w:pPr>
              <w:spacing w:after="60"/>
              <w:ind w:left="120"/>
            </w:pPr>
            <w:r>
              <w:rPr>
                <w:rFonts w:ascii="Arial" w:cs="Arial" w:eastAsia="Arial" w:hAnsi="Arial"/>
                <w:b w:val="false"/>
                <w:bCs w:val="false"/>
                <w:i w:val="false"/>
                <w:iCs w:val="false"/>
                <w:color w:val="424242"/>
                <w:sz w:val="17"/>
                <w:szCs w:val="17"/>
              </w:rPr>
              <w:t xml:space="preserve">D5 (15%): Contingency % vs complexity P50      →  G: ≥P50  |  A: P25–P50  |  R: &lt;P25</w:t>
            </w:r>
          </w:p>
          <w:p>
            <w:pPr>
              <w:spacing w:after="60"/>
              <w:ind w:left="120"/>
            </w:pPr>
            <w:r>
              <w:rPr>
                <w:rFonts w:ascii="Arial" w:cs="Arial" w:eastAsia="Arial" w:hAnsi="Arial"/>
                <w:b w:val="false"/>
                <w:bCs w:val="false"/>
                <w:i w:val="false"/>
                <w:iCs w:val="false"/>
                <w:color w:val="424242"/>
                <w:sz w:val="17"/>
                <w:szCs w:val="17"/>
              </w:rPr>
              <w:t xml:space="preserve">━━━━━━━━━━━━━━━━━━━━━━━━━━━━━━━━━━━━━━━━━━━</w:t>
            </w:r>
          </w:p>
          <w:p>
            <w:pPr>
              <w:spacing w:after="60"/>
              <w:ind w:left="120"/>
            </w:pPr>
            <w:r>
              <w:rPr>
                <w:rFonts w:ascii="Arial" w:cs="Arial" w:eastAsia="Arial" w:hAnsi="Arial"/>
                <w:b w:val="false"/>
                <w:bCs w:val="false"/>
                <w:i w:val="false"/>
                <w:iCs w:val="false"/>
                <w:color w:val="424242"/>
                <w:sz w:val="17"/>
                <w:szCs w:val="17"/>
              </w:rPr>
              <w:t xml:space="preserve">BCS ≥ 2.5 = GREEN → Submit  |  2.0–2.4 = AMBER → Peer review  |  &lt;2.0 = RED → Rework mandatory</w:t>
            </w:r>
          </w:p>
        </w:tc>
      </w:tr>
    </w:tbl>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CONTINGENCY MINIMUMS (apply to calibrated total before submission)</w:t>
            </w:r>
          </w:p>
        </w:tc>
      </w:tr>
      <w:tr>
        <w:tc>
          <w:tcPr>
            <w:tcW w:type="dxa" w:w="10080"/>
            <w:shd w:fill="FFF3CD"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L — Low:          P50 = 15%  |  P75 = 20%  |  Fixed-price = 25%</w:t>
            </w:r>
          </w:p>
          <w:p>
            <w:pPr>
              <w:spacing w:after="60"/>
              <w:ind w:left="120"/>
            </w:pPr>
            <w:r>
              <w:rPr>
                <w:rFonts w:ascii="Arial" w:cs="Arial" w:eastAsia="Arial" w:hAnsi="Arial"/>
                <w:b w:val="false"/>
                <w:bCs w:val="false"/>
                <w:i w:val="false"/>
                <w:iCs w:val="false"/>
                <w:color w:val="424242"/>
                <w:sz w:val="17"/>
                <w:szCs w:val="17"/>
              </w:rPr>
              <w:t xml:space="preserve">M — Medium:   P50 = 18%  |  P75 = 25%  |  Fixed-price = 30%</w:t>
            </w:r>
          </w:p>
          <w:p>
            <w:pPr>
              <w:spacing w:after="60"/>
              <w:ind w:left="120"/>
            </w:pPr>
            <w:r>
              <w:rPr>
                <w:rFonts w:ascii="Arial" w:cs="Arial" w:eastAsia="Arial" w:hAnsi="Arial"/>
                <w:b w:val="false"/>
                <w:bCs w:val="false"/>
                <w:i w:val="false"/>
                <w:iCs w:val="false"/>
                <w:color w:val="424242"/>
                <w:sz w:val="17"/>
                <w:szCs w:val="17"/>
              </w:rPr>
              <w:t xml:space="preserve">H — High:         P50 = 22%  |  P75 = 30%  |  Fixed-price = 40%</w:t>
            </w:r>
          </w:p>
          <w:p>
            <w:pPr>
              <w:spacing w:after="60"/>
              <w:ind w:left="120"/>
            </w:pPr>
            <w:r>
              <w:rPr>
                <w:rFonts w:ascii="Arial" w:cs="Arial" w:eastAsia="Arial" w:hAnsi="Arial"/>
                <w:b w:val="false"/>
                <w:bCs w:val="false"/>
                <w:i w:val="false"/>
                <w:iCs w:val="false"/>
                <w:color w:val="424242"/>
                <w:sz w:val="17"/>
                <w:szCs w:val="17"/>
              </w:rPr>
              <w:t xml:space="preserve">VH — Very High: P50 = 30%  |  P75 = 40%  |  Fixed-price = 50%</w:t>
            </w:r>
          </w:p>
        </w:tc>
      </w:tr>
    </w:tbl>
    <w:p>
      <w:pPr>
        <w:spacing w:after="6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6A1B9A"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STREAM COVERAGE FORMULAS (minimum days — anything below 65% of these = automatic RED)</w:t>
            </w:r>
          </w:p>
        </w:tc>
      </w:tr>
      <w:tr>
        <w:tc>
          <w:tcPr>
            <w:tcW w:type="dxa" w:w="10080"/>
            <w:shd w:fill="F3E5F5" w:color="auto" w:val="clear"/>
            <w:tcMar>
              <w:top w:type="dxa" w:w="80"/>
              <w:left w:type="dxa" w:w="140"/>
              <w:bottom w:type="dxa" w:w="80"/>
              <w:right w:type="dxa" w:w="120"/>
            </w:tcMar>
          </w:tcPr>
          <w:p>
            <w:pPr>
              <w:spacing w:after="60"/>
              <w:ind w:left="120"/>
            </w:pPr>
            <w:r>
              <w:rPr>
                <w:rFonts w:ascii="Arial" w:cs="Arial" w:eastAsia="Arial" w:hAnsi="Arial"/>
                <w:b w:val="false"/>
                <w:bCs w:val="false"/>
                <w:i w:val="false"/>
                <w:iCs w:val="false"/>
                <w:color w:val="424242"/>
                <w:sz w:val="17"/>
                <w:szCs w:val="17"/>
              </w:rPr>
              <w:t xml:space="preserve">Simple integrations:  N_Simple  × 6.0  × CX_Mult</w:t>
            </w:r>
          </w:p>
          <w:p>
            <w:pPr>
              <w:spacing w:after="60"/>
              <w:ind w:left="120"/>
            </w:pPr>
            <w:r>
              <w:rPr>
                <w:rFonts w:ascii="Arial" w:cs="Arial" w:eastAsia="Arial" w:hAnsi="Arial"/>
                <w:b w:val="false"/>
                <w:bCs w:val="false"/>
                <w:i w:val="false"/>
                <w:iCs w:val="false"/>
                <w:color w:val="424242"/>
                <w:sz w:val="17"/>
                <w:szCs w:val="17"/>
              </w:rPr>
              <w:t xml:space="preserve">Complex integrations: N_Complex × 14.0 × CX_Mult</w:t>
            </w:r>
          </w:p>
          <w:p>
            <w:pPr>
              <w:spacing w:after="60"/>
              <w:ind w:left="120"/>
            </w:pPr>
            <w:r>
              <w:rPr>
                <w:rFonts w:ascii="Arial" w:cs="Arial" w:eastAsia="Arial" w:hAnsi="Arial"/>
                <w:b w:val="false"/>
                <w:bCs w:val="false"/>
                <w:i w:val="false"/>
                <w:iCs w:val="false"/>
                <w:color w:val="424242"/>
                <w:sz w:val="17"/>
                <w:szCs w:val="17"/>
              </w:rPr>
              <w:t xml:space="preserve">Data migration:        N_Objects × 4.5  × CX_Mult</w:t>
            </w:r>
          </w:p>
          <w:p>
            <w:pPr>
              <w:spacing w:after="60"/>
              <w:ind w:left="120"/>
            </w:pPr>
            <w:r>
              <w:rPr>
                <w:rFonts w:ascii="Arial" w:cs="Arial" w:eastAsia="Arial" w:hAnsi="Arial"/>
                <w:b w:val="false"/>
                <w:bCs w:val="false"/>
                <w:i w:val="false"/>
                <w:iCs w:val="false"/>
                <w:color w:val="424242"/>
                <w:sz w:val="17"/>
                <w:szCs w:val="17"/>
              </w:rPr>
              <w:t xml:space="preserve">Reporting (standard): N_Reports × 1.5  (no CX multiplier)</w:t>
            </w:r>
          </w:p>
          <w:p>
            <w:pPr>
              <w:spacing w:after="60"/>
              <w:ind w:left="120"/>
            </w:pPr>
            <w:r>
              <w:rPr>
                <w:rFonts w:ascii="Arial" w:cs="Arial" w:eastAsia="Arial" w:hAnsi="Arial"/>
                <w:b w:val="false"/>
                <w:bCs w:val="false"/>
                <w:i w:val="false"/>
                <w:iCs w:val="false"/>
                <w:color w:val="424242"/>
                <w:sz w:val="17"/>
                <w:szCs w:val="17"/>
              </w:rPr>
              <w:t xml:space="preserve">CEMLI/Extensions:     N_CEMLI   × 8.0  × CX_Mult</w:t>
            </w:r>
          </w:p>
        </w:tc>
      </w:tr>
    </w:tbl>
    <w:p>
      <w:pPr>
        <w:spacing w:after="60"/>
      </w:pPr>
    </w:p>
    <w:p>
      <w:pPr>
        <w:spacing w:after="60"/>
      </w:pPr>
    </w:p>
    <w:p>
      <w:pPr>
        <w:pBdr>
          <w:top w:val="single" w:color="C74634" w:sz="4"/>
        </w:pBdr>
        <w:spacing w:after="60" w:before="200"/>
      </w:pPr>
      <w:r>
        <w:rPr>
          <w:rFonts w:ascii="Arial" w:cs="Arial" w:eastAsia="Arial" w:hAnsi="Arial"/>
          <w:b w:val="false"/>
          <w:bCs w:val="false"/>
          <w:i/>
          <w:iCs/>
          <w:color w:val="757575"/>
          <w:sz w:val="15"/>
          <w:szCs w:val="15"/>
        </w:rPr>
        <w:t xml:space="preserve">Oracle Fusion Estimation CoE  |  EST-CAL-GUIDE-001 v1.0  |  Calibration &amp; Benchmark Scoring Guideline  |  Data: Oracle Fusion 500-Project Execution Dataset v1.0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57575" w:sz="4"/>
      </w:pBdr>
      <w:jc w:val="right"/>
    </w:pPr>
    <w:r>
      <w:rPr>
        <w:rFonts w:ascii="Arial" w:cs="Arial" w:eastAsia="Arial" w:hAnsi="Arial"/>
        <w:b w:val="false"/>
        <w:bCs w:val="false"/>
        <w:i w:val="false"/>
        <w:iCs w:val="false"/>
        <w:color w:val="757575"/>
        <w:sz w:val="15"/>
        <w:szCs w:val="15"/>
      </w:rPr>
      <w:t xml:space="preserve">Page </w:t>
    </w:r>
    <w:r>
      <w:rPr>
        <w:rFonts w:ascii="Arial" w:cs="Arial" w:eastAsia="Arial" w:hAnsi="Arial"/>
        <w:color w:val="757575"/>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757575"/>
        <w:sz w:val="15"/>
        <w:szCs w:val="15"/>
      </w:rPr>
      <w:t xml:space="preserve"> of </w:t>
    </w:r>
    <w:r>
      <w:rPr>
        <w:rFonts w:ascii="Arial" w:cs="Arial" w:eastAsia="Arial" w:hAnsi="Arial"/>
        <w:color w:val="7575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4634" w:sz="4"/>
      </w:pBdr>
      <w:spacing w:after="80"/>
    </w:pPr>
    <w:r>
      <w:rPr>
        <w:rFonts w:ascii="Arial" w:cs="Arial" w:eastAsia="Arial" w:hAnsi="Arial"/>
        <w:b w:val="false"/>
        <w:bCs w:val="false"/>
        <w:i w:val="false"/>
        <w:iCs w:val="false"/>
        <w:color w:val="757575"/>
        <w:sz w:val="15"/>
        <w:szCs w:val="15"/>
      </w:rPr>
      <w:t xml:space="preserve">Oracle Fusion Estimation CoE  |  EST-CAL-GUIDE-001</w:t>
    </w:r>
    <w:r>
      <w:rPr>
        <w:rFonts w:ascii="Arial" w:cs="Arial" w:eastAsia="Arial" w:hAnsi="Arial"/>
        <w:b/>
        <w:bCs/>
        <w:i w:val="false"/>
        <w:iCs w:val="false"/>
        <w:color w:val="C74634"/>
        <w:sz w:val="15"/>
        <w:szCs w:val="15"/>
      </w:rPr>
      <w:t xml:space="preserve">          Calibration &amp; Benchmark Scoring Guideline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Calibration &amp; Benchmark Scoring Guideline</dc:title>
  <dc:creator>Oracle Fusion Estimation CoE</dc:creator>
  <cp:lastModifiedBy>Un-named</cp:lastModifiedBy>
  <cp:revision>1</cp:revision>
  <dcterms:created xsi:type="dcterms:W3CDTF">2026-07-15T06:12:09.747Z</dcterms:created>
  <dcterms:modified xsi:type="dcterms:W3CDTF">2026-07-15T06:12:09.764Z</dcterms:modified>
</cp:coreProperties>
</file>

<file path=docProps/custom.xml><?xml version="1.0" encoding="utf-8"?>
<Properties xmlns="http://schemas.openxmlformats.org/officeDocument/2006/custom-properties" xmlns:vt="http://schemas.openxmlformats.org/officeDocument/2006/docPropsVTypes"/>
</file>