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pPr>
      <w:r>
        <w:rPr>
          <w:rFonts w:ascii="Arial" w:cs="Arial" w:eastAsia="Arial" w:hAnsi="Arial"/>
          <w:b/>
          <w:bCs/>
          <w:i w:val="false"/>
          <w:iCs w:val="false"/>
          <w:color w:val="8B0000"/>
          <w:sz w:val="52"/>
          <w:szCs w:val="52"/>
        </w:rPr>
        <w:t xml:space="preserve">LOCAL AI / ML STRATEGY</w:t>
      </w:r>
    </w:p>
    <w:p>
      <w:pPr>
        <w:spacing w:after="80"/>
      </w:pPr>
      <w:r>
        <w:rPr>
          <w:rFonts w:ascii="Arial" w:cs="Arial" w:eastAsia="Arial" w:hAnsi="Arial"/>
          <w:b/>
          <w:bCs/>
          <w:i w:val="false"/>
          <w:iCs w:val="false"/>
          <w:color w:val="C74634"/>
          <w:sz w:val="40"/>
          <w:szCs w:val="40"/>
        </w:rPr>
        <w:t xml:space="preserve">FOR ESTIMATION CALIBRATION</w:t>
      </w:r>
    </w:p>
    <w:p>
      <w:pPr>
        <w:spacing w:after="80"/>
      </w:pPr>
      <w:r>
        <w:rPr>
          <w:rFonts w:ascii="Arial" w:cs="Arial" w:eastAsia="Arial" w:hAnsi="Arial"/>
          <w:b/>
          <w:bCs/>
          <w:i w:val="false"/>
          <w:iCs w:val="false"/>
          <w:color w:val="1A237E"/>
          <w:sz w:val="40"/>
          <w:szCs w:val="40"/>
        </w:rPr>
        <w:t xml:space="preserve">&amp; PROGRAMME RISK PREDICTION</w:t>
      </w:r>
    </w:p>
    <w:p>
      <w:pPr>
        <w:pBdr>
          <w:bottom w:val="single" w:color="C74634" w:sz="10"/>
        </w:pBdr>
        <w:spacing w:after="60"/>
      </w:pPr>
      <w:r>
        <w:rPr>
          <w:rFonts w:ascii="Arial" w:cs="Arial" w:eastAsia="Arial" w:hAnsi="Arial"/>
          <w:b/>
          <w:bCs/>
          <w:i/>
          <w:iCs/>
          <w:color w:val="757575"/>
          <w:sz w:val="22"/>
          <w:szCs w:val="22"/>
        </w:rPr>
        <w:t xml:space="preserve">Keeping Your Organisation Data On-Premise — Architecture, Model Options &amp; Roadmap</w:t>
      </w:r>
    </w:p>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gridCol w:w="1600"/>
      </w:tblGrid>
      <w:tr>
        <w:trPr>
          <w:tblHeader/>
        </w:trPr>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Document Ref</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Audience</w:t>
            </w:r>
          </w:p>
        </w:tc>
        <w:tc>
          <w:tcPr>
            <w:tcW w:type="dxa" w:w="4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Data Sensitivity</w:t>
            </w:r>
          </w:p>
        </w:tc>
        <w:tc>
          <w:tcPr>
            <w:tcW w:type="dxa" w:w="1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Classification</w:t>
            </w:r>
          </w:p>
        </w:tc>
      </w:tr>
      <w:tr>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EST-AI-STRATEGY-001</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 · Architecture · CTO Office</w:t>
            </w:r>
          </w:p>
        </w:tc>
        <w:tc>
          <w:tcPr>
            <w:tcW w:type="dxa" w:w="4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CONFIDENTIAL — Internal execution data must not leave organisational boundary</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RESTRICTED</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1.  Why Local — The Data Sovereignty Mandate</w:t>
      </w:r>
    </w:p>
    <w:p>
      <w:pPr>
        <w:spacing w:after="100" w:before="0"/>
        <w:jc w:val="left"/>
      </w:pPr>
      <w:r>
        <w:rPr>
          <w:rFonts w:ascii="Arial" w:cs="Arial" w:eastAsia="Arial" w:hAnsi="Arial"/>
          <w:b w:val="false"/>
          <w:bCs w:val="false"/>
          <w:i w:val="false"/>
          <w:iCs w:val="false"/>
          <w:color w:val="000000"/>
          <w:sz w:val="18"/>
          <w:szCs w:val="18"/>
        </w:rPr>
        <w:t xml:space="preserve">The 500-project execution dataset contains commercially sensitive information: client names (or proxies), programme effort actuals, SI firm performance data, defect rates, delivery risk profiles, and margin-correlated effort data. Sending any of this to a public LLM API — even a commercially contracted one — creates unacceptable risk under multiple dimensions.</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4400"/>
      </w:tblGrid>
      <w:tr>
        <w:trPr>
          <w:tblHeader/>
        </w:trPr>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Risk Category</w:t>
            </w:r>
          </w:p>
        </w:tc>
        <w:tc>
          <w:tcPr>
            <w:tcW w:type="dxa" w:w="4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What Could Be Exposed</w:t>
            </w:r>
          </w:p>
        </w:tc>
        <w:tc>
          <w:tcPr>
            <w:tcW w:type="dxa" w:w="4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Business Impact</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Commercial Confidentiality</w:t>
            </w:r>
          </w:p>
        </w:tc>
        <w:tc>
          <w:tcPr>
            <w:tcW w:type="dxa" w:w="4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Competitor SI firms, pricing signals, margin structure embedded in effort data</w:t>
            </w:r>
          </w:p>
        </w:tc>
        <w:tc>
          <w:tcPr>
            <w:tcW w:type="dxa" w:w="4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HIGH — Contractual breach; competitive intelligence leak</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Client Data Sensitivity</w:t>
            </w:r>
          </w:p>
        </w:tc>
        <w:tc>
          <w:tcPr>
            <w:tcW w:type="dxa" w:w="4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Even anonymised data can be re-identified via unique programme characteristics</w:t>
            </w:r>
          </w:p>
        </w:tc>
        <w:tc>
          <w:tcPr>
            <w:tcW w:type="dxa" w:w="4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HIGH — Client trust; potential contractual violation</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Regulatory (GDPR / DPDPA)</w:t>
            </w:r>
          </w:p>
        </w:tc>
        <w:tc>
          <w:tcPr>
            <w:tcW w:type="dxa" w:w="4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Personnel data in phase actuals; HR programme data in HCM projects</w:t>
            </w:r>
          </w:p>
        </w:tc>
        <w:tc>
          <w:tcPr>
            <w:tcW w:type="dxa" w:w="4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HIGH — Regulatory penalty; mandatory breach notification</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IP Leakage</w:t>
            </w:r>
          </w:p>
        </w:tc>
        <w:tc>
          <w:tcPr>
            <w:tcW w:type="dxa" w:w="4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Your calibration methodology, benchmark formulas, and estimation IP</w:t>
            </w:r>
          </w:p>
        </w:tc>
        <w:tc>
          <w:tcPr>
            <w:tcW w:type="dxa" w:w="4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5A623"/>
                <w:sz w:val="16"/>
                <w:szCs w:val="16"/>
              </w:rPr>
              <w:t xml:space="preserve">MEDIUM — Methodology used to train competitor models</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Model Training Risk</w:t>
            </w:r>
          </w:p>
        </w:tc>
        <w:tc>
          <w:tcPr>
            <w:tcW w:type="dxa" w:w="4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Public LLMs may use API data for training (provider-dependent)</w:t>
            </w:r>
          </w:p>
        </w:tc>
        <w:tc>
          <w:tcPr>
            <w:tcW w:type="dxa" w:w="4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5A623"/>
                <w:sz w:val="16"/>
                <w:szCs w:val="16"/>
              </w:rPr>
              <w:t xml:space="preserve">MEDIUM — Your proprietary data improves a shared model</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The Governing Principle</w:t>
            </w:r>
          </w:p>
        </w:tc>
      </w:tr>
      <w:tr>
        <w:tc>
          <w:tcPr>
            <w:tcW w:type="dxa" w:w="10080"/>
            <w:shd w:fill="FFF3CD" w:color="auto" w:val="clear"/>
            <w:tcMar>
              <w:top w:type="dxa" w:w="90"/>
              <w:left w:type="dxa" w:w="140"/>
              <w:bottom w:type="dxa" w:w="90"/>
              <w:right w:type="dxa" w:w="120"/>
            </w:tcMar>
          </w:tcPr>
          <w:p>
            <w:pPr>
              <w:spacing w:after="70"/>
              <w:ind w:left="120"/>
            </w:pPr>
            <w:r>
              <w:rPr>
                <w:rFonts w:ascii="Arial" w:cs="Arial" w:eastAsia="Arial" w:hAnsi="Arial"/>
                <w:b w:val="false"/>
                <w:bCs w:val="false"/>
                <w:i w:val="false"/>
                <w:iCs w:val="false"/>
                <w:color w:val="424242"/>
                <w:sz w:val="17"/>
                <w:szCs w:val="17"/>
              </w:rPr>
              <w:t xml:space="preserve">All ML inference, model training, fine-tuning, and calibration involving organisational execution data MUST occur entirely within the organisational boundary — on-premise servers, private cloud tenancy (VPC), or approved hybrid infrastructure.</w:t>
            </w:r>
          </w:p>
          <w:p>
            <w:pPr>
              <w:spacing w:after="70"/>
              <w:ind w:left="120"/>
            </w:pPr>
            <w:r>
              <w:rPr>
                <w:rFonts w:ascii="Arial" w:cs="Arial" w:eastAsia="Arial" w:hAnsi="Arial"/>
                <w:b w:val="false"/>
                <w:bCs w:val="false"/>
                <w:i w:val="false"/>
                <w:iCs w:val="false"/>
                <w:color w:val="424242"/>
                <w:sz w:val="17"/>
                <w:szCs w:val="17"/>
              </w:rPr>
              <w:t xml:space="preserve">No execution data record, embedding, or derived artefact may be transmitted to an external API endpoint for any purpose without explicit DPO and Legal sign-off.</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2.  What We Want AI/ML to Do — Use Cases</w:t>
      </w:r>
    </w:p>
    <w:p>
      <w:pPr>
        <w:spacing w:after="100" w:before="0"/>
        <w:jc w:val="left"/>
      </w:pPr>
      <w:r>
        <w:rPr>
          <w:rFonts w:ascii="Arial" w:cs="Arial" w:eastAsia="Arial" w:hAnsi="Arial"/>
          <w:b w:val="false"/>
          <w:bCs w:val="false"/>
          <w:i w:val="false"/>
          <w:iCs w:val="false"/>
          <w:color w:val="000000"/>
          <w:sz w:val="18"/>
          <w:szCs w:val="18"/>
        </w:rPr>
        <w:t xml:space="preserve">There are three distinct AI/ML use cases against the estimation dataset. Each has different data requirements, model types, and infrastructure needs. They should be built in sequence — foundational to advanced.</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000"/>
        <w:gridCol w:w="3200"/>
        <w:gridCol w:w="1700"/>
      </w:tblGrid>
      <w:tr>
        <w:trPr>
          <w:tblHeader/>
        </w:trPr>
        <w:tc>
          <w:tcPr>
            <w:tcW w:type="dxa" w:w="5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t>
            </w:r>
          </w:p>
        </w:tc>
        <w:tc>
          <w:tcPr>
            <w:tcW w:type="dxa" w:w="2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Use Case</w:t>
            </w:r>
          </w:p>
        </w:tc>
        <w:tc>
          <w:tcPr>
            <w:tcW w:type="dxa" w:w="4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Question Answered</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Output</w:t>
            </w:r>
          </w:p>
        </w:tc>
        <w:tc>
          <w:tcPr>
            <w:tcW w:type="dxa" w:w="17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Priority</w:t>
            </w:r>
          </w:p>
        </w:tc>
      </w:tr>
      <w:tr>
        <w:tc>
          <w:tcPr>
            <w:tcW w:type="dxa" w:w="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UC-1</w:t>
            </w:r>
          </w:p>
        </w:tc>
        <w:tc>
          <w:tcPr>
            <w:tcW w:type="dxa" w:w="2800"/>
            <w:shd w:fill="E3F2F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Calibration Recommender</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Given our execution history, what should the unit effort and multiplier be for this component at this complexity?</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Updated unit effort (days), calibrated multiplier, confidence interval</w:t>
            </w:r>
          </w:p>
        </w:tc>
        <w:tc>
          <w:tcPr>
            <w:tcW w:type="dxa" w:w="17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P0 — Foundation</w:t>
            </w:r>
          </w:p>
        </w:tc>
      </w:tr>
      <w:tr>
        <w:tc>
          <w:tcPr>
            <w:tcW w:type="dxa" w:w="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UC-2</w:t>
            </w:r>
          </w:p>
        </w:tc>
        <w:tc>
          <w:tcPr>
            <w:tcW w:type="dxa" w:w="2800"/>
            <w:shd w:fill="FFF3CD"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Programme Failure Predictor</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Given an estimate's characteristics and volumetrics, what is the probability this programme will overrun, and by how much?</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Overrun probability (%), predicted deviation %, risk classification</w:t>
            </w:r>
          </w:p>
        </w:tc>
        <w:tc>
          <w:tcPr>
            <w:tcW w:type="dxa" w:w="17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F5A623"/>
                <w:sz w:val="16"/>
                <w:szCs w:val="16"/>
              </w:rPr>
              <w:t xml:space="preserve">P1 — High Value</w:t>
            </w:r>
          </w:p>
        </w:tc>
      </w:tr>
      <w:tr>
        <w:tc>
          <w:tcPr>
            <w:tcW w:type="dxa" w:w="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UC-3</w:t>
            </w:r>
          </w:p>
        </w:tc>
        <w:tc>
          <w:tcPr>
            <w:tcW w:type="dxa" w:w="2800"/>
            <w:shd w:fill="F3E5F5"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424242"/>
                <w:sz w:val="16"/>
                <w:szCs w:val="16"/>
              </w:rPr>
              <w:t xml:space="preserve">Risk Driver Explainer</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Which specific features of this estimate (phase splits, integration count, CEMLI count, complexity) are driving the risk?</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Ranked risk factors with contribution %, natural language explanation</w:t>
            </w:r>
          </w:p>
        </w:tc>
        <w:tc>
          <w:tcPr>
            <w:tcW w:type="dxa" w:w="17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6A1B9A"/>
                <w:sz w:val="16"/>
                <w:szCs w:val="16"/>
              </w:rPr>
              <w:t xml:space="preserve">P2 — Advanced</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3.  Local Model Options — Architecture Patterns</w:t>
      </w:r>
    </w:p>
    <w:p>
      <w:pPr>
        <w:spacing w:after="100" w:before="0"/>
        <w:jc w:val="left"/>
      </w:pPr>
      <w:r>
        <w:rPr>
          <w:rFonts w:ascii="Arial" w:cs="Arial" w:eastAsia="Arial" w:hAnsi="Arial"/>
          <w:b w:val="false"/>
          <w:bCs w:val="false"/>
          <w:i w:val="false"/>
          <w:iCs w:val="false"/>
          <w:color w:val="000000"/>
          <w:sz w:val="18"/>
          <w:szCs w:val="18"/>
        </w:rPr>
        <w:t xml:space="preserve">There are four fundamentally different approaches to building local AI/ML capability on this dataset. They differ in data volume requirements, infrastructure complexity, interpretability, and time-to-value. We recommend building them in layers.</w:t>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Pattern 1 — Classical ML (Statistical Models)</w:t>
      </w:r>
    </w:p>
    <w:p>
      <w:pPr>
        <w:spacing w:after="100" w:before="0"/>
        <w:jc w:val="left"/>
      </w:pPr>
      <w:r>
        <w:rPr>
          <w:rFonts w:ascii="Arial" w:cs="Arial" w:eastAsia="Arial" w:hAnsi="Arial"/>
          <w:b w:val="false"/>
          <w:bCs w:val="false"/>
          <w:i/>
          <w:iCs/>
          <w:color w:val="757575"/>
          <w:sz w:val="18"/>
          <w:szCs w:val="18"/>
        </w:rPr>
        <w:t xml:space="preserve">The correct starting point for UC-1 and UC-2 with 500 projects. No GPU required. Fully interpretable. Production-ready in 4–6 weeks.</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200"/>
      </w:tblGrid>
      <w:tr>
        <w:trPr>
          <w:tblHeader/>
        </w:trPr>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Aspect</w:t>
            </w:r>
          </w:p>
        </w:tc>
        <w:tc>
          <w:tcPr>
            <w:tcW w:type="dxa" w:w="8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Detail</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Model types</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Gradient Boosted Trees (XGBoost / LightGBM) for overrun prediction; Random Forest for risk classification; Linear/Ridge Regression for calibrated effort estimation</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Input features</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Complexity code, N modules, N integrations (S+C), N DM objects, N CEMLI, N reports, N entities, industry, duration, team size, phase % splits</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Output (UC-1)</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Calibrated unit effort P50/P75/P90 per component; updated complexity multipliers with 95% confidence interval</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Output (UC-2)</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Overrun probability (0–100%); predicted deviation band (P25–P75); phase-level risk flags</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Training data needed</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500 projects is sufficient for XGBoost; 200 minimum for reliable calibration models</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Infrastructure</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Single on-premise server or VM (4 CPU cores, 16GB RAM). No GPU. Python scikit-learn + XGBoost + SHAP. Docker containerised.</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Interpretability</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FULL — every prediction can be explained with SHAP values showing each feature's contribution</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Time to MVP</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4–6 weeks (data prep 1wk, feature engineering 1wk, model training+eval 1wk, API 1wk, UI 2wks)</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Accuracy expectation</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RMSE within 15–20% of actual deviation for well-featured estimates; &gt;80% AUC for overrun classification</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Why Start Here</w:t>
            </w:r>
          </w:p>
        </w:tc>
      </w:tr>
      <w:tr>
        <w:tc>
          <w:tcPr>
            <w:tcW w:type="dxa" w:w="10080"/>
            <w:shd w:fill="E8F5E9" w:color="auto" w:val="clear"/>
            <w:tcMar>
              <w:top w:type="dxa" w:w="90"/>
              <w:left w:type="dxa" w:w="140"/>
              <w:bottom w:type="dxa" w:w="90"/>
              <w:right w:type="dxa" w:w="120"/>
            </w:tcMar>
          </w:tcPr>
          <w:p>
            <w:pPr>
              <w:spacing w:after="70"/>
              <w:ind w:left="120"/>
            </w:pPr>
            <w:r>
              <w:rPr>
                <w:rFonts w:ascii="Arial" w:cs="Arial" w:eastAsia="Arial" w:hAnsi="Arial"/>
                <w:b w:val="false"/>
                <w:bCs w:val="false"/>
                <w:i w:val="false"/>
                <w:iCs w:val="false"/>
                <w:color w:val="424242"/>
                <w:sz w:val="17"/>
                <w:szCs w:val="17"/>
              </w:rPr>
              <w:t xml:space="preserve">With 500 projects, XGBoost and Random Forest outperform deep learning because the dataset is too small for neural networks to generalise reliably. Classical ML is also fully auditable — you can explain every prediction to a client or steering committee using SHAP plots.</w:t>
            </w:r>
          </w:p>
          <w:p>
            <w:pPr>
              <w:spacing w:after="70"/>
              <w:ind w:left="120"/>
            </w:pPr>
            <w:r>
              <w:rPr>
                <w:rFonts w:ascii="Arial" w:cs="Arial" w:eastAsia="Arial" w:hAnsi="Arial"/>
                <w:b w:val="false"/>
                <w:bCs w:val="false"/>
                <w:i w:val="false"/>
                <w:iCs w:val="false"/>
                <w:color w:val="424242"/>
                <w:sz w:val="17"/>
                <w:szCs w:val="17"/>
              </w:rPr>
              <w:t xml:space="preserve">Start with classical ML. Add a local LLM layer later for the natural language explanation interface (UC-3) — but the prediction engine should always be a classical model trained on your data.</w:t>
            </w:r>
          </w:p>
          <w:p>
            <w:pPr>
              <w:spacing w:after="70"/>
              <w:ind w:left="120"/>
            </w:pPr>
            <w:r>
              <w:rPr>
                <w:rFonts w:ascii="Arial" w:cs="Arial" w:eastAsia="Arial" w:hAnsi="Arial"/>
                <w:b w:val="false"/>
                <w:bCs w:val="false"/>
                <w:i w:val="false"/>
                <w:iCs w:val="false"/>
                <w:color w:val="424242"/>
                <w:sz w:val="17"/>
                <w:szCs w:val="17"/>
              </w:rPr>
              <w:t xml:space="preserve">Estimated infrastructure cost: ~£0 (existing server) to ~£200/month (cloud VM). No LLM API costs. No data sovereignty risk.</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Pattern 2 — Fine-Tuned Small Language Model (SLM)</w:t>
      </w:r>
    </w:p>
    <w:p>
      <w:pPr>
        <w:spacing w:after="100" w:before="0"/>
        <w:jc w:val="left"/>
      </w:pPr>
      <w:r>
        <w:rPr>
          <w:rFonts w:ascii="Arial" w:cs="Arial" w:eastAsia="Arial" w:hAnsi="Arial"/>
          <w:b w:val="false"/>
          <w:bCs w:val="false"/>
          <w:i/>
          <w:iCs/>
          <w:color w:val="757575"/>
          <w:sz w:val="18"/>
          <w:szCs w:val="18"/>
        </w:rPr>
        <w:t xml:space="preserve">For UC-3: generating natural language risk explanations, calibration narratives, and recommendation text from model outputs. Run entirely locally.</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200"/>
      </w:tblGrid>
      <w:tr>
        <w:trPr>
          <w:tblHeader/>
        </w:trPr>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Aspect</w:t>
            </w:r>
          </w:p>
        </w:tc>
        <w:tc>
          <w:tcPr>
            <w:tcW w:type="dxa" w:w="8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Detail</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Recommended models</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Mistral 7B / Phi-3 Mini / Llama 3.1 8B — all open-weight, run locally, commercially licensable</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What gets fine-tuned</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The language model is fine-tuned on your estimation vocabulary, risk language, and calibration reports — NOT on raw project data. Only Pattern 1's output (predictions + SHAP values) is passed to the SLM.</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Fine-tuning data</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~500–2,000 (input→output) pairs: (estimate features + SHAP values) → (risk narrative text). Synthesised from your calibration reports and risk register entries.</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Key privacy point</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1A237E"/>
                <w:sz w:val="16"/>
                <w:szCs w:val="16"/>
              </w:rPr>
              <w:t xml:space="preserve">Raw execution data NEVER enters the SLM. Only model outputs (probabilities, feature importances) are passed as context. The SLM turns numbers into sentences — it does not learn from your project data.</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Infrastructure</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 NVIDIA A10G (24GB VRAM) or 2× consumer RTX 4090 GPUs on-premise. Alternatively: AWS Inferentia2 or Azure NPU in private VPC.</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Fine-tuning method</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LoRA / QLoRA — parameter-efficient; adapts the base model with &lt;1% of parameters; full model stays frozen</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Output</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2–4 paragraph risk narrative: 'This estimate carries elevated risk in the integration stream (coverage 67% of benchmark) and the data migration phase (no source data profiling documented). Historical comparator projects with these characteristics overran by a median of 28%...'</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Time to MVP</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8–12 weeks including fine-tuning pipeline, evaluation, and deployment</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Architecture — SLM as Explanation Layer Only</w:t>
            </w:r>
          </w:p>
        </w:tc>
      </w:tr>
      <w:tr>
        <w:tc>
          <w:tcPr>
            <w:tcW w:type="dxa" w:w="10080"/>
            <w:shd w:fill="E3F2FD" w:color="auto" w:val="clear"/>
            <w:tcMar>
              <w:top w:type="dxa" w:w="90"/>
              <w:left w:type="dxa" w:w="140"/>
              <w:bottom w:type="dxa" w:w="90"/>
              <w:right w:type="dxa" w:w="120"/>
            </w:tcMar>
          </w:tcPr>
          <w:p>
            <w:pPr>
              <w:spacing w:after="70"/>
              <w:ind w:left="120"/>
            </w:pPr>
            <w:r>
              <w:rPr>
                <w:rFonts w:ascii="Arial" w:cs="Arial" w:eastAsia="Arial" w:hAnsi="Arial"/>
                <w:b w:val="false"/>
                <w:bCs w:val="false"/>
                <w:i w:val="false"/>
                <w:iCs w:val="false"/>
                <w:color w:val="424242"/>
                <w:sz w:val="17"/>
                <w:szCs w:val="17"/>
              </w:rPr>
              <w:t xml:space="preserve">Pattern 2 sits ON TOP of Pattern 1. The classical model does the prediction. The SLM only writes the explanation.</w:t>
            </w:r>
          </w:p>
          <w:p>
            <w:pPr>
              <w:spacing w:after="70"/>
              <w:ind w:left="120"/>
            </w:pPr>
            <w:r>
              <w:rPr>
                <w:rFonts w:ascii="Arial" w:cs="Arial" w:eastAsia="Arial" w:hAnsi="Arial"/>
                <w:b w:val="false"/>
                <w:bCs w:val="false"/>
                <w:i w:val="false"/>
                <w:iCs w:val="false"/>
                <w:color w:val="424242"/>
                <w:sz w:val="17"/>
                <w:szCs w:val="17"/>
              </w:rPr>
              <w:t xml:space="preserve">Data flow: Raw estimate inputs → Classical ML model (on-premise) → Overrun probability + SHAP feature importances → SLM (locally hosted) → Natural language risk report.</w:t>
            </w:r>
          </w:p>
          <w:p>
            <w:pPr>
              <w:spacing w:after="70"/>
              <w:ind w:left="120"/>
            </w:pPr>
            <w:r>
              <w:rPr>
                <w:rFonts w:ascii="Arial" w:cs="Arial" w:eastAsia="Arial" w:hAnsi="Arial"/>
                <w:b w:val="false"/>
                <w:bCs w:val="false"/>
                <w:i w:val="false"/>
                <w:iCs w:val="false"/>
                <w:color w:val="424242"/>
                <w:sz w:val="17"/>
                <w:szCs w:val="17"/>
              </w:rPr>
              <w:t xml:space="preserve">No raw project data enters the SLM at any point. The SLM only sees numbers (probabilities, feature contributions) and turns them into readable text.</w:t>
            </w:r>
          </w:p>
          <w:p>
            <w:pPr>
              <w:spacing w:after="70"/>
              <w:ind w:left="120"/>
            </w:pPr>
            <w:r>
              <w:rPr>
                <w:rFonts w:ascii="Arial" w:cs="Arial" w:eastAsia="Arial" w:hAnsi="Arial"/>
                <w:b w:val="false"/>
                <w:bCs w:val="false"/>
                <w:i w:val="false"/>
                <w:iCs w:val="false"/>
                <w:color w:val="424242"/>
                <w:sz w:val="17"/>
                <w:szCs w:val="17"/>
              </w:rPr>
              <w:t xml:space="preserve">This architecture means that even if the SLM were somehow exposed, no real project data could be extracted from it.</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Pattern 3 — Retrieval-Augmented Generation (RAG) on Execution Data</w:t>
      </w:r>
    </w:p>
    <w:p>
      <w:pPr>
        <w:spacing w:after="100" w:before="0"/>
        <w:jc w:val="left"/>
      </w:pPr>
      <w:r>
        <w:rPr>
          <w:rFonts w:ascii="Arial" w:cs="Arial" w:eastAsia="Arial" w:hAnsi="Arial"/>
          <w:b w:val="false"/>
          <w:bCs w:val="false"/>
          <w:i/>
          <w:iCs/>
          <w:color w:val="757575"/>
          <w:sz w:val="18"/>
          <w:szCs w:val="18"/>
        </w:rPr>
        <w:t xml:space="preserve">For advanced UC-3 queries: 'Show me the 10 most similar past projects to this estimate and what happened to them.' Enables conversational exploration of your execution dataset without sending data to an external API.</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200"/>
      </w:tblGrid>
      <w:tr>
        <w:trPr>
          <w:tblHeader/>
        </w:trPr>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Aspect</w:t>
            </w:r>
          </w:p>
        </w:tc>
        <w:tc>
          <w:tcPr>
            <w:tcW w:type="dxa" w:w="8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Detail</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Architecture</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Local vector database (pgvector on PostgreSQL or ChromaDB) stores embeddings of each project record. A locally-hosted embedding model (nomic-embed-text or all-MiniLM-L6-v2) converts records to vectors. Queries retrieve similar projects; a local SLM summarises findings.</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What gets embedded</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Structured project features (complexity, modules, volumes) + phase deviation reasons text (from dataset). Each project becomes one embedding vector.</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Embedding model</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Run locally — nomic-embed-text (137M params, free, commercial use). No API call. Generates embeddings in &lt;50ms per record on CPU.</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Vector database</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pgvector extension on your existing PostgreSQL instance. Zero additional licence cost. Stores 500 embeddings trivially (each ~1,500 bytes).</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Query flow</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Estimator submits estimate features → embedded locally → similarity search against 500 project vectors → top-K retrieved → local SLM writes: 'The 5 most similar past projects to yours were: [details]. Of these, 4 overran by 15–45%. The primary reasons were...'</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Privacy model</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All embeddings, the vector store, and the SLM run inside your network boundary. No data leaves.</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Infrastructure</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Existing PostgreSQL server + pgvector extension (free). For SLM: same GPU as Pattern 2 (reuse).</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Time to MVP</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6–8 weeks if Pattern 2 infrastructure already exists</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Pattern 4 — Federated Learning (Future State — N &gt; 2,000 Projects)</w:t>
      </w:r>
    </w:p>
    <w:p>
      <w:pPr>
        <w:spacing w:after="100" w:before="0"/>
        <w:jc w:val="left"/>
      </w:pPr>
      <w:r>
        <w:rPr>
          <w:rFonts w:ascii="Arial" w:cs="Arial" w:eastAsia="Arial" w:hAnsi="Arial"/>
          <w:b w:val="false"/>
          <w:bCs w:val="false"/>
          <w:i/>
          <w:iCs/>
          <w:color w:val="757575"/>
          <w:sz w:val="18"/>
          <w:szCs w:val="18"/>
        </w:rPr>
        <w:t xml:space="preserve">When your dataset grows beyond 2,000 projects, or if you wish to collaborate with partner SI firms to improve model accuracy without sharing raw data.</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200"/>
      </w:tblGrid>
      <w:tr>
        <w:trPr>
          <w:tblHeader/>
        </w:trPr>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Aspect</w:t>
            </w:r>
          </w:p>
        </w:tc>
        <w:tc>
          <w:tcPr>
            <w:tcW w:type="dxa" w:w="8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Detail</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Concept</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Each participant organisation trains a local model on their own data. Only model weights (not data) are shared and aggregated centrally (Federated Averaging). A shared model improves without any organisation's raw data leaving their boundary.</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Use case applicability</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Most useful for UC-2 (failure prediction) — more data across more organisations produces a more generalisable risk model than any single company's dataset.</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Frameworks</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PySyft (OpenMined) or Flower (flwr) — both open-source, production-ready, privacy-preserving federated learning frameworks.</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Prerequisite</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Requires minimum 500+ projects per participant organisation AND a governance agreement on model architecture, update frequency, and IP ownership.</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Timeline</w:t>
            </w:r>
          </w:p>
        </w:tc>
        <w:tc>
          <w:tcPr>
            <w:tcW w:type="dxa" w:w="8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18–24 months from dataset maturity to production federated model. This is a Phase 3 capability.</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Recommended action now</w:t>
            </w:r>
          </w:p>
        </w:tc>
        <w:tc>
          <w:tcPr>
            <w:tcW w:type="dxa" w:w="8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Design data schema and feature set with federation in mind. Ensure your local model (Pattern 1) uses a feature set compatible with what partner organisations would capture.</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4.  Feature Engineering — What to Feed the Models</w:t>
      </w:r>
    </w:p>
    <w:p>
      <w:pPr>
        <w:spacing w:after="100" w:before="0"/>
        <w:jc w:val="left"/>
      </w:pPr>
      <w:r>
        <w:rPr>
          <w:rFonts w:ascii="Arial" w:cs="Arial" w:eastAsia="Arial" w:hAnsi="Arial"/>
          <w:b w:val="false"/>
          <w:bCs w:val="false"/>
          <w:i w:val="false"/>
          <w:iCs w:val="false"/>
          <w:color w:val="000000"/>
          <w:sz w:val="18"/>
          <w:szCs w:val="18"/>
        </w:rPr>
        <w:t xml:space="preserve">This is the most important step. The quality of your features determines prediction accuracy far more than the choice of algorithm. The following features are derived entirely from the HL Estimator inputs and the execution dataset — no new data collection is required.</w:t>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4.1  Input Features for Training (Estimation-Time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600"/>
        <w:gridCol w:w="4000"/>
      </w:tblGrid>
      <w:tr>
        <w:trPr>
          <w:tblHeader/>
        </w:trPr>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Feature</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Source</w:t>
            </w:r>
          </w:p>
        </w:tc>
        <w:tc>
          <w:tcPr>
            <w:tcW w:type="dxa" w:w="1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Type</w:t>
            </w:r>
          </w:p>
        </w:tc>
        <w:tc>
          <w:tcPr>
            <w:tcW w:type="dxa" w:w="4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Why It Matters</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Complexity code (L/M/H/VH)</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tab</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Categorical</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Single strongest predictor of overall deviation</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 modules in scope</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Module Estimator count</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Scope breadth; coordination overhead grows non-linearly</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 simple integrations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C8</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Integration count is the #2 overrun driver</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 complex integrations</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C9</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Complex integrations have 3× the variance of simple</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 data migration objects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C10</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DM scope is the #3 overrun driver</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 CEMLI extensions</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C12</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Every CEMLI added increases overrun risk non-linearly</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 reports / analytics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C11</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Often under-scoped; drives Build/SIT overrun</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 legal entities</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C8</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Multi-entity programmes have 40% higher median deviation</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Integration coverage ratio</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 integ days ÷ formula benchmark</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 (0–2.0)</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Direct BCS signal; coverage &lt;0.65 → P(overrun&gt;30%) = 78%</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DM coverage ratio</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 DM days ÷ formula benchmark</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 (0–2.0)</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DM under-coverage is the strongest phase-level risk signal</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Contingency %</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C13</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Below P50 minimum → P(overrun) increases by 35%</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Build phase %</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Effort Summary phase split</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Build &lt;26% → near-certain overrun in this phase</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Industry</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Cover tab</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Categorical</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BFSI and Healthcare carry 15% additional mean deviation</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Estimated project duration</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Assumptions C6</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Longer programmes have higher absolute but lower % deviation</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Estimated team size</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FTE &amp; Role Plan peak FTE</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w:t>
            </w:r>
          </w:p>
        </w:tc>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Overstaffed programmes can signal gold-plating</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Phase % deviation from benchmark</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Each phase % − calibrated benchmark %</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 (×10)</w:t>
            </w:r>
          </w:p>
        </w:tc>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Strongest leading indicator of which phases will overrun</w:t>
            </w:r>
          </w:p>
        </w:tc>
      </w:tr>
    </w:tbl>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4.2  Target Variables (What the Model Predicts)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200"/>
        <w:gridCol w:w="3000"/>
      </w:tblGrid>
      <w:tr>
        <w:trPr>
          <w:tblHeader/>
        </w:trPr>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Target</w:t>
            </w:r>
          </w:p>
        </w:tc>
        <w:tc>
          <w:tcPr>
            <w:tcW w:type="dxa" w:w="2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Type</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Training Data Source</w:t>
            </w:r>
          </w:p>
        </w:tc>
        <w:tc>
          <w:tcPr>
            <w:tcW w:type="dxa" w:w="3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Used For</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Overall deviation %</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Continuous (−20 to +100)</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Master col S</w:t>
            </w:r>
          </w:p>
        </w:tc>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UC-1 regression: 'This estimate will likely overrun by X%'</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Overrun classification</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Binary (&gt;20% overrun = 1)</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Master col S &gt; 20</w:t>
            </w:r>
          </w:p>
        </w:tc>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UC-2 classification: 'P(overrun) = 73%'</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health</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4-class (smooth/normal/troubled/critical)</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Master col P</w:t>
            </w:r>
          </w:p>
        </w:tc>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UC-2 risk banding: 'This estimate profile matches troubled projects'</w:t>
            </w:r>
          </w:p>
        </w:tc>
      </w:tr>
      <w:tr>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Phase-level deviation</w:t>
            </w:r>
          </w:p>
        </w:tc>
        <w:tc>
          <w:tcPr>
            <w:tcW w:type="dxa" w:w="2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Continuous per phase</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Phase-Wise Effort col H</w:t>
            </w:r>
          </w:p>
        </w:tc>
        <w:tc>
          <w:tcPr>
            <w:tcW w:type="dxa" w:w="3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UC-2 phase risk: 'Build phase likely to run +35%'</w:t>
            </w:r>
          </w:p>
        </w:tc>
      </w:tr>
      <w:tr>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Component unit effort P50</w:t>
            </w:r>
          </w:p>
        </w:tc>
        <w:tc>
          <w:tcPr>
            <w:tcW w:type="dxa" w:w="2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Continuous per component</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Component Actuals col G</w:t>
            </w:r>
          </w:p>
        </w:tc>
        <w:tc>
          <w:tcPr>
            <w:tcW w:type="dxa" w:w="3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UC-1 calibration: 'Recommended unit effort = 6.8 days (was 5.0)'</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5.  Build Roadmap — Three Phases</w:t>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Phase 1 — Classical ML Calibration Engine (Weeks 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600"/>
        <w:gridCol w:w="3200"/>
      </w:tblGrid>
      <w:tr>
        <w:trPr>
          <w:tblHeader/>
        </w:trPr>
        <w:tc>
          <w:tcPr>
            <w:tcW w:type="dxa" w:w="9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Week</w:t>
            </w:r>
          </w:p>
        </w:tc>
        <w:tc>
          <w:tcPr>
            <w:tcW w:type="dxa" w:w="45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Activity</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Owner</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Deliverable</w:t>
            </w:r>
          </w:p>
        </w:tc>
      </w:tr>
      <w:tr>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1–2</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preparation: clean execution dataset, encode categoricals, compute derived features (coverage ratios, phase % deviations)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Engineer / Estimation CoE</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Cleaned feature matrix: 500 rows × 16 features + 5 target variables</w:t>
            </w:r>
          </w:p>
        </w:tc>
      </w:tr>
      <w:tr>
        <w:tc>
          <w:tcPr>
            <w:tcW w:type="dxa" w:w="9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3</w:t>
            </w:r>
          </w:p>
        </w:tc>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Exploratory data analysis: correlation heatmap, feature importance ranking, outlier investigation</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Scientist</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EDA report: top 5 predictors of overrun confirmed</w:t>
            </w:r>
          </w:p>
        </w:tc>
      </w:tr>
      <w:tr>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4</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Train and evaluate 3 model candidates: XGBoost, LightGBM, Random Forest. K-fold cross-validation. Compare RMSE, AUC, calibration curves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Scientist</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Model comparison report; champion model selected</w:t>
            </w:r>
          </w:p>
        </w:tc>
      </w:tr>
      <w:tr>
        <w:tc>
          <w:tcPr>
            <w:tcW w:type="dxa" w:w="9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5</w:t>
            </w:r>
          </w:p>
        </w:tc>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SHAP explainability: generate SHAP plots per feature per prediction. Validate that explanations match domain knowledge</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Scientist + Estimation Lead</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SHAP validation sign-off</w:t>
            </w:r>
          </w:p>
        </w:tc>
      </w:tr>
      <w:tr>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6</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Package as Python API: FastAPI endpoint accepts estimate inputs, returns overrun probability + calibration recommendations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ML Engineer</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Local REST API (Docker container)</w:t>
            </w:r>
          </w:p>
        </w:tc>
      </w:tr>
      <w:tr>
        <w:tc>
          <w:tcPr>
            <w:tcW w:type="dxa" w:w="9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7–8</w:t>
            </w:r>
          </w:p>
        </w:tc>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Build simple web UI: estimator submits inputs, receives BCS score + risk prediction + recommended calibration adjustments</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Front-end Dev</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Internal web tool: Estimation Risk Dashboard v1.0</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2E7D32"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Phase 1 Infrastructure Requirements</w:t>
            </w:r>
          </w:p>
        </w:tc>
      </w:tr>
      <w:tr>
        <w:tc>
          <w:tcPr>
            <w:tcW w:type="dxa" w:w="10080"/>
            <w:shd w:fill="E8F5E9" w:color="auto" w:val="clear"/>
            <w:tcMar>
              <w:top w:type="dxa" w:w="90"/>
              <w:left w:type="dxa" w:w="140"/>
              <w:bottom w:type="dxa" w:w="90"/>
              <w:right w:type="dxa" w:w="120"/>
            </w:tcMar>
          </w:tcPr>
          <w:p>
            <w:pPr>
              <w:spacing w:after="70"/>
              <w:ind w:left="120"/>
            </w:pPr>
            <w:r>
              <w:rPr>
                <w:rFonts w:ascii="Arial" w:cs="Arial" w:eastAsia="Arial" w:hAnsi="Arial"/>
                <w:b w:val="false"/>
                <w:bCs w:val="false"/>
                <w:i w:val="false"/>
                <w:iCs w:val="false"/>
                <w:color w:val="424242"/>
                <w:sz w:val="17"/>
                <w:szCs w:val="17"/>
              </w:rPr>
              <w:t xml:space="preserve">Server: 1× on-premise server or private cloud VM — 4 vCPU, 16GB RAM, 50GB SSD</w:t>
            </w:r>
          </w:p>
          <w:p>
            <w:pPr>
              <w:spacing w:after="70"/>
              <w:ind w:left="120"/>
            </w:pPr>
            <w:r>
              <w:rPr>
                <w:rFonts w:ascii="Arial" w:cs="Arial" w:eastAsia="Arial" w:hAnsi="Arial"/>
                <w:b w:val="false"/>
                <w:bCs w:val="false"/>
                <w:i w:val="false"/>
                <w:iCs w:val="false"/>
                <w:color w:val="424242"/>
                <w:sz w:val="17"/>
                <w:szCs w:val="17"/>
              </w:rPr>
              <w:t xml:space="preserve">Software: Python 3.11, scikit-learn, XGBoost, SHAP, FastAPI, Docker — all open source, zero licence cost</w:t>
            </w:r>
          </w:p>
          <w:p>
            <w:pPr>
              <w:spacing w:after="70"/>
              <w:ind w:left="120"/>
            </w:pPr>
            <w:r>
              <w:rPr>
                <w:rFonts w:ascii="Arial" w:cs="Arial" w:eastAsia="Arial" w:hAnsi="Arial"/>
                <w:b w:val="false"/>
                <w:bCs w:val="false"/>
                <w:i w:val="false"/>
                <w:iCs w:val="false"/>
                <w:color w:val="424242"/>
                <w:sz w:val="17"/>
                <w:szCs w:val="17"/>
              </w:rPr>
              <w:t xml:space="preserve">Database: PostgreSQL (existing) — add feature store table for model inputs/outputs</w:t>
            </w:r>
          </w:p>
          <w:p>
            <w:pPr>
              <w:spacing w:after="70"/>
              <w:ind w:left="120"/>
            </w:pPr>
            <w:r>
              <w:rPr>
                <w:rFonts w:ascii="Arial" w:cs="Arial" w:eastAsia="Arial" w:hAnsi="Arial"/>
                <w:b w:val="false"/>
                <w:bCs w:val="false"/>
                <w:i w:val="false"/>
                <w:iCs w:val="false"/>
                <w:color w:val="424242"/>
                <w:sz w:val="17"/>
                <w:szCs w:val="17"/>
              </w:rPr>
              <w:t xml:space="preserve">Estimated cost: £0–£400/month (cloud VM) or one-time hardware cost if on-premise</w:t>
            </w:r>
          </w:p>
          <w:p>
            <w:pPr>
              <w:spacing w:after="70"/>
              <w:ind w:left="120"/>
            </w:pPr>
            <w:r>
              <w:rPr>
                <w:rFonts w:ascii="Arial" w:cs="Arial" w:eastAsia="Arial" w:hAnsi="Arial"/>
                <w:b w:val="false"/>
                <w:bCs w:val="false"/>
                <w:i w:val="false"/>
                <w:iCs w:val="false"/>
                <w:color w:val="424242"/>
                <w:sz w:val="17"/>
                <w:szCs w:val="17"/>
              </w:rPr>
              <w:t xml:space="preserve">No GPU required for Phase 1. No LLM. No external API.</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Phase 2 — Local SLM + RAG Layer (Weeks 9–20)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600"/>
        <w:gridCol w:w="3200"/>
      </w:tblGrid>
      <w:tr>
        <w:trPr>
          <w:tblHeader/>
        </w:trPr>
        <w:tc>
          <w:tcPr>
            <w:tcW w:type="dxa" w:w="9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Week</w:t>
            </w:r>
          </w:p>
        </w:tc>
        <w:tc>
          <w:tcPr>
            <w:tcW w:type="dxa" w:w="45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Activity</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Owner</w:t>
            </w:r>
          </w:p>
        </w:tc>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Deliverable</w:t>
            </w:r>
          </w:p>
        </w:tc>
      </w:tr>
      <w:tr>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9–10</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Deploy local SLM: install Mistral 7B or Phi-3 Mini via Ollama on GPU server. Run inference benchmarks. Confirm no external network calls.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ML Engineer / Infra</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Local LLM endpoint; network egress confirmed = 0</w:t>
            </w:r>
          </w:p>
        </w:tc>
      </w:tr>
      <w:tr>
        <w:tc>
          <w:tcPr>
            <w:tcW w:type="dxa" w:w="9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11–12</w:t>
            </w:r>
          </w:p>
        </w:tc>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Build RAG pipeline: embed all 500 project records using nomic-embed-text (local). Load into pgvector. Test similarity retrieval accuracy.</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ML Engineer</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Similarity search: top-5 comparator retrieval in &lt;200ms</w:t>
            </w:r>
          </w:p>
        </w:tc>
      </w:tr>
      <w:tr>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13–15</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Fine-tune SLM on risk narrative pairs: synthesise 500–1,000 (SHAP values + risk flags) → (risk narrative) training pairs from your estimation reports and risk register. LoRA fine-tune.</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Data Scientist + ML Engineer</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Fine-tuned SLM checkpoint; blinded evaluation vs base model</w:t>
            </w:r>
          </w:p>
        </w:tc>
      </w:tr>
      <w:tr>
        <w:tc>
          <w:tcPr>
            <w:tcW w:type="dxa" w:w="9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16–17</w:t>
            </w:r>
          </w:p>
        </w:tc>
        <w:tc>
          <w:tcPr>
            <w:tcW w:type="dxa" w:w="45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Integrate: Estimation Risk Dashboard calls Classical ML → RAG retrieval → SLM narrative. Single user query → combined output.</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Full Stack Dev</w:t>
            </w:r>
          </w:p>
        </w:tc>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Unified risk assessment: probability + comparators + narrative</w:t>
            </w:r>
          </w:p>
        </w:tc>
      </w:tr>
      <w:tr>
        <w:tc>
          <w:tcPr>
            <w:tcW w:type="dxa" w:w="9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18–20</w:t>
            </w:r>
          </w:p>
        </w:tc>
        <w:tc>
          <w:tcPr>
            <w:tcW w:type="dxa" w:w="45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Pilot with 5 live engagements: estimators run real estimates through the tool. Collect feedback. Compare predictions to eventual actuals.</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CoE</w:t>
            </w:r>
          </w:p>
        </w:tc>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Pilot evaluation report; model accuracy validation</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Phase 2 Infrastructure Requirements</w:t>
            </w:r>
          </w:p>
        </w:tc>
      </w:tr>
      <w:tr>
        <w:tc>
          <w:tcPr>
            <w:tcW w:type="dxa" w:w="10080"/>
            <w:shd w:fill="E3F2FD" w:color="auto" w:val="clear"/>
            <w:tcMar>
              <w:top w:type="dxa" w:w="90"/>
              <w:left w:type="dxa" w:w="140"/>
              <w:bottom w:type="dxa" w:w="90"/>
              <w:right w:type="dxa" w:w="120"/>
            </w:tcMar>
          </w:tcPr>
          <w:p>
            <w:pPr>
              <w:spacing w:after="70"/>
              <w:ind w:left="120"/>
            </w:pPr>
            <w:r>
              <w:rPr>
                <w:rFonts w:ascii="Arial" w:cs="Arial" w:eastAsia="Arial" w:hAnsi="Arial"/>
                <w:b w:val="false"/>
                <w:bCs w:val="false"/>
                <w:i w:val="false"/>
                <w:iCs w:val="false"/>
                <w:color w:val="424242"/>
                <w:sz w:val="17"/>
                <w:szCs w:val="17"/>
              </w:rPr>
              <w:t xml:space="preserve">GPU server: 1× NVIDIA A10G (24GB VRAM) or equivalent — for SLM hosting and fine-tuning</w:t>
            </w:r>
          </w:p>
          <w:p>
            <w:pPr>
              <w:spacing w:after="70"/>
              <w:ind w:left="120"/>
            </w:pPr>
            <w:r>
              <w:rPr>
                <w:rFonts w:ascii="Arial" w:cs="Arial" w:eastAsia="Arial" w:hAnsi="Arial"/>
                <w:b w:val="false"/>
                <w:bCs w:val="false"/>
                <w:i w:val="false"/>
                <w:iCs w:val="false"/>
                <w:color w:val="424242"/>
                <w:sz w:val="17"/>
                <w:szCs w:val="17"/>
              </w:rPr>
              <w:t xml:space="preserve">Ollama (open source): serves local SLM over REST API — keeps model fully on-premise</w:t>
            </w:r>
          </w:p>
          <w:p>
            <w:pPr>
              <w:spacing w:after="70"/>
              <w:ind w:left="120"/>
            </w:pPr>
            <w:r>
              <w:rPr>
                <w:rFonts w:ascii="Arial" w:cs="Arial" w:eastAsia="Arial" w:hAnsi="Arial"/>
                <w:b w:val="false"/>
                <w:bCs w:val="false"/>
                <w:i w:val="false"/>
                <w:iCs w:val="false"/>
                <w:color w:val="424242"/>
                <w:sz w:val="17"/>
                <w:szCs w:val="17"/>
              </w:rPr>
              <w:t xml:space="preserve">pgvector: PostgreSQL extension for vector similarity search — free, no additional server needed</w:t>
            </w:r>
          </w:p>
          <w:p>
            <w:pPr>
              <w:spacing w:after="70"/>
              <w:ind w:left="120"/>
            </w:pPr>
            <w:r>
              <w:rPr>
                <w:rFonts w:ascii="Arial" w:cs="Arial" w:eastAsia="Arial" w:hAnsi="Arial"/>
                <w:b w:val="false"/>
                <w:bCs w:val="false"/>
                <w:i w:val="false"/>
                <w:iCs w:val="false"/>
                <w:color w:val="424242"/>
                <w:sz w:val="17"/>
                <w:szCs w:val="17"/>
              </w:rPr>
              <w:t xml:space="preserve">Alternative to own GPU: Azure Confidential Computing VM (NCv3) in private VNet — data stays in your tenancy</w:t>
            </w:r>
          </w:p>
          <w:p>
            <w:pPr>
              <w:spacing w:after="70"/>
              <w:ind w:left="120"/>
            </w:pPr>
            <w:r>
              <w:rPr>
                <w:rFonts w:ascii="Arial" w:cs="Arial" w:eastAsia="Arial" w:hAnsi="Arial"/>
                <w:b w:val="false"/>
                <w:bCs w:val="false"/>
                <w:i w:val="false"/>
                <w:iCs w:val="false"/>
                <w:color w:val="424242"/>
                <w:sz w:val="17"/>
                <w:szCs w:val="17"/>
              </w:rPr>
              <w:t xml:space="preserve">Estimated additional cost: £800–£2,500/month (cloud GPU) or £8,000–£15,000 one-time (on-premise GPU server)</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Phase 3 — Continuous Learning &amp; Federated Extension (Month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gridCol w:w="2400"/>
      </w:tblGrid>
      <w:tr>
        <w:trPr>
          <w:tblHeader/>
        </w:trPr>
        <w:tc>
          <w:tcPr>
            <w:tcW w:type="dxa" w:w="32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Activity</w:t>
            </w:r>
          </w:p>
        </w:tc>
        <w:tc>
          <w:tcPr>
            <w:tcW w:type="dxa" w:w="5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Description</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Trigger</w:t>
            </w:r>
          </w:p>
        </w:tc>
      </w:tr>
      <w:tr>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Automated model retraining</w:t>
            </w:r>
          </w:p>
        </w:tc>
        <w:tc>
          <w:tcPr>
            <w:tcW w:type="dxa" w:w="5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Retrain Classical ML model automatically when 20+ new project actuals are added to the dataset. Compare new model vs champion model. Auto-promote if RMSE improves.</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New project close; quarterly cadence</w:t>
            </w:r>
          </w:p>
        </w:tc>
      </w:tr>
      <w:tr>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Prediction vs actual tracking</w:t>
            </w:r>
          </w:p>
        </w:tc>
        <w:tc>
          <w:tcPr>
            <w:tcW w:type="dxa" w:w="5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For every estimate scored by the tool, track the eventual actual deviation at project close. Build a prediction accuracy dashboard.</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close; feed back into training data</w:t>
            </w:r>
          </w:p>
        </w:tc>
      </w:tr>
      <w:tr>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Drift detection</w:t>
            </w:r>
          </w:p>
        </w:tc>
        <w:tc>
          <w:tcPr>
            <w:tcW w:type="dxa" w:w="5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Monitor feature distribution shift (new module types, new industries). Alert if input distribution drifts &gt;15% from training distribution.</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Monthly automated check</w:t>
            </w:r>
          </w:p>
        </w:tc>
      </w:tr>
      <w:tr>
        <w:tc>
          <w:tcPr>
            <w:tcW w:type="dxa" w:w="32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Federated learning pilot</w:t>
            </w:r>
          </w:p>
        </w:tc>
        <w:tc>
          <w:tcPr>
            <w:tcW w:type="dxa" w:w="5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If SI firm partner collaboration is agreed, pilot Flower-based federated averaging across 2–3 firms' local models (no data sharing).</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N&gt;2,000 projects; partner agreement signed</w:t>
            </w:r>
          </w:p>
        </w:tc>
      </w:tr>
      <w:tr>
        <w:tc>
          <w:tcPr>
            <w:tcW w:type="dxa" w:w="32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SLM capability expansion</w:t>
            </w:r>
          </w:p>
        </w:tc>
        <w:tc>
          <w:tcPr>
            <w:tcW w:type="dxa" w:w="5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Extend fine-tuned SLM to handle: 'Why did this specific phase overrun?', 'What should we do differently?', 'Generate a risk register from this estimate.'</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Phase 1+2 stable; SLM evaluation complete</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6.  Data Privacy Architecture — Ensuring Nothing Leaves</w:t>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6.1  Network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3400"/>
      </w:tblGrid>
      <w:tr>
        <w:trPr>
          <w:tblHeader/>
        </w:trPr>
        <w:tc>
          <w:tcPr>
            <w:tcW w:type="dxa" w:w="2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Component</w:t>
            </w:r>
          </w:p>
        </w:tc>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Location</w:t>
            </w:r>
          </w:p>
        </w:tc>
        <w:tc>
          <w:tcPr>
            <w:tcW w:type="dxa" w:w="2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External Network Access</w:t>
            </w:r>
          </w:p>
        </w:tc>
        <w:tc>
          <w:tcPr>
            <w:tcW w:type="dxa" w:w="3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Data It Holds</w:t>
            </w:r>
          </w:p>
        </w:tc>
      </w:tr>
      <w:tr>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Execution Dataset (Excel/PostgreSQL)</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On-premise / Private VPC</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NONE — air-gapped from internet</w:t>
            </w:r>
          </w:p>
        </w:tc>
        <w:tc>
          <w:tcPr>
            <w:tcW w:type="dxa" w:w="3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Raw project actuals; all PII-adjacent data</w:t>
            </w:r>
          </w:p>
        </w:tc>
      </w:tr>
      <w:tr>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Feature Store (PostgreSQL)</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On-premise / Private VPC</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NONE</w:t>
            </w:r>
          </w:p>
        </w:tc>
        <w:tc>
          <w:tcPr>
            <w:tcW w:type="dxa" w:w="3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Derived feature matrix; no raw project records</w:t>
            </w:r>
          </w:p>
        </w:tc>
      </w:tr>
      <w:tr>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Classical ML Model (XGBoost)</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On-premise / Private VPC</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NONE</w:t>
            </w:r>
          </w:p>
        </w:tc>
        <w:tc>
          <w:tcPr>
            <w:tcW w:type="dxa" w:w="3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Model weights; no training data stored in model</w:t>
            </w:r>
          </w:p>
        </w:tc>
      </w:tr>
      <w:tr>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Vector Database (pgvector)</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On-premise / Private VPC</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NONE</w:t>
            </w:r>
          </w:p>
        </w:tc>
        <w:tc>
          <w:tcPr>
            <w:tcW w:type="dxa" w:w="3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Project embeddings (numeric vectors only)</w:t>
            </w:r>
          </w:p>
        </w:tc>
      </w:tr>
      <w:tr>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Local SLM (Mistral/Phi-3 via Ollama)</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On-premise GPU / Private VPC</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NONE</w:t>
            </w:r>
          </w:p>
        </w:tc>
        <w:tc>
          <w:tcPr>
            <w:tcW w:type="dxa" w:w="3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Model weights only; no fine-tuning data retained post-training</w:t>
            </w:r>
          </w:p>
        </w:tc>
      </w:tr>
      <w:tr>
        <w:tc>
          <w:tcPr>
            <w:tcW w:type="dxa" w:w="2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Estimation Risk Dashboard UI</w:t>
            </w:r>
          </w:p>
        </w:tc>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Internal network only</w:t>
            </w:r>
          </w:p>
        </w:tc>
        <w:tc>
          <w:tcPr>
            <w:tcW w:type="dxa" w:w="2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NONE — no CDN, no analytics, no external scripts</w:t>
            </w:r>
          </w:p>
        </w:tc>
        <w:tc>
          <w:tcPr>
            <w:tcW w:type="dxa" w:w="3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None — stateless UI; sends/receives only current estimate inputs and predictions</w:t>
            </w:r>
          </w:p>
        </w:tc>
      </w:tr>
      <w:tr>
        <w:tc>
          <w:tcPr>
            <w:tcW w:type="dxa" w:w="2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Any external LLM API</w:t>
            </w:r>
          </w:p>
        </w:tc>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C74634"/>
                <w:sz w:val="16"/>
                <w:szCs w:val="16"/>
              </w:rPr>
              <w:t xml:space="preserve">NOT USED — explicitly prohibited</w:t>
            </w:r>
          </w:p>
        </w:tc>
        <w:tc>
          <w:tcPr>
            <w:tcW w:type="dxa" w:w="2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N/A</w:t>
            </w:r>
          </w:p>
        </w:tc>
        <w:tc>
          <w:tcPr>
            <w:tcW w:type="dxa" w:w="3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N/A</w:t>
            </w:r>
          </w:p>
        </w:tc>
      </w:tr>
    </w:tbl>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6.2  What Each Model Sees — Data Minimisation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00"/>
        <w:gridCol w:w="1600"/>
      </w:tblGrid>
      <w:tr>
        <w:trPr>
          <w:tblHeader/>
        </w:trPr>
        <w:tc>
          <w:tcPr>
            <w:tcW w:type="dxa" w:w="2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Model</w:t>
            </w:r>
          </w:p>
        </w:tc>
        <w:tc>
          <w:tcPr>
            <w:tcW w:type="dxa" w:w="2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Sees Raw Project Data?</w:t>
            </w:r>
          </w:p>
        </w:tc>
        <w:tc>
          <w:tcPr>
            <w:tcW w:type="dxa" w:w="5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What It Actually Receives</w:t>
            </w:r>
          </w:p>
        </w:tc>
        <w:tc>
          <w:tcPr>
            <w:tcW w:type="dxa" w:w="16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Risk Level</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Classical ML (XGBoost)</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Only during training (on-premise, offline)</w:t>
            </w:r>
          </w:p>
        </w:tc>
        <w:tc>
          <w:tcPr>
            <w:tcW w:type="dxa" w:w="5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16 numeric/categorical features per project; no client names, no personnel data</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LOW</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Embedding Model</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Only at indexing time (on-premise)</w:t>
            </w:r>
          </w:p>
        </w:tc>
        <w:tc>
          <w:tcPr>
            <w:tcW w:type="dxa" w:w="5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Feature vectors + phase reason text (anonymised)</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LOW</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Vector Database</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Stores embeddings only</w:t>
            </w:r>
          </w:p>
        </w:tc>
        <w:tc>
          <w:tcPr>
            <w:tcW w:type="dxa" w:w="5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Numeric vectors; no human-readable project data</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VERY LOW</w:t>
            </w:r>
          </w:p>
        </w:tc>
      </w:tr>
      <w:tr>
        <w:tc>
          <w:tcPr>
            <w:tcW w:type="dxa" w:w="2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Local SLM (at inference)</w:t>
            </w:r>
          </w:p>
        </w:tc>
        <w:tc>
          <w:tcPr>
            <w:tcW w:type="dxa" w:w="2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NO — never</w:t>
            </w:r>
          </w:p>
        </w:tc>
        <w:tc>
          <w:tcPr>
            <w:tcW w:type="dxa" w:w="5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Receives: SHAP values (numbers), overrun probability, retrieved comparator summary (generated text). Never receives a raw project record.</w:t>
            </w:r>
          </w:p>
        </w:tc>
        <w:tc>
          <w:tcPr>
            <w:tcW w:type="dxa" w:w="16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bCs/>
                <w:i w:val="false"/>
                <w:iCs w:val="false"/>
                <w:color w:val="2E7D32"/>
                <w:sz w:val="16"/>
                <w:szCs w:val="16"/>
              </w:rPr>
              <w:t xml:space="preserve">VERY LOW — by design</w:t>
            </w:r>
          </w:p>
        </w:tc>
      </w:tr>
      <w:tr>
        <w:tc>
          <w:tcPr>
            <w:tcW w:type="dxa" w:w="2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Fine-tuning pipeline</w:t>
            </w:r>
          </w:p>
        </w:tc>
        <w:tc>
          <w:tcPr>
            <w:tcW w:type="dxa" w:w="2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Only fine-tuning pairs (synthesised)</w:t>
            </w:r>
          </w:p>
        </w:tc>
        <w:tc>
          <w:tcPr>
            <w:tcW w:type="dxa" w:w="5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(SHAP output text) → (Risk narrative). Synthesised from existing reports; no real project records.</w:t>
            </w:r>
          </w:p>
        </w:tc>
        <w:tc>
          <w:tcPr>
            <w:tcW w:type="dxa" w:w="16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LOW</w:t>
            </w:r>
          </w:p>
        </w:tc>
      </w:tr>
    </w:tbl>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The Privacy Guarantee — Architectural, Not Procedural</w:t>
            </w:r>
          </w:p>
        </w:tc>
      </w:tr>
      <w:tr>
        <w:tc>
          <w:tcPr>
            <w:tcW w:type="dxa" w:w="10080"/>
            <w:shd w:fill="FFF3CD" w:color="auto" w:val="clear"/>
            <w:tcMar>
              <w:top w:type="dxa" w:w="90"/>
              <w:left w:type="dxa" w:w="140"/>
              <w:bottom w:type="dxa" w:w="90"/>
              <w:right w:type="dxa" w:w="120"/>
            </w:tcMar>
          </w:tcPr>
          <w:p>
            <w:pPr>
              <w:spacing w:after="70"/>
              <w:ind w:left="120"/>
            </w:pPr>
            <w:r>
              <w:rPr>
                <w:rFonts w:ascii="Arial" w:cs="Arial" w:eastAsia="Arial" w:hAnsi="Arial"/>
                <w:b w:val="false"/>
                <w:bCs w:val="false"/>
                <w:i w:val="false"/>
                <w:iCs w:val="false"/>
                <w:color w:val="424242"/>
                <w:sz w:val="17"/>
                <w:szCs w:val="17"/>
              </w:rPr>
              <w:t xml:space="preserve">The critical design decision is this: raw project data NEVER enters the language model — neither during training nor inference. The language model only ever sees numbers (model outputs) and turns them into text.</w:t>
            </w:r>
          </w:p>
          <w:p>
            <w:pPr>
              <w:spacing w:after="70"/>
              <w:ind w:left="120"/>
            </w:pPr>
            <w:r>
              <w:rPr>
                <w:rFonts w:ascii="Arial" w:cs="Arial" w:eastAsia="Arial" w:hAnsi="Arial"/>
                <w:b w:val="false"/>
                <w:bCs w:val="false"/>
                <w:i w:val="false"/>
                <w:iCs w:val="false"/>
                <w:color w:val="424242"/>
                <w:sz w:val="17"/>
                <w:szCs w:val="17"/>
              </w:rPr>
              <w:t xml:space="preserve">This means even if the SLM were somehow extracted or exposed, it would contain no client data, no project records, and no commercially sensitive actuals. The privacy protection is structural, not dependent on access controls alone.</w:t>
            </w:r>
          </w:p>
          <w:p>
            <w:pPr>
              <w:spacing w:after="70"/>
              <w:ind w:left="120"/>
            </w:pPr>
            <w:r>
              <w:rPr>
                <w:rFonts w:ascii="Arial" w:cs="Arial" w:eastAsia="Arial" w:hAnsi="Arial"/>
                <w:b w:val="false"/>
                <w:bCs w:val="false"/>
                <w:i w:val="false"/>
                <w:iCs w:val="false"/>
                <w:color w:val="424242"/>
                <w:sz w:val="17"/>
                <w:szCs w:val="17"/>
              </w:rPr>
              <w:t xml:space="preserve">This architecture satisfies GDPR Article 25 (Data Protection by Design) and DPDPA requirements for technical measures.</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Style w:val="Heading2"/>
        <w:spacing w:after="80" w:before="240"/>
      </w:pPr>
      <w:r>
        <w:rPr>
          <w:rFonts w:ascii="Arial" w:cs="Arial" w:eastAsia="Arial" w:hAnsi="Arial"/>
          <w:b/>
          <w:bCs/>
          <w:i w:val="false"/>
          <w:iCs w:val="false"/>
          <w:color w:val="C74634"/>
          <w:sz w:val="22"/>
          <w:szCs w:val="22"/>
        </w:rPr>
        <w:t xml:space="preserve">6.3  Anonymisation Requirements Before Training</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Remove client names: replace with a project ID (OFP-0001 etc — already done in the dataset)</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Remove SI firm names if contractually sensitive: replace with SI-A, SI-B, SI-C</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Remove go-live dates if they could be used to re-identify a specific client programme</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Remove any free-text fields that might contain client-identifying information</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Apply k-anonymity check: no combination of (industry, modules, N-entities, go-live year) should uniquely identify a single client</w:t>
      </w:r>
    </w:p>
    <w:p>
      <w:pPr>
        <w:spacing w:after="80"/>
        <w:ind w:left="360" w:hanging="220"/>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Store the mapping table (project ID → real client) in a separately controlled system; ML pipeline only works with project IDs</w:t>
      </w:r>
    </w:p>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7.  What the Output Looks Like — User Experience</w:t>
      </w:r>
    </w:p>
    <w:p>
      <w:pPr>
        <w:spacing w:after="100" w:before="0"/>
        <w:jc w:val="left"/>
      </w:pPr>
      <w:r>
        <w:rPr>
          <w:rFonts w:ascii="Arial" w:cs="Arial" w:eastAsia="Arial" w:hAnsi="Arial"/>
          <w:b w:val="false"/>
          <w:bCs w:val="false"/>
          <w:i w:val="false"/>
          <w:iCs w:val="false"/>
          <w:color w:val="000000"/>
          <w:sz w:val="18"/>
          <w:szCs w:val="18"/>
        </w:rPr>
        <w:t xml:space="preserve">The Estimation Risk Dashboard receives the completed HL Estimator inputs and returns a unified risk assessment in under 3 seconds. Here is a representative output for a High complexity ERP+HCM programme:</w:t>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1A237E"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ESTIMATION RISK ASSESSMENT  |  OFP-LIVE-2024-047  |  Generated: 15-Jul-2026</w:t>
            </w:r>
          </w:p>
        </w:tc>
      </w:tr>
      <w:tr>
        <w:tc>
          <w:tcPr>
            <w:tcW w:type="dxa" w:w="10080"/>
            <w:shd w:fill="F2F2F2" w:color="auto" w:val="clear"/>
            <w:tcMar>
              <w:top w:type="dxa" w:w="90"/>
              <w:left w:type="dxa" w:w="140"/>
              <w:bottom w:type="dxa" w:w="90"/>
              <w:right w:type="dxa" w:w="120"/>
            </w:tcMar>
          </w:tcPr>
          <w:p>
            <w:pPr>
              <w:spacing w:after="80"/>
              <w:ind w:left="120"/>
            </w:pPr>
            <w:r>
              <w:rPr>
                <w:rFonts w:ascii="Arial" w:cs="Arial" w:eastAsia="Arial" w:hAnsi="Arial"/>
                <w:b/>
                <w:bCs/>
                <w:i w:val="false"/>
                <w:iCs w:val="false"/>
                <w:color w:val="8B0000"/>
                <w:sz w:val="20"/>
                <w:szCs w:val="20"/>
              </w:rPr>
              <w:t xml:space="preserve">OVERALL RISK PREDICTION</w:t>
            </w:r>
          </w:p>
          <w:p>
            <w:pPr>
              <w:spacing w:after="60"/>
              <w:ind w:left="120"/>
            </w:pPr>
            <w:r>
              <w:rPr>
                <w:rFonts w:ascii="Arial" w:cs="Arial" w:eastAsia="Arial" w:hAnsi="Arial"/>
                <w:b/>
                <w:bCs/>
                <w:i w:val="false"/>
                <w:iCs w:val="false"/>
                <w:color w:val="424242"/>
                <w:sz w:val="18"/>
                <w:szCs w:val="18"/>
              </w:rPr>
              <w:t xml:space="preserve">Predicted Overrun:  </w:t>
            </w:r>
            <w:r>
              <w:rPr>
                <w:rFonts w:ascii="Arial" w:cs="Arial" w:eastAsia="Arial" w:hAnsi="Arial"/>
                <w:b/>
                <w:bCs/>
                <w:i w:val="false"/>
                <w:iCs w:val="false"/>
                <w:color w:val="C74634"/>
                <w:sz w:val="18"/>
                <w:szCs w:val="18"/>
              </w:rPr>
              <w:t xml:space="preserve">+24% to +38%  (P25–P75 range)</w:t>
            </w:r>
            <w:r>
              <w:rPr>
                <w:rFonts w:ascii="Arial" w:cs="Arial" w:eastAsia="Arial" w:hAnsi="Arial"/>
                <w:b w:val="false"/>
                <w:bCs w:val="false"/>
                <w:i w:val="false"/>
                <w:iCs w:val="false"/>
                <w:color w:val="757575"/>
                <w:sz w:val="18"/>
                <w:szCs w:val="18"/>
              </w:rPr>
              <w:t xml:space="preserve">   |   </w:t>
            </w:r>
            <w:r>
              <w:rPr>
                <w:rFonts w:ascii="Arial" w:cs="Arial" w:eastAsia="Arial" w:hAnsi="Arial"/>
                <w:b/>
                <w:bCs/>
                <w:i w:val="false"/>
                <w:iCs w:val="false"/>
                <w:color w:val="424242"/>
                <w:sz w:val="18"/>
                <w:szCs w:val="18"/>
              </w:rPr>
              <w:t xml:space="preserve">Overrun Probability (&gt;20%):  </w:t>
            </w:r>
            <w:r>
              <w:rPr>
                <w:rFonts w:ascii="Arial" w:cs="Arial" w:eastAsia="Arial" w:hAnsi="Arial"/>
                <w:b/>
                <w:bCs/>
                <w:i w:val="false"/>
                <w:iCs w:val="false"/>
                <w:color w:val="C74634"/>
                <w:sz w:val="18"/>
                <w:szCs w:val="18"/>
              </w:rPr>
              <w:t xml:space="preserve">71%</w:t>
            </w:r>
          </w:p>
          <w:p>
            <w:pPr>
              <w:spacing w:after="60"/>
              <w:ind w:left="120"/>
            </w:pPr>
            <w:r>
              <w:rPr>
                <w:rFonts w:ascii="Arial" w:cs="Arial" w:eastAsia="Arial" w:hAnsi="Arial"/>
                <w:b/>
                <w:bCs/>
                <w:i w:val="false"/>
                <w:iCs w:val="false"/>
                <w:color w:val="424242"/>
                <w:sz w:val="18"/>
                <w:szCs w:val="18"/>
              </w:rPr>
              <w:t xml:space="preserve">Benchmark Confidence Score:  </w:t>
            </w:r>
            <w:r>
              <w:rPr>
                <w:rFonts w:ascii="Arial" w:cs="Arial" w:eastAsia="Arial" w:hAnsi="Arial"/>
                <w:b/>
                <w:bCs/>
                <w:i w:val="false"/>
                <w:iCs w:val="false"/>
                <w:color w:val="F5A623"/>
                <w:sz w:val="18"/>
                <w:szCs w:val="18"/>
              </w:rPr>
              <w:t xml:space="preserve">1.95  /  3.0  →  AMBER</w:t>
            </w:r>
          </w:p>
          <w:p>
            <w:pPr>
              <w:spacing w:after="60"/>
              <w:ind w:left="120"/>
            </w:pPr>
            <w:r>
              <w:rPr>
                <w:rFonts w:ascii="Arial" w:cs="Arial" w:eastAsia="Arial" w:hAnsi="Arial"/>
                <w:b/>
                <w:bCs/>
                <w:i w:val="false"/>
                <w:iCs w:val="false"/>
                <w:color w:val="424242"/>
                <w:sz w:val="18"/>
                <w:szCs w:val="18"/>
              </w:rPr>
              <w:t xml:space="preserve">Most Similar Past Projects:  </w:t>
            </w:r>
            <w:r>
              <w:rPr>
                <w:rFonts w:ascii="Arial" w:cs="Arial" w:eastAsia="Arial" w:hAnsi="Arial"/>
                <w:b w:val="false"/>
                <w:bCs w:val="false"/>
                <w:i w:val="false"/>
                <w:iCs w:val="false"/>
                <w:color w:val="424242"/>
                <w:sz w:val="17"/>
                <w:szCs w:val="17"/>
              </w:rPr>
              <w:t xml:space="preserve">38 comparators found (H complexity, ERP+HCM, 3–4 modules, Manufacturing/BFSI). Median actual = 2,050 days. P75 = 2,420 days.</w:t>
            </w:r>
          </w:p>
          <w:p>
            <w:pPr>
              <w:spacing w:after="40" w:before="80"/>
              <w:ind w:left="120"/>
            </w:pPr>
            <w:r>
              <w:rPr>
                <w:rFonts w:ascii="Arial" w:cs="Arial" w:eastAsia="Arial" w:hAnsi="Arial"/>
                <w:b/>
                <w:bCs/>
                <w:i w:val="false"/>
                <w:iCs w:val="false"/>
                <w:color w:val="1A237E"/>
                <w:sz w:val="19"/>
                <w:szCs w:val="19"/>
              </w:rPr>
              <w:t xml:space="preserve">TOP RISK DRIVERS  (SHAP Feature Importance)</w:t>
            </w:r>
          </w:p>
          <w:p>
            <w:pPr>
              <w:spacing w:after="40"/>
              <w:ind w:left="200"/>
            </w:pPr>
            <w:r>
              <w:rPr>
                <w:rFonts w:ascii="Arial" w:cs="Arial" w:eastAsia="Arial" w:hAnsi="Arial"/>
                <w:b/>
                <w:bCs/>
                <w:i w:val="false"/>
                <w:iCs w:val="false"/>
                <w:color w:val="C74634"/>
                <w:sz w:val="17"/>
                <w:szCs w:val="17"/>
              </w:rPr>
              <w:t xml:space="preserve">1.  Integration coverage ratio = 0.67  (below 0.85 threshold)  →  +8.2pp overrun contribution</w:t>
            </w:r>
          </w:p>
          <w:p>
            <w:pPr>
              <w:spacing w:after="40"/>
              <w:ind w:left="200"/>
            </w:pPr>
            <w:r>
              <w:rPr>
                <w:rFonts w:ascii="Arial" w:cs="Arial" w:eastAsia="Arial" w:hAnsi="Arial"/>
                <w:b/>
                <w:bCs/>
                <w:i w:val="false"/>
                <w:iCs w:val="false"/>
                <w:color w:val="F5A623"/>
                <w:sz w:val="17"/>
                <w:szCs w:val="17"/>
              </w:rPr>
              <w:t xml:space="preserve">2.  Contingency % = 15%  (below H-complexity P50 of 22%)  →  +5.1pp overrun contribution</w:t>
            </w:r>
          </w:p>
          <w:p>
            <w:pPr>
              <w:spacing w:after="40"/>
              <w:ind w:left="200"/>
            </w:pPr>
            <w:r>
              <w:rPr>
                <w:rFonts w:ascii="Arial" w:cs="Arial" w:eastAsia="Arial" w:hAnsi="Arial"/>
                <w:b w:val="false"/>
                <w:bCs w:val="false"/>
                <w:i w:val="false"/>
                <w:iCs w:val="false"/>
                <w:color w:val="F5A623"/>
                <w:sz w:val="17"/>
                <w:szCs w:val="17"/>
              </w:rPr>
              <w:t xml:space="preserve">3.  Build phase = 30%  (below 32% calibrated benchmark)  →  +3.8pp overrun contribution</w:t>
            </w:r>
          </w:p>
          <w:p>
            <w:pPr>
              <w:spacing w:after="40"/>
              <w:ind w:left="200"/>
            </w:pPr>
            <w:r>
              <w:rPr>
                <w:rFonts w:ascii="Arial" w:cs="Arial" w:eastAsia="Arial" w:hAnsi="Arial"/>
                <w:b w:val="false"/>
                <w:bCs w:val="false"/>
                <w:i w:val="false"/>
                <w:iCs w:val="false"/>
                <w:color w:val="424242"/>
                <w:sz w:val="17"/>
                <w:szCs w:val="17"/>
              </w:rPr>
              <w:t xml:space="preserve">4.  N CEMLI = 12  (above P50 for H complexity = 8)  →  +2.4pp overrun contribution</w:t>
            </w:r>
          </w:p>
          <w:p>
            <w:pPr>
              <w:spacing w:after="40" w:before="80"/>
              <w:ind w:left="120"/>
            </w:pPr>
            <w:r>
              <w:rPr>
                <w:rFonts w:ascii="Arial" w:cs="Arial" w:eastAsia="Arial" w:hAnsi="Arial"/>
                <w:b/>
                <w:bCs/>
                <w:i w:val="false"/>
                <w:iCs w:val="false"/>
                <w:color w:val="1A237E"/>
                <w:sz w:val="19"/>
                <w:szCs w:val="19"/>
              </w:rPr>
              <w:t xml:space="preserve">RISK NARRATIVE  (generated by local SLM from SHAP outputs)</w:t>
            </w:r>
          </w:p>
          <w:p>
            <w:pPr>
              <w:spacing w:after="60"/>
              <w:ind w:left="160"/>
            </w:pPr>
            <w:r>
              <w:rPr>
                <w:rFonts w:ascii="Arial" w:cs="Arial" w:eastAsia="Arial" w:hAnsi="Arial"/>
                <w:b w:val="false"/>
                <w:bCs w:val="false"/>
                <w:i/>
                <w:iCs/>
                <w:color w:val="424242"/>
                <w:sz w:val="17"/>
                <w:szCs w:val="17"/>
              </w:rPr>
              <w:t xml:space="preserve">This estimate carries elevated delivery risk primarily driven by the integration stream. The estimated integration effort of 220 days covers only 67% of the benchmark formula value for 20 simple and 8 complex interfaces at High complexity. In the 38 comparable historical projects, estimates with integration coverage below 0.70 overran by a median of 31%, with the integration and SIT phases being the primary contributors in 82% of cases. The contingency level of 15% is below the dataset-derived P50 minimum of 22% for High complexity programmes. Before submission, conduct a structured integration inventory workshop to confirm interface count and complexity classification, and revise the contingency to a minimum of 22%. These two actions alone would improve the predicted overrun range to +12% to +24%.</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r>
        <w:br w:type="page"/>
      </w:r>
    </w:p>
    <w:p>
      <w:pPr>
        <w:pStyle w:val="Heading1"/>
        <w:pBdr>
          <w:bottom w:val="single" w:color="C74634" w:sz="8"/>
        </w:pBdr>
        <w:spacing w:after="120" w:before="320"/>
      </w:pPr>
      <w:r>
        <w:rPr>
          <w:rFonts w:ascii="Arial" w:cs="Arial" w:eastAsia="Arial" w:hAnsi="Arial"/>
          <w:b/>
          <w:bCs/>
          <w:i w:val="false"/>
          <w:iCs w:val="false"/>
          <w:color w:val="8B0000"/>
          <w:sz w:val="28"/>
          <w:szCs w:val="28"/>
        </w:rPr>
        <w:t xml:space="preserve">8.  Decision Framework — Which Pattern to Build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800"/>
        <w:gridCol w:w="3400"/>
      </w:tblGrid>
      <w:tr>
        <w:trPr>
          <w:tblHeader/>
        </w:trPr>
        <w:tc>
          <w:tcPr>
            <w:tcW w:type="dxa" w:w="40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Question</w:t>
            </w:r>
          </w:p>
        </w:tc>
        <w:tc>
          <w:tcPr>
            <w:tcW w:type="dxa" w:w="38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If YES →</w:t>
            </w:r>
          </w:p>
        </w:tc>
        <w:tc>
          <w:tcPr>
            <w:tcW w:type="dxa" w:w="3400"/>
            <w:shd w:fill="424242" w:color="auto" w:val="clear"/>
            <w:tcMar>
              <w:top w:type="dxa" w:w="60"/>
              <w:left w:type="dxa" w:w="80"/>
              <w:bottom w:type="dxa" w:w="60"/>
              <w:right w:type="dxa" w:w="80"/>
            </w:tcMar>
            <w:vAlign w:val="center"/>
          </w:tcPr>
          <w:p>
            <w:pPr>
              <w:spacing w:after="60" w:before="60"/>
              <w:jc w:val="center"/>
            </w:pPr>
            <w:r>
              <w:rPr>
                <w:rFonts w:ascii="Arial" w:cs="Arial" w:eastAsia="Arial" w:hAnsi="Arial"/>
                <w:b/>
                <w:bCs/>
                <w:i w:val="false"/>
                <w:iCs w:val="false"/>
                <w:color w:val="FFFFFF"/>
                <w:sz w:val="16"/>
                <w:szCs w:val="16"/>
              </w:rPr>
              <w:t xml:space="preserve">If NO →</w:t>
            </w:r>
          </w:p>
        </w:tc>
      </w:tr>
      <w:tr>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Do you have ≥200 completed projects in your dataset?</w:t>
            </w:r>
          </w:p>
        </w:tc>
        <w:tc>
          <w:tcPr>
            <w:tcW w:type="dxa" w:w="3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Proceed to Pattern 1 (Classical ML) immediately</w:t>
            </w:r>
          </w:p>
        </w:tc>
        <w:tc>
          <w:tcPr>
            <w:tcW w:type="dxa" w:w="3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Prioritise dataset collection. Use calibration benchmarks manually until N≥200</w:t>
            </w:r>
          </w:p>
        </w:tc>
      </w:tr>
      <w:tr>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Is the primary need calibration or prediction?</w:t>
            </w:r>
          </w:p>
        </w:tc>
        <w:tc>
          <w:tcPr>
            <w:tcW w:type="dxa" w:w="3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If calibration → start with XGBoost regression (UC-1). If prediction → start with classification (UC-2)</w:t>
            </w:r>
          </w:p>
        </w:tc>
        <w:tc>
          <w:tcPr>
            <w:tcW w:type="dxa" w:w="3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w:t>
            </w:r>
          </w:p>
        </w:tc>
      </w:tr>
      <w:tr>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Do you have a GPU server or budget for one?</w:t>
            </w:r>
          </w:p>
        </w:tc>
        <w:tc>
          <w:tcPr>
            <w:tcW w:type="dxa" w:w="3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Include Pattern 2 (SLM) in Phase 2 roadmap</w:t>
            </w:r>
          </w:p>
        </w:tc>
        <w:tc>
          <w:tcPr>
            <w:tcW w:type="dxa" w:w="3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Defer Pattern 2. Classical ML with structured output covers 80% of value at zero GPU cost</w:t>
            </w:r>
          </w:p>
        </w:tc>
      </w:tr>
      <w:tr>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Do you need natural language explanations for non-technical stakeholders?</w:t>
            </w:r>
          </w:p>
        </w:tc>
        <w:tc>
          <w:tcPr>
            <w:tcW w:type="dxa" w:w="3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Pattern 2 (local SLM fine-tuning) is required</w:t>
            </w:r>
          </w:p>
        </w:tc>
        <w:tc>
          <w:tcPr>
            <w:tcW w:type="dxa" w:w="3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Pattern 1 + SHAP bar charts + structured text templates provides sufficient explanation</w:t>
            </w:r>
          </w:p>
        </w:tc>
      </w:tr>
      <w:tr>
        <w:tc>
          <w:tcPr>
            <w:tcW w:type="dxa" w:w="40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Do you want to explore similar past projects interactively?</w:t>
            </w:r>
          </w:p>
        </w:tc>
        <w:tc>
          <w:tcPr>
            <w:tcW w:type="dxa" w:w="38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Pattern 3 (RAG + pgvector) is required</w:t>
            </w:r>
          </w:p>
        </w:tc>
        <w:tc>
          <w:tcPr>
            <w:tcW w:type="dxa" w:w="3400"/>
            <w:shd w:fill="F2F2F2"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Defer — add in Phase 2 after classical ML is stable</w:t>
            </w:r>
          </w:p>
        </w:tc>
      </w:tr>
      <w:tr>
        <w:tc>
          <w:tcPr>
            <w:tcW w:type="dxa" w:w="40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Do you want to collaborate with partner SIs on model improvement?</w:t>
            </w:r>
          </w:p>
        </w:tc>
        <w:tc>
          <w:tcPr>
            <w:tcW w:type="dxa" w:w="38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Design for Pattern 4 (Federated) from the start — align feature schemas now</w:t>
            </w:r>
          </w:p>
        </w:tc>
        <w:tc>
          <w:tcPr>
            <w:tcW w:type="dxa" w:w="3400"/>
            <w:shd w:fill="FFFFFF" w:color="auto" w:val="clear"/>
            <w:tcMar>
              <w:top w:type="dxa" w:w="50"/>
              <w:left w:type="dxa" w:w="80"/>
              <w:bottom w:type="dxa" w:w="50"/>
              <w:right w:type="dxa" w:w="80"/>
            </w:tcMar>
            <w:vAlign w:val="center"/>
          </w:tcPr>
          <w:p>
            <w:pPr>
              <w:spacing w:after="50" w:before="50"/>
              <w:jc w:val="left"/>
            </w:pPr>
            <w:r>
              <w:rPr>
                <w:rFonts w:ascii="Arial" w:cs="Arial" w:eastAsia="Arial" w:hAnsi="Arial"/>
                <w:b w:val="false"/>
                <w:bCs w:val="false"/>
                <w:i w:val="false"/>
                <w:iCs w:val="false"/>
                <w:color w:val="424242"/>
                <w:sz w:val="16"/>
                <w:szCs w:val="16"/>
              </w:rPr>
              <w:t xml:space="preserve">Defer Pattern 4. Focus on internal dataset quality first</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shd w:fill="C74634" w:color="auto" w:val="clear"/>
            <w:tcMar>
              <w:top w:type="dxa" w:w="60"/>
              <w:left w:type="dxa" w:w="120"/>
              <w:bottom w:type="dxa" w:w="60"/>
              <w:right w:type="dxa" w:w="120"/>
            </w:tcMar>
          </w:tcPr>
          <w:p>
            <w:pPr>
              <w:spacing w:after="60" w:before="60"/>
              <w:ind w:left="120"/>
            </w:pPr>
            <w:r>
              <w:rPr>
                <w:rFonts w:ascii="Arial" w:cs="Arial" w:eastAsia="Arial" w:hAnsi="Arial"/>
                <w:b/>
                <w:bCs/>
                <w:i w:val="false"/>
                <w:iCs w:val="false"/>
                <w:color w:val="FFFFFF"/>
                <w:sz w:val="19"/>
                <w:szCs w:val="19"/>
              </w:rPr>
              <w:t xml:space="preserve">Recommended Sequencing for Most Organisations</w:t>
            </w:r>
          </w:p>
        </w:tc>
      </w:tr>
      <w:tr>
        <w:tc>
          <w:tcPr>
            <w:tcW w:type="dxa" w:w="10080"/>
            <w:shd w:fill="FFF3CD" w:color="auto" w:val="clear"/>
            <w:tcMar>
              <w:top w:type="dxa" w:w="90"/>
              <w:left w:type="dxa" w:w="140"/>
              <w:bottom w:type="dxa" w:w="90"/>
              <w:right w:type="dxa" w:w="120"/>
            </w:tcMar>
          </w:tcPr>
          <w:p>
            <w:pPr>
              <w:spacing w:after="70"/>
              <w:ind w:left="120"/>
            </w:pPr>
            <w:r>
              <w:rPr>
                <w:rFonts w:ascii="Arial" w:cs="Arial" w:eastAsia="Arial" w:hAnsi="Arial"/>
                <w:b w:val="false"/>
                <w:bCs w:val="false"/>
                <w:i w:val="false"/>
                <w:iCs w:val="false"/>
                <w:color w:val="424242"/>
                <w:sz w:val="17"/>
                <w:szCs w:val="17"/>
              </w:rPr>
              <w:t xml:space="preserve">Phase 1 (Now, 0–8 weeks): Classical ML calibration + failure prediction engine. XGBoost + SHAP. FastAPI. Internal dashboard. Zero GPU cost.</w:t>
            </w:r>
          </w:p>
          <w:p>
            <w:pPr>
              <w:spacing w:after="70"/>
              <w:ind w:left="120"/>
            </w:pPr>
            <w:r>
              <w:rPr>
                <w:rFonts w:ascii="Arial" w:cs="Arial" w:eastAsia="Arial" w:hAnsi="Arial"/>
                <w:b w:val="false"/>
                <w:bCs w:val="false"/>
                <w:i w:val="false"/>
                <w:iCs w:val="false"/>
                <w:color w:val="424242"/>
                <w:sz w:val="17"/>
                <w:szCs w:val="17"/>
              </w:rPr>
              <w:t xml:space="preserve">Phase 2 (3–6 months): Local SLM for risk narratives. RAG for comparator retrieval. pgvector. Ollama. LoRA fine-tuning.</w:t>
            </w:r>
          </w:p>
          <w:p>
            <w:pPr>
              <w:spacing w:after="70"/>
              <w:ind w:left="120"/>
            </w:pPr>
            <w:r>
              <w:rPr>
                <w:rFonts w:ascii="Arial" w:cs="Arial" w:eastAsia="Arial" w:hAnsi="Arial"/>
                <w:b w:val="false"/>
                <w:bCs w:val="false"/>
                <w:i w:val="false"/>
                <w:iCs w:val="false"/>
                <w:color w:val="424242"/>
                <w:sz w:val="17"/>
                <w:szCs w:val="17"/>
              </w:rPr>
              <w:t xml:space="preserve">Phase 3 (6–18 months): Automated retraining pipeline. Prediction accuracy dashboard. Federated learning design if partner collaboration confirmed.</w:t>
            </w:r>
          </w:p>
          <w:p>
            <w:pPr>
              <w:spacing w:after="70"/>
              <w:ind w:left="120"/>
            </w:pPr>
            <w:r>
              <w:rPr>
                <w:rFonts w:ascii="Arial" w:cs="Arial" w:eastAsia="Arial" w:hAnsi="Arial"/>
                <w:b w:val="false"/>
                <w:bCs w:val="false"/>
                <w:i w:val="false"/>
                <w:iCs w:val="false"/>
                <w:color w:val="424242"/>
                <w:sz w:val="17"/>
                <w:szCs w:val="17"/>
              </w:rPr>
              <w:t xml:space="preserve">Do NOT: Start with an LLM API (data sovereignty). Do NOT: Buy a commercial AI platform before validating that classical ML gives you what you need (it usually does at N=500).</w:t>
            </w:r>
          </w:p>
        </w:tc>
      </w:tr>
    </w:tbl>
    <w:p>
      <w:pPr>
        <w:spacing w:after="60"/>
      </w:pPr>
      <w:r>
        <w:rPr>
          <w:rFonts w:ascii="Arial" w:cs="Arial" w:eastAsia="Arial" w:hAnsi="Arial"/>
          <w:b w:val="false"/>
          <w:bCs w:val="false"/>
          <w:i w:val="false"/>
          <w:iCs w:val="false"/>
          <w:color w:val="000000"/>
          <w:sz w:val="18"/>
          <w:szCs w:val="18"/>
        </w:rPr>
        <w:t xml:space="preserve"/>
      </w:r>
    </w:p>
    <w:p>
      <w:pPr>
        <w:spacing w:after="60"/>
      </w:pPr>
      <w:r>
        <w:rPr>
          <w:rFonts w:ascii="Arial" w:cs="Arial" w:eastAsia="Arial" w:hAnsi="Arial"/>
          <w:b w:val="false"/>
          <w:bCs w:val="false"/>
          <w:i w:val="false"/>
          <w:iCs w:val="false"/>
          <w:color w:val="000000"/>
          <w:sz w:val="18"/>
          <w:szCs w:val="18"/>
        </w:rPr>
        <w:t xml:space="preserve"/>
      </w:r>
    </w:p>
    <w:p>
      <w:pPr>
        <w:pBdr>
          <w:top w:val="single" w:color="C74634" w:sz="4"/>
        </w:pBdr>
        <w:spacing w:after="60" w:before="200"/>
      </w:pPr>
      <w:r>
        <w:rPr>
          <w:rFonts w:ascii="Arial" w:cs="Arial" w:eastAsia="Arial" w:hAnsi="Arial"/>
          <w:b w:val="false"/>
          <w:bCs w:val="false"/>
          <w:i/>
          <w:iCs/>
          <w:color w:val="757575"/>
          <w:sz w:val="15"/>
          <w:szCs w:val="15"/>
        </w:rPr>
        <w:t xml:space="preserve">Oracle Fusion Estimation CoE  |  EST-AI-STRATEGY-001 v1.0  |  Local AI/ML Strategy for Estimation Calibration &amp; Programme Risk Prediction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57575" w:sz="4"/>
      </w:pBdr>
      <w:jc w:val="right"/>
    </w:pPr>
    <w:r>
      <w:rPr>
        <w:rFonts w:ascii="Arial" w:cs="Arial" w:eastAsia="Arial" w:hAnsi="Arial"/>
        <w:b w:val="false"/>
        <w:bCs w:val="false"/>
        <w:i w:val="false"/>
        <w:iCs w:val="false"/>
        <w:color w:val="757575"/>
        <w:sz w:val="15"/>
        <w:szCs w:val="15"/>
      </w:rPr>
      <w:t xml:space="preserve">Page </w:t>
    </w:r>
    <w:r>
      <w:rPr>
        <w:rFonts w:ascii="Arial" w:cs="Arial" w:eastAsia="Arial" w:hAnsi="Arial"/>
        <w:color w:val="757575"/>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757575"/>
        <w:sz w:val="15"/>
        <w:szCs w:val="15"/>
      </w:rPr>
      <w:t xml:space="preserve"> of </w:t>
    </w:r>
    <w:r>
      <w:rPr>
        <w:rFonts w:ascii="Arial" w:cs="Arial" w:eastAsia="Arial" w:hAnsi="Arial"/>
        <w:color w:val="7575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4634" w:sz="4"/>
      </w:pBdr>
      <w:spacing w:after="80"/>
    </w:pPr>
    <w:r>
      <w:rPr>
        <w:rFonts w:ascii="Arial" w:cs="Arial" w:eastAsia="Arial" w:hAnsi="Arial"/>
        <w:b w:val="false"/>
        <w:bCs w:val="false"/>
        <w:i w:val="false"/>
        <w:iCs w:val="false"/>
        <w:color w:val="757575"/>
        <w:sz w:val="15"/>
        <w:szCs w:val="15"/>
      </w:rPr>
      <w:t xml:space="preserve">Oracle Fusion Estimation CoE  |  EST-AI-STRATEGY-001</w:t>
    </w:r>
    <w:r>
      <w:rPr>
        <w:rFonts w:ascii="Arial" w:cs="Arial" w:eastAsia="Arial" w:hAnsi="Arial"/>
        <w:b/>
        <w:bCs/>
        <w:i w:val="false"/>
        <w:iCs w:val="false"/>
        <w:color w:val="C74634"/>
        <w:sz w:val="15"/>
        <w:szCs w:val="15"/>
      </w:rPr>
      <w:t xml:space="preserve">          Local AI/ML — Calibration &amp; Risk Prediction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AI/ML Strategy for Estimation Calibration and Programme Risk Prediction</dc:title>
  <dc:creator>Oracle Fusion Estimation CoE</dc:creator>
  <cp:lastModifiedBy>Un-named</cp:lastModifiedBy>
  <cp:revision>1</cp:revision>
  <dcterms:created xsi:type="dcterms:W3CDTF">2026-07-15T06:19:34.412Z</dcterms:created>
  <dcterms:modified xsi:type="dcterms:W3CDTF">2026-07-15T06:19:34.426Z</dcterms:modified>
</cp:coreProperties>
</file>

<file path=docProps/custom.xml><?xml version="1.0" encoding="utf-8"?>
<Properties xmlns="http://schemas.openxmlformats.org/officeDocument/2006/custom-properties" xmlns:vt="http://schemas.openxmlformats.org/officeDocument/2006/docPropsVTypes"/>
</file>