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 Storage &amp; RAG Architecture for EVA</w:t>
      </w:r>
    </w:p>
    <w:p>
      <w:r>
        <w:t xml:space="preserve">This document provides a comprehensive technical guide for storing, chunking, embedding, and retrieving TCS organizational guidelines and templates using a Hybrid (Vector DB + Metadata Filtering) approach.</w:t>
      </w:r>
    </w:p>
    <w:p/>
    <w:p>
      <w:pPr>
        <w:pStyle w:val="Heading2"/>
      </w:pPr>
      <w:r>
        <w:t xml:space="preserve">1. Recommended Architecture: Hybrid (Vector DB + Metadata Filtering)</w:t>
      </w:r>
    </w:p>
    <w:p>
      <w:r>
        <w:rPr>
          <w:b/>
          <w:bCs/>
        </w:rPr>
        <w:t xml:space="preserve">Why Hybrid Wins:
</w:t>
      </w:r>
      <w:r>
        <w:t xml:space="preserve">A pure Vector DB search finds semantically similar chunks across the whole database, but lacks strict context filtering (e.g. distinguishing ESU Oracle templates from ADM Oracle guidelines). Metadata pre-filtering narrows the search space deterministically before applying vector similarity, maximizing precision and saving LLM context tokens.</w:t>
      </w:r>
    </w:p>
    <w:p/>
    <w:p>
      <w:pPr>
        <w:pStyle w:val="Heading2"/>
      </w:pPr>
      <w:r>
        <w:t xml:space="preserve">2. Chunking Strategy by File Type</w:t>
      </w:r>
    </w:p>
    <w:p>
      <w:r>
        <w:rPr>
          <w:b/>
          <w:bCs/>
        </w:rPr>
        <w:t xml:space="preserve">Excel Templates (.xlsx):
</w:t>
      </w:r>
      <w:r>
        <w:t xml:space="preserve">• Chunk by Worksheets / Named Tables.
</w:t>
      </w:r>
      <w:r>
        <w:t xml:space="preserve">• Prepend Sheet Name &amp; Column Headers to every chunk text.
</w:t>
      </w:r>
      <w:r>
        <w:t xml:space="preserve">• Target Size: ~400–600 tokens per chunk.
</w:t>
      </w:r>
      <w:r>
        <w:rPr>
          <w:b/>
          <w:bCs/>
        </w:rPr>
        <w:t xml:space="preserve">Word Guidelines (.docx):
</w:t>
      </w:r>
      <w:r>
        <w:t xml:space="preserve">• Chunk by Heading structure (H1 / H2 / H3).
</w:t>
      </w:r>
      <w:r>
        <w:t xml:space="preserve">• Prepend Document Title and Heading Breadcrumb path.
</w:t>
      </w:r>
      <w:r>
        <w:t xml:space="preserve">• Target Size: 400–700 tokens per chunk with 10–15% overlap.</w:t>
      </w:r>
    </w:p>
    <w:p/>
    <w:p>
      <w:pPr>
        <w:pStyle w:val="Heading2"/>
      </w:pPr>
      <w:r>
        <w:t xml:space="preserve">3. Metadata Schema Definition</w:t>
      </w:r>
    </w:p>
    <w:p>
      <w:r>
        <w:rPr>
          <w:b/>
          <w:bCs/>
        </w:rPr>
        <w:t xml:space="preserve">Key Metadata Fields per Chunk:
</w:t>
      </w:r>
      <w:r>
        <w:t xml:space="preserve">• document_id, title, file_type
• unit_id (e.g. esu, adm)
• subdivision (e.g. guidelines, templates, data)
• program_type (e.g. oracle, sap, legacy-modernisation)
• section_path / sheet_name
• access_roles (e.g. [admin, sme])</w:t>
      </w:r>
    </w:p>
    <w:p/>
    <w:p>
      <w:pPr>
        <w:pStyle w:val="Heading2"/>
      </w:pPr>
      <w:r>
        <w:t xml:space="preserve">4. Security &amp; Role Gating</w:t>
      </w:r>
    </w:p>
    <w:p>
      <w:r>
        <w:t xml:space="preserve">Enforce access control at the database query level (e.g. excluding subdivision=data for standard Estimators) so sensitive rate card data is never retrieved or injected into the prompt context.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2026-07-22T03:32:06.898Z</dcterms:created>
  <dcterms:modified xsi:type="dcterms:W3CDTF">2026-07-22T03:32:06.899Z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