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595959"/>
          <w:sz w:val="26"/>
          <w:szCs w:val="26"/>
        </w:rPr>
        <w:t xml:space="preserve">PRESIDENCY UNIVERSITY, BENGALURU</w:t>
      </w:r>
    </w:p>
    <w:p>
      <w:pPr>
        <w:spacing w:after="700" w:before="60"/>
        <w:jc w:val="center"/>
      </w:pPr>
      <w:r>
        <w:rPr>
          <w:color w:val="595959"/>
          <w:sz w:val="21"/>
          <w:szCs w:val="21"/>
        </w:rPr>
        <w:t xml:space="preserve">School of Computer Science and Engineering — DevOps Division</w:t>
      </w:r>
    </w:p>
    <w:p>
      <w:pPr>
        <w:spacing w:after="200" w:before="900"/>
        <w:jc w:val="center"/>
      </w:pPr>
      <w:r>
        <w:rPr>
          <w:b/>
          <w:bCs/>
          <w:color w:val="1F3864"/>
          <w:sz w:val="40"/>
          <w:szCs w:val="40"/>
        </w:rPr>
        <w:t xml:space="preserve">CONTAINER &amp; KUBERNETES SECURITY SCANNER</w:t>
      </w:r>
    </w:p>
    <w:p>
      <w:pPr>
        <w:spacing w:after="700"/>
        <w:jc w:val="center"/>
      </w:pPr>
      <w:r>
        <w:rPr>
          <w:i/>
          <w:iCs/>
          <w:color w:val="2E5395"/>
          <w:sz w:val="23"/>
          <w:szCs w:val="23"/>
        </w:rPr>
        <w:t xml:space="preserve">A DevSecOps System for Automated Pre-Deployment Scanning and AI-Assisted Runtime Security Monitoring in CI/CD Pipelines</w:t>
      </w:r>
    </w:p>
    <w:p>
      <w:pPr>
        <w:spacing w:after="100" w:before="300"/>
        <w:jc w:val="center"/>
      </w:pPr>
      <w:r>
        <w:rPr>
          <w:b/>
          <w:bCs/>
          <w:sz w:val="24"/>
          <w:szCs w:val="24"/>
        </w:rPr>
        <w:t xml:space="preserve">Project Report — Review 1</w:t>
      </w:r>
    </w:p>
    <w:p>
      <w:pPr>
        <w:spacing w:after="900"/>
        <w:jc w:val="center"/>
      </w:pPr>
      <w:r>
        <w:rPr>
          <w:color w:val="595959"/>
          <w:sz w:val="20"/>
          <w:szCs w:val="20"/>
        </w:rPr>
        <w:t xml:space="preserve">(Literature Survey, Architecture and Project Documentation)</w:t>
      </w:r>
    </w:p>
    <w:p>
      <w:pPr>
        <w:spacing w:after="60" w:before="1600"/>
        <w:jc w:val="center"/>
      </w:pPr>
      <w:r>
        <w:rPr>
          <w:sz w:val="21"/>
          <w:szCs w:val="21"/>
        </w:rPr>
        <w:t xml:space="preserve">Submitted by</w:t>
      </w:r>
    </w:p>
    <w:p>
      <w:pPr>
        <w:spacing w:after="20"/>
        <w:jc w:val="center"/>
      </w:pPr>
      <w:r>
        <w:rPr>
          <w:b/>
          <w:bCs/>
          <w:sz w:val="24"/>
          <w:szCs w:val="24"/>
        </w:rPr>
        <w:t xml:space="preserve">Ambika M</w:t>
      </w:r>
    </w:p>
    <w:p>
      <w:pPr>
        <w:spacing w:after="400"/>
        <w:jc w:val="center"/>
      </w:pPr>
      <w:r>
        <w:rPr>
          <w:sz w:val="21"/>
          <w:szCs w:val="21"/>
        </w:rPr>
        <w:t xml:space="preserve">USN: 20231CDV0021</w:t>
      </w:r>
    </w:p>
    <w:p>
      <w:pPr>
        <w:spacing w:after="60"/>
        <w:jc w:val="center"/>
      </w:pPr>
      <w:r>
        <w:rPr>
          <w:sz w:val="21"/>
          <w:szCs w:val="21"/>
        </w:rPr>
        <w:t xml:space="preserve">Under the guidance of</w:t>
      </w:r>
    </w:p>
    <w:p>
      <w:pPr>
        <w:spacing w:after="900"/>
        <w:jc w:val="center"/>
      </w:pPr>
      <w:r>
        <w:rPr>
          <w:b/>
          <w:bCs/>
          <w:sz w:val="22"/>
          <w:szCs w:val="22"/>
        </w:rPr>
        <w:t xml:space="preserve">Prof. Sahabzada Betab Badar</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80" w:before="360"/>
      </w:pPr>
      <w:r>
        <w:rPr>
          <w:b/>
          <w:bCs/>
          <w:color w:val="1F3864"/>
          <w:sz w:val="30"/>
          <w:szCs w:val="30"/>
        </w:rPr>
        <w:t xml:space="preserve">Abstract</w:t>
      </w:r>
    </w:p>
    <w:p>
      <w:pPr>
        <w:spacing w:after="160" w:line="300"/>
        <w:jc w:val="both"/>
      </w:pPr>
      <w:r>
        <w:rPr>
          <w:sz w:val="22"/>
          <w:szCs w:val="22"/>
        </w:rPr>
        <w:t xml:space="preserve">Modern DevOps pipelines can push vulnerable container images, insecure Kubernetes configurations, exposed secrets, and misconfigured infrastructure-as-code (IaC) into production without any automated security check along the way. This project proposes a DevSecOps-oriented Container and Kubernetes Security Scanner that closes this gap by embedding security directly into the CI/CD pipeline instead of treating it as an afterthought. The system operates in two stages: a pre-deployment stage that uses Trivy to scan Docker images, Kubernetes YAML manifests and IaC files for known CVEs and misconfigurations and gates the Jenkins pipeline accordingly, and a post-deployment stage that uses Falco with eBPF-based kernel telemetry, enriched by an Isolation-Forest-based anomaly detection model, to flag suspicious runtime behaviour that static scanning cannot anticipate. Findings are centralised through a FastAPI backend and SQLite database, visualised on a Streamlit dashboard, and surfaced through Slack alerts. This report documents the problem context, a review of relevant literature, the proposed architecture, technology choices, and the current Review 1 project status.</w:t>
      </w:r>
    </w:p>
    <w:p>
      <w:pPr>
        <w:pStyle w:val="Heading1"/>
        <w:spacing w:after="180" w:before="360"/>
      </w:pPr>
      <w:r>
        <w:rPr>
          <w:b/>
          <w:bCs/>
          <w:color w:val="1F3864"/>
          <w:sz w:val="30"/>
          <w:szCs w:val="30"/>
        </w:rPr>
        <w:t xml:space="preserve">1. Introduction</w:t>
      </w:r>
    </w:p>
    <w:p>
      <w:pPr>
        <w:spacing w:after="160" w:line="300"/>
        <w:jc w:val="both"/>
      </w:pPr>
      <w:r>
        <w:rPr>
          <w:sz w:val="22"/>
          <w:szCs w:val="22"/>
        </w:rPr>
        <w:t xml:space="preserve">Continuous Integration and Continuous Deployment (CI/CD) practices have made software delivery faster, but speed has often come at the cost of security. In a typical DevOps workflow, code moves from commit to build to deployment with security treated as a separate, manual step performed late in the cycle or after release. This creates a window in which vulnerable dependencies, insecure container images, exposed secrets and misconfigured Kubernetes manifests can reach production undetected.</w:t>
      </w:r>
    </w:p>
    <w:p>
      <w:pPr>
        <w:spacing w:after="160" w:line="300"/>
        <w:jc w:val="both"/>
      </w:pPr>
      <w:r>
        <w:rPr>
          <w:sz w:val="22"/>
          <w:szCs w:val="22"/>
        </w:rPr>
        <w:t xml:space="preserve">The DevSecOps movement addresses this by shifting security checks earlier into the pipeline (“shift-left security”) so that vulnerabilities are caught and remediated before deployment, while complementary runtime monitoring watches for threats that only appear once a workload is actually running. This project implements both halves of that model: automated pre-deployment scanning integrated as a Jenkins pipeline gate, and post-deployment runtime monitoring enhanced with a machine-learning anomaly detector.</w:t>
      </w:r>
    </w:p>
    <w:p>
      <w:pPr>
        <w:pStyle w:val="Heading1"/>
        <w:spacing w:after="180" w:before="360"/>
      </w:pPr>
      <w:r>
        <w:rPr>
          <w:b/>
          <w:bCs/>
          <w:color w:val="1F3864"/>
          <w:sz w:val="30"/>
          <w:szCs w:val="30"/>
        </w:rPr>
        <w:t xml:space="preserve">2. Problem Statement</w:t>
      </w:r>
    </w:p>
    <w:p>
      <w:pPr>
        <w:spacing w:after="160" w:line="300"/>
        <w:jc w:val="both"/>
      </w:pPr>
      <w:r>
        <w:rPr>
          <w:sz w:val="22"/>
          <w:szCs w:val="22"/>
        </w:rPr>
        <w:t xml:space="preserve">DevOps teams frequently deploy container images and Kubernetes configurations without a systematic, automated check for known vulnerabilities (CVEs), insecure configurations, or embedded secrets. Because security review is manual or absent, issues are often discovered only after deployment — or not at all, until exploited. There is also no continuous mechanism to observe application behaviour once it is running in the cluster, meaning that attacks which do not correspond to a known static vulnerability (such as unexpected process execution or anomalous network activity) can go unnoticed.</w:t>
      </w:r>
    </w:p>
    <w:p>
      <w:pPr>
        <w:spacing w:after="160" w:line="300"/>
        <w:jc w:val="both"/>
      </w:pPr>
      <w:r>
        <w:rPr>
          <w:sz w:val="22"/>
          <w:szCs w:val="22"/>
        </w:rPr>
        <w:t xml:space="preserve">The problem, therefore, has two distinct parts that most existing student and open-source projects address only individually: (a) how to prevent known-bad artifacts from ever being deployed, and (b) how to detect unknown or behavioural threats once the workload is live. This project addresses both within a single, integrated pipeline.</w:t>
      </w:r>
    </w:p>
    <w:p>
      <w:pPr>
        <w:pStyle w:val="Heading1"/>
        <w:spacing w:after="180" w:before="360"/>
      </w:pPr>
      <w:r>
        <w:rPr>
          <w:b/>
          <w:bCs/>
          <w:color w:val="1F3864"/>
          <w:sz w:val="30"/>
          <w:szCs w:val="30"/>
        </w:rPr>
        <w:t xml:space="preserve">3. Objectives</w:t>
      </w:r>
    </w:p>
    <w:p>
      <w:pPr>
        <w:pStyle w:val="ListParagraph"/>
        <w:numPr>
          <w:ilvl w:val="0"/>
          <w:numId w:val="2"/>
        </w:numPr>
        <w:spacing w:after="90"/>
      </w:pPr>
      <w:r>
        <w:rPr>
          <w:sz w:val="22"/>
          <w:szCs w:val="22"/>
        </w:rPr>
        <w:t xml:space="preserve">Integrate automated container image and Kubernetes-configuration vulnerability scanning (Trivy) as a mandatory gate within a Jenkins CI/CD pipeline.</w:t>
      </w:r>
    </w:p>
    <w:p>
      <w:pPr>
        <w:pStyle w:val="ListParagraph"/>
        <w:numPr>
          <w:ilvl w:val="0"/>
          <w:numId w:val="2"/>
        </w:numPr>
        <w:spacing w:after="90"/>
      </w:pPr>
      <w:r>
        <w:rPr>
          <w:sz w:val="22"/>
          <w:szCs w:val="22"/>
        </w:rPr>
        <w:t xml:space="preserve">Block deployment automatically when a configured security policy (e.g., a CRITICAL/HIGH severity CVE or a disallowed misconfiguration) is violated.</w:t>
      </w:r>
    </w:p>
    <w:p>
      <w:pPr>
        <w:pStyle w:val="ListParagraph"/>
        <w:numPr>
          <w:ilvl w:val="0"/>
          <w:numId w:val="2"/>
        </w:numPr>
        <w:spacing w:after="90"/>
      </w:pPr>
      <w:r>
        <w:rPr>
          <w:sz w:val="22"/>
          <w:szCs w:val="22"/>
        </w:rPr>
        <w:t xml:space="preserve">Deploy the application to a local Kubernetes cluster (Minikube) only after the security gate is passed.</w:t>
      </w:r>
    </w:p>
    <w:p>
      <w:pPr>
        <w:pStyle w:val="ListParagraph"/>
        <w:numPr>
          <w:ilvl w:val="0"/>
          <w:numId w:val="2"/>
        </w:numPr>
        <w:spacing w:after="90"/>
      </w:pPr>
      <w:r>
        <w:rPr>
          <w:sz w:val="22"/>
          <w:szCs w:val="22"/>
        </w:rPr>
        <w:t xml:space="preserve">Continuously monitor runtime behaviour using Falco and eBPF-based kernel telemetry to detect suspicious activity that static scanning cannot catch.</w:t>
      </w:r>
    </w:p>
    <w:p>
      <w:pPr>
        <w:pStyle w:val="ListParagraph"/>
        <w:numPr>
          <w:ilvl w:val="0"/>
          <w:numId w:val="2"/>
        </w:numPr>
        <w:spacing w:after="90"/>
      </w:pPr>
      <w:r>
        <w:rPr>
          <w:sz w:val="22"/>
          <w:szCs w:val="22"/>
        </w:rPr>
        <w:t xml:space="preserve">Apply an unsupervised machine-learning model (Isolation Forest) to Falco/eBPF telemetry to flag behavioural anomalies that fall outside predefined rules.</w:t>
      </w:r>
    </w:p>
    <w:p>
      <w:pPr>
        <w:pStyle w:val="ListParagraph"/>
        <w:numPr>
          <w:ilvl w:val="0"/>
          <w:numId w:val="2"/>
        </w:numPr>
        <w:spacing w:after="90"/>
      </w:pPr>
      <w:r>
        <w:rPr>
          <w:sz w:val="22"/>
          <w:szCs w:val="22"/>
        </w:rPr>
        <w:t xml:space="preserve">Centralise scan results, runtime alerts and anomaly scores through a FastAPI backend and SQLite database, and present them on a Streamlit dashboard with Slack notifications.</w:t>
      </w:r>
    </w:p>
    <w:p>
      <w:pPr>
        <w:pStyle w:val="Heading1"/>
        <w:spacing w:after="180" w:before="360"/>
      </w:pPr>
      <w:r>
        <w:rPr>
          <w:b/>
          <w:bCs/>
          <w:color w:val="1F3864"/>
          <w:sz w:val="30"/>
          <w:szCs w:val="30"/>
        </w:rPr>
        <w:t xml:space="preserve">4. Literature Survey</w:t>
      </w:r>
    </w:p>
    <w:p>
      <w:pPr>
        <w:spacing w:after="160" w:line="300"/>
        <w:jc w:val="both"/>
      </w:pPr>
      <w:r>
        <w:rPr>
          <w:sz w:val="22"/>
          <w:szCs w:val="22"/>
        </w:rPr>
        <w:t xml:space="preserve">The following review covers recent academic and industry work relevant to the two pillars of the project — pre-deployment scanning within CI/CD and AI-assisted runtime security monitoring — to establish the technical basis for the design choices made in this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50"/>
        <w:gridCol w:w="2550"/>
        <w:gridCol w:w="2550"/>
      </w:tblGrid>
      <w:tr>
        <w:trPr>
          <w:tblHeader/>
        </w:trPr>
        <w:tc>
          <w:tcPr>
            <w:tcW w:type="dxa" w:w="400"/>
            <w:shd w:fill="1F3864" w:val="clear"/>
            <w:tcMar>
              <w:top w:type="dxa" w:w="100"/>
              <w:left w:type="dxa" w:w="120"/>
              <w:bottom w:type="dxa" w:w="100"/>
              <w:right w:type="dxa" w:w="120"/>
            </w:tcMar>
            <w:vAlign w:val="center"/>
          </w:tcPr>
          <w:p>
            <w:pPr>
              <w:jc w:val="left"/>
            </w:pPr>
            <w:r>
              <w:rPr>
                <w:b/>
                <w:bCs/>
                <w:color w:val="FFFFFF"/>
                <w:sz w:val="19"/>
                <w:szCs w:val="19"/>
              </w:rPr>
              <w:t xml:space="preserve">#</w:t>
            </w:r>
          </w:p>
        </w:tc>
        <w:tc>
          <w:tcPr>
            <w:tcW w:type="dxa" w:w="2000"/>
            <w:shd w:fill="1F3864" w:val="clear"/>
            <w:tcMar>
              <w:top w:type="dxa" w:w="100"/>
              <w:left w:type="dxa" w:w="120"/>
              <w:bottom w:type="dxa" w:w="100"/>
              <w:right w:type="dxa" w:w="120"/>
            </w:tcMar>
            <w:vAlign w:val="center"/>
          </w:tcPr>
          <w:p>
            <w:pPr>
              <w:jc w:val="left"/>
            </w:pPr>
            <w:r>
              <w:rPr>
                <w:b/>
                <w:bCs/>
                <w:color w:val="FFFFFF"/>
                <w:sz w:val="19"/>
                <w:szCs w:val="19"/>
              </w:rPr>
              <w:t xml:space="preserve">Author(s) &amp; Year</w:t>
            </w:r>
          </w:p>
        </w:tc>
        <w:tc>
          <w:tcPr>
            <w:tcW w:type="dxa" w:w="1850"/>
            <w:shd w:fill="1F3864" w:val="clear"/>
            <w:tcMar>
              <w:top w:type="dxa" w:w="100"/>
              <w:left w:type="dxa" w:w="120"/>
              <w:bottom w:type="dxa" w:w="100"/>
              <w:right w:type="dxa" w:w="120"/>
            </w:tcMar>
            <w:vAlign w:val="center"/>
          </w:tcPr>
          <w:p>
            <w:pPr>
              <w:jc w:val="left"/>
            </w:pPr>
            <w:r>
              <w:rPr>
                <w:b/>
                <w:bCs/>
                <w:color w:val="FFFFFF"/>
                <w:sz w:val="19"/>
                <w:szCs w:val="19"/>
              </w:rPr>
              <w:t xml:space="preserve">Focus / Tool Studied</w:t>
            </w:r>
          </w:p>
        </w:tc>
        <w:tc>
          <w:tcPr>
            <w:tcW w:type="dxa" w:w="2550"/>
            <w:shd w:fill="1F3864" w:val="clear"/>
            <w:tcMar>
              <w:top w:type="dxa" w:w="100"/>
              <w:left w:type="dxa" w:w="120"/>
              <w:bottom w:type="dxa" w:w="100"/>
              <w:right w:type="dxa" w:w="120"/>
            </w:tcMar>
            <w:vAlign w:val="center"/>
          </w:tcPr>
          <w:p>
            <w:pPr>
              <w:jc w:val="left"/>
            </w:pPr>
            <w:r>
              <w:rPr>
                <w:b/>
                <w:bCs/>
                <w:color w:val="FFFFFF"/>
                <w:sz w:val="19"/>
                <w:szCs w:val="19"/>
              </w:rPr>
              <w:t xml:space="preserve">Key Contribution</w:t>
            </w:r>
          </w:p>
        </w:tc>
        <w:tc>
          <w:tcPr>
            <w:tcW w:type="dxa" w:w="2550"/>
            <w:shd w:fill="1F3864" w:val="clear"/>
            <w:tcMar>
              <w:top w:type="dxa" w:w="100"/>
              <w:left w:type="dxa" w:w="120"/>
              <w:bottom w:type="dxa" w:w="100"/>
              <w:right w:type="dxa" w:w="120"/>
            </w:tcMar>
            <w:vAlign w:val="center"/>
          </w:tcPr>
          <w:p>
            <w:pPr>
              <w:jc w:val="left"/>
            </w:pPr>
            <w:r>
              <w:rPr>
                <w:b/>
                <w:bCs/>
                <w:color w:val="FFFFFF"/>
                <w:sz w:val="19"/>
                <w:szCs w:val="19"/>
              </w:rPr>
              <w:t xml:space="preserve">Relevance / Gap Addressed by This Project</w:t>
            </w:r>
          </w:p>
        </w:tc>
      </w:tr>
      <w:tr>
        <w:tc>
          <w:tcPr>
            <w:tcW w:type="dxa" w:w="4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1</w:t>
            </w:r>
          </w:p>
        </w:tc>
        <w:tc>
          <w:tcPr>
            <w:tcW w:type="dxa" w:w="20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Angermeir et al. (2025), ResearchGate — DevSecOps-Driven Security Framework for CI/CD Pipeline Risk Mitigation</w:t>
            </w:r>
          </w:p>
        </w:tc>
        <w:tc>
          <w:tcPr>
            <w:tcW w:type="dxa" w:w="18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AI-driven, zero-trust security integration in CI/CD</w:t>
            </w:r>
          </w:p>
        </w:tc>
        <w:tc>
          <w:tcPr>
            <w:tcW w:type="dxa" w:w="25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Argues that container and pipeline security must be continuous and automated across the full DevOps lifecycle rather than a one-time check, and shows zero-trust controls improving pipeline resilience.</w:t>
            </w:r>
          </w:p>
        </w:tc>
        <w:tc>
          <w:tcPr>
            <w:tcW w:type="dxa" w:w="25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Supports the project's core premise of embedding automated scanning as a pipeline gate instead of a manual post-deployment step.</w:t>
            </w:r>
          </w:p>
        </w:tc>
      </w:tr>
      <w:tr>
        <w:tc>
          <w:tcPr>
            <w:tcW w:type="dxa" w:w="4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2</w:t>
            </w:r>
          </w:p>
        </w:tc>
        <w:tc>
          <w:tcPr>
            <w:tcW w:type="dxa" w:w="20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Accenture Solutions (2021), Int'l Journal of Science and Research Archive — Integrating Security into CI/CD Pipelines: SAST, DAST, SCA</w:t>
            </w:r>
          </w:p>
        </w:tc>
        <w:tc>
          <w:tcPr>
            <w:tcW w:type="dxa" w:w="18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Combining static, dynamic and composition-analysis tools in CI/CD</w:t>
            </w:r>
          </w:p>
        </w:tc>
        <w:tc>
          <w:tcPr>
            <w:tcW w:type="dxa" w:w="25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Demonstrates with production use cases that combining SAST, DAST and SCA tools inside CI/CD detects vulnerabilities without materially slowing delivery.</w:t>
            </w:r>
          </w:p>
        </w:tc>
        <w:tc>
          <w:tcPr>
            <w:tcW w:type="dxa" w:w="25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Validates the feasibility of adding an automated Trivy scanning stage to Jenkins without breaking pipeline velocity.</w:t>
            </w:r>
          </w:p>
        </w:tc>
      </w:tr>
      <w:tr>
        <w:tc>
          <w:tcPr>
            <w:tcW w:type="dxa" w:w="4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3</w:t>
            </w:r>
          </w:p>
        </w:tc>
        <w:tc>
          <w:tcPr>
            <w:tcW w:type="dxa" w:w="20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Rangnau et al. (2020); A. K. Reddy (2021); Feio et al. (2024), cited in NCIRL dissertation on CI/CD security testing frameworks</w:t>
            </w:r>
          </w:p>
        </w:tc>
        <w:tc>
          <w:tcPr>
            <w:tcW w:type="dxa" w:w="18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Adoption of dynamic security testing and 'Security as Code' culture in CI/CD</w:t>
            </w:r>
          </w:p>
        </w:tc>
        <w:tc>
          <w:tcPr>
            <w:tcW w:type="dxa" w:w="25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Collectively show that DevSecOps success depends on treating security controls as code and integrating them at every SDLC stage, not only at release.</w:t>
            </w:r>
          </w:p>
        </w:tc>
        <w:tc>
          <w:tcPr>
            <w:tcW w:type="dxa" w:w="25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Motivates codifying the Trivy/Kubernetes security policy as declarative rules inside the Jenkinsfile itself.</w:t>
            </w:r>
          </w:p>
        </w:tc>
      </w:tr>
      <w:tr>
        <w:tc>
          <w:tcPr>
            <w:tcW w:type="dxa" w:w="4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4</w:t>
            </w:r>
          </w:p>
        </w:tc>
        <w:tc>
          <w:tcPr>
            <w:tcW w:type="dxa" w:w="20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TechRxiv preprint (2025) — Embedding Security into Pipelines: A DevSecOps Blueprint</w:t>
            </w:r>
          </w:p>
        </w:tc>
        <w:tc>
          <w:tcPr>
            <w:tcW w:type="dxa" w:w="18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Modular framework combining code analysis, container scanning, IaC policy enforcement and runtime monitoring</w:t>
            </w:r>
          </w:p>
        </w:tc>
        <w:tc>
          <w:tcPr>
            <w:tcW w:type="dxa" w:w="25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Proposes a scalable, modular pipeline architecture that layers code analysis, container scanning, IaC checks and runtime monitoring together.</w:t>
            </w:r>
          </w:p>
        </w:tc>
        <w:tc>
          <w:tcPr>
            <w:tcW w:type="dxa" w:w="25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Closely mirrors the two-stage (pre-deployment + runtime) architecture proposed in this project; confirms the layered design is an established pattern.</w:t>
            </w:r>
          </w:p>
        </w:tc>
      </w:tr>
      <w:tr>
        <w:tc>
          <w:tcPr>
            <w:tcW w:type="dxa" w:w="4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5</w:t>
            </w:r>
          </w:p>
        </w:tc>
        <w:tc>
          <w:tcPr>
            <w:tcW w:type="dxa" w:w="20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IJARCST (2025) — Security in DevOps: Integrating Security into the Development Pipeline</w:t>
            </w:r>
          </w:p>
        </w:tc>
        <w:tc>
          <w:tcPr>
            <w:tcW w:type="dxa" w:w="18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Workflow model for threat modeling, testing, prioritisation and monitoring in CI/CD</w:t>
            </w:r>
          </w:p>
        </w:tc>
        <w:tc>
          <w:tcPr>
            <w:tcW w:type="dxa" w:w="25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Reports that DevSecOps adoption improves early vulnerability detection and regulatory compliance, but flags tool fatigue and complexity as adoption barriers.</w:t>
            </w:r>
          </w:p>
        </w:tc>
        <w:tc>
          <w:tcPr>
            <w:tcW w:type="dxa" w:w="25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Informs the decision to keep the tool stack minimal (Trivy + Falco + one ML model) rather than layering many overlapping scanners.</w:t>
            </w:r>
          </w:p>
        </w:tc>
      </w:tr>
      <w:tr>
        <w:tc>
          <w:tcPr>
            <w:tcW w:type="dxa" w:w="4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6</w:t>
            </w:r>
          </w:p>
        </w:tc>
        <w:tc>
          <w:tcPr>
            <w:tcW w:type="dxa" w:w="20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arXiv:2503.22612 (2025) — Advancing DevSecOps in SMEs: Challenges and Best Practices for Secure CI/CD Pipelines</w:t>
            </w:r>
          </w:p>
        </w:tc>
        <w:tc>
          <w:tcPr>
            <w:tcW w:type="dxa" w:w="18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Survey of 405 SME practitioners on DevSecOps adoption</w:t>
            </w:r>
          </w:p>
        </w:tc>
        <w:tc>
          <w:tcPr>
            <w:tcW w:type="dxa" w:w="25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Finds that although most organisations recognise the need for DevSecOps, only a small fraction scan every commit and container-security adoption remains comparatively low, mainly due to technical complexity and resource constraints.</w:t>
            </w:r>
          </w:p>
        </w:tc>
        <w:tc>
          <w:tcPr>
            <w:tcW w:type="dxa" w:w="25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Justifies the project's focus on container and Kubernetes-specific scanning, an area the survey identifies as under-adopted relative to API or code-level security.</w:t>
            </w:r>
          </w:p>
        </w:tc>
      </w:tr>
      <w:tr>
        <w:tc>
          <w:tcPr>
            <w:tcW w:type="dxa" w:w="4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7</w:t>
            </w:r>
          </w:p>
        </w:tc>
        <w:tc>
          <w:tcPr>
            <w:tcW w:type="dxa" w:w="20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Aqua Security / community sources — Trivy vulnerability scanner documentation and CI/CD integration guides</w:t>
            </w:r>
          </w:p>
        </w:tc>
        <w:tc>
          <w:tcPr>
            <w:tcW w:type="dxa" w:w="18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Static analysis of container images, filesystems, repositories and IaC for known CVEs and secrets</w:t>
            </w:r>
          </w:p>
        </w:tc>
        <w:tc>
          <w:tcPr>
            <w:tcW w:type="dxa" w:w="25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Describes Trivy as a fast, low-overhead scanner that checks images, Kubernetes manifests and IaC files against continuously updated vulnerability and misconfiguration databases, and can fail a pipeline when severity thresholds are breached.</w:t>
            </w:r>
          </w:p>
        </w:tc>
        <w:tc>
          <w:tcPr>
            <w:tcW w:type="dxa" w:w="25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Directly informs the pre-deployment scanning stage of the proposed pipeline and the CI gating logic in Jenkins.</w:t>
            </w:r>
          </w:p>
        </w:tc>
      </w:tr>
      <w:tr>
        <w:tc>
          <w:tcPr>
            <w:tcW w:type="dxa" w:w="4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8</w:t>
            </w:r>
          </w:p>
        </w:tc>
        <w:tc>
          <w:tcPr>
            <w:tcW w:type="dxa" w:w="20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Syairozi &amp; Arizal (2025), RITECH Proceedings — Comparative Analysis of eBPF-Based Runtime Security Monitoring Tools</w:t>
            </w:r>
          </w:p>
        </w:tc>
        <w:tc>
          <w:tcPr>
            <w:tcW w:type="dxa" w:w="18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Benchmarking Falco, Tetragon and Tracee against OWASP Kubernetes Top 10 attack classes</w:t>
            </w:r>
          </w:p>
        </w:tc>
        <w:tc>
          <w:tcPr>
            <w:tcW w:type="dxa" w:w="25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Evaluates Mean-Time-to-Detect, detection rate, false-positive rate, and CPU/memory overhead across three eBPF tools, finding each has distinct efficiency/detection trade-offs.</w:t>
            </w:r>
          </w:p>
        </w:tc>
        <w:tc>
          <w:tcPr>
            <w:tcW w:type="dxa" w:w="25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Provides an evidence base for choosing Falco specifically, and metrics (MTTD, FPR) the project can reuse when evaluating its own runtime monitoring stage.</w:t>
            </w:r>
          </w:p>
        </w:tc>
      </w:tr>
      <w:tr>
        <w:tc>
          <w:tcPr>
            <w:tcW w:type="dxa" w:w="4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9</w:t>
            </w:r>
          </w:p>
        </w:tc>
        <w:tc>
          <w:tcPr>
            <w:tcW w:type="dxa" w:w="20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arXiv:2510.10126 (2025) — FedMon: Federated eBPF Monitoring for Distributed Anomaly Detection in Multi-Cluster Cloud Environments</w:t>
            </w:r>
          </w:p>
        </w:tc>
        <w:tc>
          <w:tcPr>
            <w:tcW w:type="dxa" w:w="18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eBPF telemetry combined with unsupervised ML (Isolation Forest / VAE) for Kubernetes anomaly detection</w:t>
            </w:r>
          </w:p>
        </w:tc>
        <w:tc>
          <w:tcPr>
            <w:tcW w:type="dxa" w:w="25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Surveys prior eBPF-based runtime security tools and proposes combining kernel-level telemetry with an Isolation Forest for cluster-specific anomaly scoring alongside rule-based enforcement.</w:t>
            </w:r>
          </w:p>
        </w:tc>
        <w:tc>
          <w:tcPr>
            <w:tcW w:type="dxa" w:w="25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Provides direct precedent for feeding Falco/eBPF telemetry into an Isolation Forest model, the exact approach adopted in this project's AI component.</w:t>
            </w:r>
          </w:p>
        </w:tc>
      </w:tr>
      <w:tr>
        <w:tc>
          <w:tcPr>
            <w:tcW w:type="dxa" w:w="4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10</w:t>
            </w:r>
          </w:p>
        </w:tc>
        <w:tc>
          <w:tcPr>
            <w:tcW w:type="dxa" w:w="20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Iacovazzi &amp; Raza (2023), arXiv:2306.14750 — Ensemble of Random and Isolation Forests for Graph-Based Intrusion Detection in Containers</w:t>
            </w:r>
          </w:p>
        </w:tc>
        <w:tc>
          <w:tcPr>
            <w:tcW w:type="dxa" w:w="18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System-call sequence analysis using Isolation Forest for container intrusion detection</w:t>
            </w:r>
          </w:p>
        </w:tc>
        <w:tc>
          <w:tcPr>
            <w:tcW w:type="dxa" w:w="25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Shows that an unsupervised Isolation Forest, trained on graph representations of system-call sequences, can isolate anomalous container behaviour without requiring a labelled attack dataset.</w:t>
            </w:r>
          </w:p>
        </w:tc>
        <w:tc>
          <w:tcPr>
            <w:tcW w:type="dxa" w:w="25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Supports the choice of Isolation Forest over supervised classifiers, since a comprehensive labelled dataset of Kubernetes runtime attacks is not available for this project.</w:t>
            </w:r>
          </w:p>
        </w:tc>
      </w:tr>
      <w:tr>
        <w:tc>
          <w:tcPr>
            <w:tcW w:type="dxa" w:w="4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11</w:t>
            </w:r>
          </w:p>
        </w:tc>
        <w:tc>
          <w:tcPr>
            <w:tcW w:type="dxa" w:w="20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Scientific Reports (2025) — Robust IoT/Cloud Security using Isolation Forest and One-Class SVM</w:t>
            </w:r>
          </w:p>
        </w:tc>
        <w:tc>
          <w:tcPr>
            <w:tcW w:type="dxa" w:w="18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Comparative evaluation of Isolation Forest and One-Class SVM for unsupervised anomaly detection</w:t>
            </w:r>
          </w:p>
        </w:tc>
        <w:tc>
          <w:tcPr>
            <w:tcW w:type="dxa" w:w="25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Finds Isolation Forest and One-Class SVM both viable for unsupervised anomaly detection, with trade-offs in precision/recall versus computational footprint depending on the dataset.</w:t>
            </w:r>
          </w:p>
        </w:tc>
        <w:tc>
          <w:tcPr>
            <w:tcW w:type="dxa" w:w="255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Confirms Isolation Forest as a reasonable initial model choice while flagging One-Class SVM as a possible future comparison point.</w:t>
            </w:r>
          </w:p>
        </w:tc>
      </w:tr>
      <w:tr>
        <w:tc>
          <w:tcPr>
            <w:tcW w:type="dxa" w:w="4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12</w:t>
            </w:r>
          </w:p>
        </w:tc>
        <w:tc>
          <w:tcPr>
            <w:tcW w:type="dxa" w:w="20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Industry sources (Checkov/Trivy/Kubescape documentation; Aikido, IaC Genius, Cloudanix guides, 2025-26) — IaC and Kubernetes manifest scanning</w:t>
            </w:r>
          </w:p>
        </w:tc>
        <w:tc>
          <w:tcPr>
            <w:tcW w:type="dxa" w:w="18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Static analysis of Terraform/Kubernetes YAML for misconfigurations against CIS benchmarks</w:t>
            </w:r>
          </w:p>
        </w:tc>
        <w:tc>
          <w:tcPr>
            <w:tcW w:type="dxa" w:w="25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Describe IaC scanning as a preventive, shift-left control distinct from runtime Cloud Security Posture Management (CSPM), catching issues such as privileged containers or open network policies before deployment.</w:t>
            </w:r>
          </w:p>
        </w:tc>
        <w:tc>
          <w:tcPr>
            <w:tcW w:type="dxa" w:w="255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Frames the project's use of Trivy in IaC/config mode as complementary to, and clearly distinguished from, Falco's runtime detective role.</w:t>
            </w:r>
          </w:p>
        </w:tc>
      </w:tr>
    </w:tbl>
    <w:p>
      <w:pPr>
        <w:spacing w:after="160" w:before="240"/>
      </w:pPr>
    </w:p>
    <w:p>
      <w:pPr>
        <w:pStyle w:val="Heading2"/>
        <w:spacing w:after="140" w:before="260"/>
      </w:pPr>
      <w:r>
        <w:rPr>
          <w:b/>
          <w:bCs/>
          <w:color w:val="2E5395"/>
          <w:sz w:val="25"/>
          <w:szCs w:val="25"/>
        </w:rPr>
        <w:t xml:space="preserve">4.1 Summary of the Review</w:t>
      </w:r>
    </w:p>
    <w:p>
      <w:pPr>
        <w:spacing w:after="160" w:line="300"/>
        <w:jc w:val="both"/>
      </w:pPr>
      <w:r>
        <w:rPr>
          <w:sz w:val="22"/>
          <w:szCs w:val="22"/>
        </w:rPr>
        <w:t xml:space="preserve">Across the surveyed literature, three consistent themes emerge. First, DevSecOps research repeatedly confirms that embedding security tooling directly into CI/CD pipelines catches vulnerabilities earlier and more cheaply than late-stage or post-deployment review, but adoption of container- and Kubernetes-specific scanning still lags behind code-level scanning (SAST/DAST), which is precisely the gap this project targets. Second, eBPF-based tools such as Falco, Tetragon and Tracee are established as the standard approach for kernel-level runtime visibility in Kubernetes, with published comparative studies providing concrete detection-rate and overhead metrics that this project can reference when evaluating its own runtime stage. Third, Isolation Forest recurs across multiple independent studies — from container intrusion detection to IoT and multi-cluster cloud anomaly detection — as a practical unsupervised choice specifically because labelled attack datasets for runtime behaviour are scarce, directly supporting its selection for this project's AI component over a supervised alternative.</w:t>
      </w:r>
    </w:p>
    <w:p>
      <w:pPr>
        <w:spacing w:after="160" w:line="300"/>
        <w:jc w:val="both"/>
      </w:pPr>
      <w:r>
        <w:rPr>
          <w:sz w:val="22"/>
          <w:szCs w:val="22"/>
        </w:rPr>
        <w:t xml:space="preserve">The literature also clarifies why the project needs both a static (Trivy) and a dynamic (Falco/eBPF) layer rather than either alone: IaC and image scanning are preventive controls that evaluate declared configuration before deployment, while runtime monitoring is a detective control that evaluates actual behaviour after deployment — the two are explicitly described in the industry literature as complementary rather than substitutable.</w:t>
      </w:r>
    </w:p>
    <w:p>
      <w:pPr>
        <w:pStyle w:val="Heading1"/>
        <w:spacing w:after="180" w:before="360"/>
      </w:pPr>
      <w:r>
        <w:rPr>
          <w:b/>
          <w:bCs/>
          <w:color w:val="1F3864"/>
          <w:sz w:val="30"/>
          <w:szCs w:val="30"/>
        </w:rPr>
        <w:t xml:space="preserve">5. Proposed System Architecture</w:t>
      </w:r>
    </w:p>
    <w:p>
      <w:pPr>
        <w:spacing w:after="160" w:line="300"/>
        <w:jc w:val="both"/>
      </w:pPr>
      <w:r>
        <w:rPr>
          <w:sz w:val="22"/>
          <w:szCs w:val="22"/>
        </w:rPr>
        <w:t xml:space="preserve">The system follows a linear pipeline with a security decision point that determines whether deployment proceeds, followed by a continuous runtime-monitoring loop after deployment.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20"/>
            </w:pPr>
            <w:r>
              <w:rPr>
                <w:rFonts w:ascii="Consolas" w:cs="Consolas" w:eastAsia="Consolas" w:hAnsi="Consolas"/>
                <w:color w:val="1F1F1F"/>
                <w:sz w:val="19"/>
                <w:szCs w:val="19"/>
              </w:rPr>
              <w:t xml:space="preserve">Developer → GitHub → Jenkins CI/CD Pipeline → Build Docker Image</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Security Scanning (Trivy)</w:t>
            </w:r>
          </w:p>
          <w:p>
            <w:pPr>
              <w:spacing w:after="20"/>
            </w:pPr>
            <w:r>
              <w:rPr>
                <w:rFonts w:ascii="Consolas" w:cs="Consolas" w:eastAsia="Consolas" w:hAnsi="Consolas"/>
                <w:color w:val="1F1F1F"/>
                <w:sz w:val="19"/>
                <w:szCs w:val="19"/>
              </w:rPr>
              <w:t xml:space="preserve">   ├─ Container image vulnerabilities / CVEs</w:t>
            </w:r>
          </w:p>
          <w:p>
            <w:pPr>
              <w:spacing w:after="20"/>
            </w:pPr>
            <w:r>
              <w:rPr>
                <w:rFonts w:ascii="Consolas" w:cs="Consolas" w:eastAsia="Consolas" w:hAnsi="Consolas"/>
                <w:color w:val="1F1F1F"/>
                <w:sz w:val="19"/>
                <w:szCs w:val="19"/>
              </w:rPr>
              <w:t xml:space="preserve">   ├─ Kubernetes YAML / configuration misconfigurations</w:t>
            </w:r>
          </w:p>
          <w:p>
            <w:pPr>
              <w:spacing w:after="20"/>
            </w:pPr>
            <w:r>
              <w:rPr>
                <w:rFonts w:ascii="Consolas" w:cs="Consolas" w:eastAsia="Consolas" w:hAnsi="Consolas"/>
                <w:color w:val="1F1F1F"/>
                <w:sz w:val="19"/>
                <w:szCs w:val="19"/>
              </w:rPr>
              <w:t xml:space="preserve">   └─ IaC / source-code security checks</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Security Policy Decision ── Pass? ───────┐</w:t>
            </w:r>
          </w:p>
          <w:p>
            <w:pPr>
              <w:spacing w:after="20"/>
            </w:pPr>
            <w:r>
              <w:rPr>
                <w:rFonts w:ascii="Consolas" w:cs="Consolas" w:eastAsia="Consolas" w:hAnsi="Consolas"/>
                <w:color w:val="1F1F1F"/>
                <w:sz w:val="19"/>
                <w:szCs w:val="19"/>
              </w:rPr>
              <w:t xml:space="preserve">        ↓ NO                              ↓ YES</w:t>
            </w:r>
          </w:p>
          <w:p>
            <w:pPr>
              <w:spacing w:after="20"/>
            </w:pPr>
            <w:r>
              <w:rPr>
                <w:rFonts w:ascii="Consolas" w:cs="Consolas" w:eastAsia="Consolas" w:hAnsi="Consolas"/>
                <w:color w:val="1F1F1F"/>
                <w:sz w:val="19"/>
                <w:szCs w:val="19"/>
              </w:rPr>
              <w:t xml:space="preserve">  Pipeline Failed → Deployment Blocked      Deploy to Kubernetes (Minikube)</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Falco + Runtime Monitoring (eBPF)</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AI-based Anomaly Detection (Isolation Forest)</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FastAPI → SQLite → Streamlit → Slack</w:t>
            </w:r>
          </w:p>
        </w:tc>
      </w:tr>
    </w:tbl>
    <w:p>
      <w:pPr>
        <w:spacing w:after="240" w:before="60"/>
        <w:jc w:val="center"/>
      </w:pPr>
      <w:r>
        <w:rPr>
          <w:i/>
          <w:iCs/>
          <w:color w:val="595959"/>
          <w:sz w:val="19"/>
          <w:szCs w:val="19"/>
        </w:rPr>
        <w:t xml:space="preserve">Figure 1. End-to-end DevSecOps pipeline: pre-deployment scanning gate followed by runtime monitoring loop.</w:t>
      </w:r>
    </w:p>
    <w:p>
      <w:pPr>
        <w:pStyle w:val="Heading2"/>
        <w:spacing w:after="140" w:before="260"/>
      </w:pPr>
      <w:r>
        <w:rPr>
          <w:b/>
          <w:bCs/>
          <w:color w:val="2E5395"/>
          <w:sz w:val="25"/>
          <w:szCs w:val="25"/>
        </w:rPr>
        <w:t xml:space="preserve">5.1 Why Both Trivy and Falco</w:t>
      </w:r>
    </w:p>
    <w:p>
      <w:pPr>
        <w:spacing w:after="160" w:line="300"/>
        <w:jc w:val="both"/>
      </w:pPr>
      <w:r>
        <w:rPr>
          <w:sz w:val="22"/>
          <w:szCs w:val="22"/>
        </w:rPr>
        <w:t xml:space="preserve">The two tools answer different questions and are therefore not interchangeable. Trivy asks whether a container image or configuration is insecure before it is ever deployed, based on known CVE databases and misconfiguration rules. Falco asks whether suspicious activity is occurring while the application is actually running, based on live kernel-level system-call observation. A vulnerability that has no CVE yet, or an attack that exploits legitimate-looking runtime behaviour, will not be caught by Trivy — which is exactly the case Falco (and the anomaly-detection layer built on top of it) is designed to cover.</w:t>
      </w:r>
    </w:p>
    <w:p>
      <w:pPr>
        <w:pStyle w:val="Heading2"/>
        <w:spacing w:after="140" w:before="260"/>
      </w:pPr>
      <w:r>
        <w:rPr>
          <w:b/>
          <w:bCs/>
          <w:color w:val="2E5395"/>
          <w:sz w:val="25"/>
          <w:szCs w:val="25"/>
        </w:rPr>
        <w:t xml:space="preserve">5.2 AI Component</w:t>
      </w:r>
    </w:p>
    <w:p>
      <w:pPr>
        <w:spacing w:after="160" w:line="300"/>
        <w:jc w:val="both"/>
      </w:pPr>
      <w:r>
        <w:rPr>
          <w:sz w:val="22"/>
          <w:szCs w:val="22"/>
        </w:rPr>
        <w:t xml:space="preserve">The AI component is designed to complement Falco's rule-based detection, not replace it, and is scoped specifically to the project's existing runtime-monitoring requirement rather than added as an unrelated feature.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20"/>
            </w:pPr>
            <w:r>
              <w:rPr>
                <w:rFonts w:ascii="Consolas" w:cs="Consolas" w:eastAsia="Consolas" w:hAnsi="Consolas"/>
                <w:color w:val="1F1F1F"/>
                <w:sz w:val="19"/>
                <w:szCs w:val="19"/>
              </w:rPr>
              <w:t xml:space="preserve">Running Kubernetes workload → Falco / eBPF telemetry → Feature extraction</w:t>
            </w:r>
          </w:p>
          <w:p>
            <w:pPr>
              <w:spacing w:after="20"/>
            </w:pPr>
            <w:r>
              <w:rPr>
                <w:rFonts w:ascii="Consolas" w:cs="Consolas" w:eastAsia="Consolas" w:hAnsi="Consolas"/>
                <w:color w:val="1F1F1F"/>
                <w:sz w:val="19"/>
                <w:szCs w:val="19"/>
              </w:rPr>
              <w:t xml:space="preserve">  → Isolation Forest → Anomaly score → Normal / Anomalous</w:t>
            </w:r>
          </w:p>
          <w:p>
            <w:pPr>
              <w:spacing w:after="20"/>
            </w:pPr>
            <w:r>
              <w:rPr>
                <w:rFonts w:ascii="Consolas" w:cs="Consolas" w:eastAsia="Consolas" w:hAnsi="Consolas"/>
                <w:color w:val="1F1F1F"/>
                <w:sz w:val="19"/>
                <w:szCs w:val="19"/>
              </w:rPr>
              <w:t xml:space="preserve">  → FastAPI → SQLite → Streamlit Dashboard → Slack Alert (if required)</w:t>
            </w:r>
          </w:p>
        </w:tc>
      </w:tr>
    </w:tbl>
    <w:p>
      <w:pPr>
        <w:spacing w:after="160" w:line="300"/>
        <w:jc w:val="both"/>
      </w:pPr>
      <w:r>
        <w:rPr>
          <w:sz w:val="22"/>
          <w:szCs w:val="22"/>
        </w:rPr>
        <w:t xml:space="preserve">Isolation Forest is chosen as the initial model because a comprehensive labelled dataset covering every possible Kubernetes runtime attack is not available; as an unsupervised technique it isolates behaviour that deviates from a learned baseline of normal process, network, file-operation and resource-usage activity without requiring such labels.</w:t>
      </w:r>
    </w:p>
    <w:p>
      <w:pPr>
        <w:pStyle w:val="Heading1"/>
        <w:spacing w:after="180" w:before="360"/>
      </w:pPr>
      <w:r>
        <w:rPr>
          <w:b/>
          <w:bCs/>
          <w:color w:val="1F3864"/>
          <w:sz w:val="30"/>
          <w:szCs w:val="30"/>
        </w:rPr>
        <w:t xml:space="preserve">6.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shd w:fill="1F3864" w:val="clear"/>
            <w:tcMar>
              <w:top w:type="dxa" w:w="100"/>
              <w:left w:type="dxa" w:w="120"/>
              <w:bottom w:type="dxa" w:w="100"/>
              <w:right w:type="dxa" w:w="120"/>
            </w:tcMar>
            <w:vAlign w:val="center"/>
          </w:tcPr>
          <w:p>
            <w:pPr>
              <w:jc w:val="left"/>
            </w:pPr>
            <w:r>
              <w:rPr>
                <w:b/>
                <w:bCs/>
                <w:color w:val="FFFFFF"/>
                <w:sz w:val="19"/>
                <w:szCs w:val="19"/>
              </w:rPr>
              <w:t xml:space="preserve">Component</w:t>
            </w:r>
          </w:p>
        </w:tc>
        <w:tc>
          <w:tcPr>
            <w:tcW w:type="dxa" w:w="6500"/>
            <w:shd w:fill="1F3864" w:val="clear"/>
            <w:tcMar>
              <w:top w:type="dxa" w:w="100"/>
              <w:left w:type="dxa" w:w="120"/>
              <w:bottom w:type="dxa" w:w="100"/>
              <w:right w:type="dxa" w:w="120"/>
            </w:tcMar>
            <w:vAlign w:val="center"/>
          </w:tcPr>
          <w:p>
            <w:pPr>
              <w:jc w:val="left"/>
            </w:pPr>
            <w:r>
              <w:rPr>
                <w:b/>
                <w:bCs/>
                <w:color w:val="FFFFFF"/>
                <w:sz w:val="19"/>
                <w:szCs w:val="19"/>
              </w:rPr>
              <w:t xml:space="preserve">Role in the Project</w:t>
            </w:r>
          </w:p>
        </w:tc>
      </w:tr>
      <w:tr>
        <w:tc>
          <w:tcPr>
            <w:tcW w:type="dxa" w:w="28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GitHub</w:t>
            </w:r>
          </w:p>
        </w:tc>
        <w:tc>
          <w:tcPr>
            <w:tcW w:type="dxa" w:w="65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Source-code hosting and version control.</w:t>
            </w:r>
          </w:p>
        </w:tc>
      </w:tr>
      <w:tr>
        <w:tc>
          <w:tcPr>
            <w:tcW w:type="dxa" w:w="28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Jenkins</w:t>
            </w:r>
          </w:p>
        </w:tc>
        <w:tc>
          <w:tcPr>
            <w:tcW w:type="dxa" w:w="65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Automates the CI/CD pipeline; security scanners act as a deployment gate within it.</w:t>
            </w:r>
          </w:p>
        </w:tc>
      </w:tr>
      <w:tr>
        <w:tc>
          <w:tcPr>
            <w:tcW w:type="dxa" w:w="28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Docker</w:t>
            </w:r>
          </w:p>
        </w:tc>
        <w:tc>
          <w:tcPr>
            <w:tcW w:type="dxa" w:w="65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Packages the application and its dependencies into container images.</w:t>
            </w:r>
          </w:p>
        </w:tc>
      </w:tr>
      <w:tr>
        <w:tc>
          <w:tcPr>
            <w:tcW w:type="dxa" w:w="28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Kubernetes</w:t>
            </w:r>
          </w:p>
        </w:tc>
        <w:tc>
          <w:tcPr>
            <w:tcW w:type="dxa" w:w="65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Container orchestration and deployment target.</w:t>
            </w:r>
          </w:p>
        </w:tc>
      </w:tr>
      <w:tr>
        <w:tc>
          <w:tcPr>
            <w:tcW w:type="dxa" w:w="28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Minikube</w:t>
            </w:r>
          </w:p>
        </w:tc>
        <w:tc>
          <w:tcPr>
            <w:tcW w:type="dxa" w:w="65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Local Kubernetes cluster used for development and testing.</w:t>
            </w:r>
          </w:p>
        </w:tc>
      </w:tr>
      <w:tr>
        <w:tc>
          <w:tcPr>
            <w:tcW w:type="dxa" w:w="28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Trivy</w:t>
            </w:r>
          </w:p>
        </w:tc>
        <w:tc>
          <w:tcPr>
            <w:tcW w:type="dxa" w:w="65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Pre-deployment scanning: image CVEs, Kubernetes YAML/config misconfigurations, IaC checks.</w:t>
            </w:r>
          </w:p>
        </w:tc>
      </w:tr>
      <w:tr>
        <w:tc>
          <w:tcPr>
            <w:tcW w:type="dxa" w:w="28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Falco</w:t>
            </w:r>
          </w:p>
        </w:tc>
        <w:tc>
          <w:tcPr>
            <w:tcW w:type="dxa" w:w="65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Runtime security monitoring; rule-based detection of suspicious activity from kernel events.</w:t>
            </w:r>
          </w:p>
        </w:tc>
      </w:tr>
      <w:tr>
        <w:tc>
          <w:tcPr>
            <w:tcW w:type="dxa" w:w="28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eBPF</w:t>
            </w:r>
          </w:p>
        </w:tc>
        <w:tc>
          <w:tcPr>
            <w:tcW w:type="dxa" w:w="65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Kernel-level telemetry mechanism underlying Falco's runtime observability.</w:t>
            </w:r>
          </w:p>
        </w:tc>
      </w:tr>
      <w:tr>
        <w:tc>
          <w:tcPr>
            <w:tcW w:type="dxa" w:w="28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Isolation Forest (AI/ML)</w:t>
            </w:r>
          </w:p>
        </w:tc>
        <w:tc>
          <w:tcPr>
            <w:tcW w:type="dxa" w:w="65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Unsupervised behavioural anomaly detection on Falco/eBPF telemetry, complementing Falco's rules.</w:t>
            </w:r>
          </w:p>
        </w:tc>
      </w:tr>
      <w:tr>
        <w:tc>
          <w:tcPr>
            <w:tcW w:type="dxa" w:w="28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FastAPI</w:t>
            </w:r>
          </w:p>
        </w:tc>
        <w:tc>
          <w:tcPr>
            <w:tcW w:type="dxa" w:w="65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Backend REST API / ingestion layer for scan results and runtime alerts.</w:t>
            </w:r>
          </w:p>
        </w:tc>
      </w:tr>
      <w:tr>
        <w:tc>
          <w:tcPr>
            <w:tcW w:type="dxa" w:w="28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SQLite</w:t>
            </w:r>
          </w:p>
        </w:tc>
        <w:tc>
          <w:tcPr>
            <w:tcW w:type="dxa" w:w="65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Lightweight local database for scan and security event storage.</w:t>
            </w:r>
          </w:p>
        </w:tc>
      </w:tr>
      <w:tr>
        <w:tc>
          <w:tcPr>
            <w:tcW w:type="dxa" w:w="28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Streamlit</w:t>
            </w:r>
          </w:p>
        </w:tc>
        <w:tc>
          <w:tcPr>
            <w:tcW w:type="dxa" w:w="65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Security dashboard visualising scan results, vulnerabilities, anomalies and alerts.</w:t>
            </w:r>
          </w:p>
        </w:tc>
      </w:tr>
      <w:tr>
        <w:tc>
          <w:tcPr>
            <w:tcW w:type="dxa" w:w="28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Slack</w:t>
            </w:r>
          </w:p>
        </w:tc>
        <w:tc>
          <w:tcPr>
            <w:tcW w:type="dxa" w:w="65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Real-time notification channel for pipeline failures and security alerts.</w:t>
            </w:r>
          </w:p>
        </w:tc>
      </w:tr>
    </w:tbl>
    <w:p>
      <w:pPr>
        <w:spacing w:before="240"/>
      </w:pPr>
    </w:p>
    <w:p>
      <w:pPr>
        <w:pStyle w:val="Heading1"/>
        <w:spacing w:after="180" w:before="360"/>
      </w:pPr>
      <w:r>
        <w:rPr>
          <w:b/>
          <w:bCs/>
          <w:color w:val="1F3864"/>
          <w:sz w:val="30"/>
          <w:szCs w:val="30"/>
        </w:rPr>
        <w:t xml:space="preserve">7. Example Scenarios</w:t>
      </w:r>
    </w:p>
    <w:p>
      <w:pPr>
        <w:pStyle w:val="Heading3"/>
        <w:spacing w:after="100" w:before="200"/>
      </w:pPr>
      <w:r>
        <w:rPr>
          <w:b/>
          <w:bCs/>
          <w:i/>
          <w:iCs/>
          <w:color w:val="595959"/>
          <w:sz w:val="23"/>
          <w:szCs w:val="23"/>
        </w:rPr>
        <w:t xml:space="preserve">Scenario A — Pre-deployment CVE blocks a release</w:t>
      </w:r>
    </w:p>
    <w:p>
      <w:pPr>
        <w:spacing w:after="160" w:line="300"/>
        <w:jc w:val="both"/>
      </w:pPr>
      <w:r>
        <w:rPr>
          <w:sz w:val="22"/>
          <w:szCs w:val="22"/>
        </w:rPr>
        <w:t xml:space="preserve">A developer pushes code containing an outdated, vulnerable package. Jenkins builds the Docker image and Trivy scans it, detecting a known CVE. The severity is evaluated against the configured security policy; since the policy is violated, the Jenkins pipeline fails, deployment is blocked, and a Slack notification informs the team — all without any manual security review step.</w:t>
      </w:r>
    </w:p>
    <w:p>
      <w:pPr>
        <w:pStyle w:val="Heading3"/>
        <w:spacing w:after="100" w:before="200"/>
      </w:pPr>
      <w:r>
        <w:rPr>
          <w:b/>
          <w:bCs/>
          <w:i/>
          <w:iCs/>
          <w:color w:val="595959"/>
          <w:sz w:val="23"/>
          <w:szCs w:val="23"/>
        </w:rPr>
        <w:t xml:space="preserve">Scenario B — Runtime anomaly detected after a clean scan</w:t>
      </w:r>
    </w:p>
    <w:p>
      <w:pPr>
        <w:spacing w:after="160" w:line="300"/>
        <w:jc w:val="both"/>
      </w:pPr>
      <w:r>
        <w:rPr>
          <w:sz w:val="22"/>
          <w:szCs w:val="22"/>
        </w:rPr>
        <w:t xml:space="preserve">An image passes the Trivy scan with no policy violations and is deployed. The application behaves normally at first, but a sudden unusual process, network or file-access pattern occurs at runtime. Falco generates a runtime alert from this telemetry; the Isolation Forest model independently scores the underlying behavioural features as anomalous. The backend records the event, and it is surfaced on the dashboard and through a Slack alert — illustrating detection of a threat that pre-deployment scanning alone could never have caught.</w:t>
      </w:r>
    </w:p>
    <w:p>
      <w:pPr>
        <w:pStyle w:val="Heading1"/>
        <w:spacing w:after="180" w:before="360"/>
      </w:pPr>
      <w:r>
        <w:rPr>
          <w:b/>
          <w:bCs/>
          <w:color w:val="1F3864"/>
          <w:sz w:val="30"/>
          <w:szCs w:val="30"/>
        </w:rPr>
        <w:t xml:space="preserve">8. Project Novelty / Contribution</w:t>
      </w:r>
    </w:p>
    <w:p>
      <w:pPr>
        <w:spacing w:after="160" w:line="300"/>
        <w:jc w:val="both"/>
      </w:pPr>
      <w:r>
        <w:rPr>
          <w:sz w:val="22"/>
          <w:szCs w:val="22"/>
        </w:rPr>
        <w:t xml:space="preserve">Container and Kubernetes vulnerability scanning individually is not, by itself, a novel contribution — tools such as Trivy and Falco are widely available. This project's contribution is the integration of multiple security layers into a single automated DevSecOps workflow spanning both sides of deployment:</w:t>
      </w:r>
    </w:p>
    <w:p>
      <w:pPr>
        <w:pStyle w:val="ListParagraph"/>
        <w:numPr>
          <w:ilvl w:val="0"/>
          <w:numId w:val="3"/>
        </w:numPr>
        <w:spacing w:after="90"/>
      </w:pPr>
      <w:r>
        <w:rPr>
          <w:sz w:val="22"/>
          <w:szCs w:val="22"/>
        </w:rPr>
        <w:t xml:space="preserve">Pre-deployment container image scanning gated directly into CI/CD.</w:t>
      </w:r>
    </w:p>
    <w:p>
      <w:pPr>
        <w:pStyle w:val="ListParagraph"/>
        <w:numPr>
          <w:ilvl w:val="0"/>
          <w:numId w:val="3"/>
        </w:numPr>
        <w:spacing w:after="90"/>
      </w:pPr>
      <w:r>
        <w:rPr>
          <w:sz w:val="22"/>
          <w:szCs w:val="22"/>
        </w:rPr>
        <w:t xml:space="preserve">Kubernetes manifest and IaC configuration security checks in the same pipeline stage.</w:t>
      </w:r>
    </w:p>
    <w:p>
      <w:pPr>
        <w:pStyle w:val="ListParagraph"/>
        <w:numPr>
          <w:ilvl w:val="0"/>
          <w:numId w:val="3"/>
        </w:numPr>
        <w:spacing w:after="90"/>
      </w:pPr>
      <w:r>
        <w:rPr>
          <w:sz w:val="22"/>
          <w:szCs w:val="22"/>
        </w:rPr>
        <w:t xml:space="preserve">Automated CI/CD security gating that blocks insecure deployments without manual intervention.</w:t>
      </w:r>
    </w:p>
    <w:p>
      <w:pPr>
        <w:pStyle w:val="ListParagraph"/>
        <w:numPr>
          <w:ilvl w:val="0"/>
          <w:numId w:val="3"/>
        </w:numPr>
        <w:spacing w:after="90"/>
      </w:pPr>
      <w:r>
        <w:rPr>
          <w:sz w:val="22"/>
          <w:szCs w:val="22"/>
        </w:rPr>
        <w:t xml:space="preserve">Continuous runtime monitoring via Falco/eBPF after deployment.</w:t>
      </w:r>
    </w:p>
    <w:p>
      <w:pPr>
        <w:pStyle w:val="ListParagraph"/>
        <w:numPr>
          <w:ilvl w:val="0"/>
          <w:numId w:val="3"/>
        </w:numPr>
        <w:spacing w:after="90"/>
      </w:pPr>
      <w:r>
        <w:rPr>
          <w:sz w:val="22"/>
          <w:szCs w:val="22"/>
        </w:rPr>
        <w:t xml:space="preserve">AI-based behavioural anomaly detection layered on top of rule-based runtime monitoring.</w:t>
      </w:r>
    </w:p>
    <w:p>
      <w:pPr>
        <w:pStyle w:val="ListParagraph"/>
        <w:numPr>
          <w:ilvl w:val="0"/>
          <w:numId w:val="3"/>
        </w:numPr>
        <w:spacing w:after="90"/>
      </w:pPr>
      <w:r>
        <w:rPr>
          <w:sz w:val="22"/>
          <w:szCs w:val="22"/>
        </w:rPr>
        <w:t xml:space="preserve">A centralised backend and database unifying pre-deployment and runtime security data.</w:t>
      </w:r>
    </w:p>
    <w:p>
      <w:pPr>
        <w:pStyle w:val="ListParagraph"/>
        <w:numPr>
          <w:ilvl w:val="0"/>
          <w:numId w:val="3"/>
        </w:numPr>
        <w:spacing w:after="90"/>
      </w:pPr>
      <w:r>
        <w:rPr>
          <w:sz w:val="22"/>
          <w:szCs w:val="22"/>
        </w:rPr>
        <w:t xml:space="preserve">A single dashboard and alerting channel covering the full security lifecycle of a deployment.</w:t>
      </w:r>
    </w:p>
    <w:p>
      <w:pPr>
        <w:spacing w:after="160" w:line="300"/>
        <w:jc w:val="both"/>
      </w:pPr>
      <w:r>
        <w:rPr>
          <w:sz w:val="22"/>
          <w:szCs w:val="22"/>
        </w:rPr>
        <w:t xml:space="preserve">The combination — rather than any single tool — is what provides security coverage across both the “before deployment” and “during runtime” phases of the software lifecycle.</w:t>
      </w:r>
    </w:p>
    <w:p>
      <w:pPr>
        <w:pStyle w:val="Heading1"/>
        <w:spacing w:after="180" w:before="360"/>
      </w:pPr>
      <w:r>
        <w:rPr>
          <w:b/>
          <w:bCs/>
          <w:color w:val="1F3864"/>
          <w:sz w:val="30"/>
          <w:szCs w:val="30"/>
        </w:rPr>
        <w:t xml:space="preserve">9. Current Project Stage and Timeline</w:t>
      </w:r>
    </w:p>
    <w:p>
      <w:pPr>
        <w:spacing w:after="160" w:line="300"/>
        <w:jc w:val="both"/>
      </w:pPr>
      <w:r>
        <w:rPr>
          <w:sz w:val="22"/>
          <w:szCs w:val="22"/>
        </w:rPr>
        <w:t xml:space="preserve">This report corresponds to the Review 1 stage of the project. Work completed at this stage covers problem analysis, understanding of security requirements, technology-stack selection, the literature review presented in Section 4, and architecture/project planning. Implementation is planned incrementally across subsequent review stages, as summarised below; no component beyond planning and design should be treated as already implemented at this 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900"/>
        <w:gridCol w:w="1500"/>
      </w:tblGrid>
      <w:tr>
        <w:trPr>
          <w:tblHeader/>
        </w:trPr>
        <w:tc>
          <w:tcPr>
            <w:tcW w:type="dxa" w:w="1600"/>
            <w:shd w:fill="1F3864" w:val="clear"/>
            <w:tcMar>
              <w:top w:type="dxa" w:w="100"/>
              <w:left w:type="dxa" w:w="120"/>
              <w:bottom w:type="dxa" w:w="100"/>
              <w:right w:type="dxa" w:w="120"/>
            </w:tcMar>
            <w:vAlign w:val="center"/>
          </w:tcPr>
          <w:p>
            <w:pPr>
              <w:jc w:val="left"/>
            </w:pPr>
            <w:r>
              <w:rPr>
                <w:b/>
                <w:bCs/>
                <w:color w:val="FFFFFF"/>
                <w:sz w:val="19"/>
                <w:szCs w:val="19"/>
              </w:rPr>
              <w:t xml:space="preserve">Phase</w:t>
            </w:r>
          </w:p>
        </w:tc>
        <w:tc>
          <w:tcPr>
            <w:tcW w:type="dxa" w:w="5900"/>
            <w:shd w:fill="1F3864" w:val="clear"/>
            <w:tcMar>
              <w:top w:type="dxa" w:w="100"/>
              <w:left w:type="dxa" w:w="120"/>
              <w:bottom w:type="dxa" w:w="100"/>
              <w:right w:type="dxa" w:w="120"/>
            </w:tcMar>
            <w:vAlign w:val="center"/>
          </w:tcPr>
          <w:p>
            <w:pPr>
              <w:jc w:val="left"/>
            </w:pPr>
            <w:r>
              <w:rPr>
                <w:b/>
                <w:bCs/>
                <w:color w:val="FFFFFF"/>
                <w:sz w:val="19"/>
                <w:szCs w:val="19"/>
              </w:rPr>
              <w:t xml:space="preserve">Milestone</w:t>
            </w:r>
          </w:p>
        </w:tc>
        <w:tc>
          <w:tcPr>
            <w:tcW w:type="dxa" w:w="1500"/>
            <w:shd w:fill="1F3864" w:val="clear"/>
            <w:tcMar>
              <w:top w:type="dxa" w:w="100"/>
              <w:left w:type="dxa" w:w="120"/>
              <w:bottom w:type="dxa" w:w="100"/>
              <w:right w:type="dxa" w:w="120"/>
            </w:tcMar>
            <w:vAlign w:val="center"/>
          </w:tcPr>
          <w:p>
            <w:pPr>
              <w:jc w:val="left"/>
            </w:pPr>
            <w:r>
              <w:rPr>
                <w:b/>
                <w:bCs/>
                <w:color w:val="FFFFFF"/>
                <w:sz w:val="19"/>
                <w:szCs w:val="19"/>
              </w:rPr>
              <w:t xml:space="preserve">Status</w:t>
            </w:r>
          </w:p>
        </w:tc>
      </w:tr>
      <w:tr>
        <w:tc>
          <w:tcPr>
            <w:tcW w:type="dxa" w:w="16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Review 1</w:t>
            </w:r>
          </w:p>
        </w:tc>
        <w:tc>
          <w:tcPr>
            <w:tcW w:type="dxa" w:w="59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Problem analysis, requirement study, technology-stack finalisation, literature survey, architecture design</w:t>
            </w:r>
          </w:p>
        </w:tc>
        <w:tc>
          <w:tcPr>
            <w:tcW w:type="dxa" w:w="15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Completed</w:t>
            </w:r>
          </w:p>
        </w:tc>
      </w:tr>
      <w:tr>
        <w:tc>
          <w:tcPr>
            <w:tcW w:type="dxa" w:w="16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Review 2</w:t>
            </w:r>
          </w:p>
        </w:tc>
        <w:tc>
          <w:tcPr>
            <w:tcW w:type="dxa" w:w="59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GitHub + Jenkins pipeline setup; Docker image build stage; Trivy integration for image and Kubernetes YAML scanning; pipeline gating logic</w:t>
            </w:r>
          </w:p>
        </w:tc>
        <w:tc>
          <w:tcPr>
            <w:tcW w:type="dxa" w:w="15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Planned</w:t>
            </w:r>
          </w:p>
        </w:tc>
      </w:tr>
      <w:tr>
        <w:tc>
          <w:tcPr>
            <w:tcW w:type="dxa" w:w="16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Review 3</w:t>
            </w:r>
          </w:p>
        </w:tc>
        <w:tc>
          <w:tcPr>
            <w:tcW w:type="dxa" w:w="59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Minikube deployment; Falco + eBPF runtime monitoring setup; telemetry collection and feature extraction</w:t>
            </w:r>
          </w:p>
        </w:tc>
        <w:tc>
          <w:tcPr>
            <w:tcW w:type="dxa" w:w="15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Planned</w:t>
            </w:r>
          </w:p>
        </w:tc>
      </w:tr>
      <w:tr>
        <w:tc>
          <w:tcPr>
            <w:tcW w:type="dxa" w:w="16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Review 4</w:t>
            </w:r>
          </w:p>
        </w:tc>
        <w:tc>
          <w:tcPr>
            <w:tcW w:type="dxa" w:w="59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Isolation Forest model training and evaluation; FastAPI ingestion layer; SQLite schema; anomaly scoring pipeline</w:t>
            </w:r>
          </w:p>
        </w:tc>
        <w:tc>
          <w:tcPr>
            <w:tcW w:type="dxa" w:w="1500"/>
            <w:shd w:fill="FFFFFF" w:val="clear"/>
            <w:tcMar>
              <w:top w:type="dxa" w:w="100"/>
              <w:left w:type="dxa" w:w="120"/>
              <w:bottom w:type="dxa" w:w="100"/>
              <w:right w:type="dxa" w:w="120"/>
            </w:tcMar>
            <w:vAlign w:val="center"/>
          </w:tcPr>
          <w:p>
            <w:pPr>
              <w:jc w:val="left"/>
            </w:pPr>
            <w:r>
              <w:rPr>
                <w:b w:val="false"/>
                <w:bCs w:val="false"/>
                <w:color w:val="1F1F1F"/>
                <w:sz w:val="19"/>
                <w:szCs w:val="19"/>
              </w:rPr>
              <w:t xml:space="preserve">Planned</w:t>
            </w:r>
          </w:p>
        </w:tc>
      </w:tr>
      <w:tr>
        <w:tc>
          <w:tcPr>
            <w:tcW w:type="dxa" w:w="16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Final Review</w:t>
            </w:r>
          </w:p>
        </w:tc>
        <w:tc>
          <w:tcPr>
            <w:tcW w:type="dxa" w:w="59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Streamlit dashboard; Slack alert integration; end-to-end testing (pre-deployment + runtime scenarios); documentation and viva preparation</w:t>
            </w:r>
          </w:p>
        </w:tc>
        <w:tc>
          <w:tcPr>
            <w:tcW w:type="dxa" w:w="1500"/>
            <w:shd w:fill="F2F5FA" w:val="clear"/>
            <w:tcMar>
              <w:top w:type="dxa" w:w="100"/>
              <w:left w:type="dxa" w:w="120"/>
              <w:bottom w:type="dxa" w:w="100"/>
              <w:right w:type="dxa" w:w="120"/>
            </w:tcMar>
            <w:vAlign w:val="center"/>
          </w:tcPr>
          <w:p>
            <w:pPr>
              <w:jc w:val="left"/>
            </w:pPr>
            <w:r>
              <w:rPr>
                <w:b w:val="false"/>
                <w:bCs w:val="false"/>
                <w:color w:val="1F1F1F"/>
                <w:sz w:val="19"/>
                <w:szCs w:val="19"/>
              </w:rPr>
              <w:t xml:space="preserve">Planned</w:t>
            </w:r>
          </w:p>
        </w:tc>
      </w:tr>
    </w:tbl>
    <w:p>
      <w:pPr>
        <w:spacing w:before="240"/>
      </w:pPr>
    </w:p>
    <w:p>
      <w:pPr>
        <w:pStyle w:val="Heading1"/>
        <w:spacing w:after="180" w:before="360"/>
      </w:pPr>
      <w:r>
        <w:rPr>
          <w:b/>
          <w:bCs/>
          <w:color w:val="1F3864"/>
          <w:sz w:val="30"/>
          <w:szCs w:val="30"/>
        </w:rPr>
        <w:t xml:space="preserve">10. Important Viva Concepts</w:t>
      </w:r>
    </w:p>
    <w:p>
      <w:pPr>
        <w:spacing w:after="160" w:line="300"/>
        <w:jc w:val="both"/>
      </w:pPr>
      <w:r>
        <w:rPr>
          <w:sz w:val="22"/>
          <w:szCs w:val="22"/>
        </w:rPr>
        <w:t xml:space="preserve">The following concepts should be well understood for the project viva, as they underpin the design decisions documented above:</w:t>
      </w:r>
    </w:p>
    <w:p>
      <w:pPr>
        <w:pStyle w:val="ListParagraph"/>
        <w:numPr>
          <w:ilvl w:val="0"/>
          <w:numId w:val="3"/>
        </w:numPr>
        <w:spacing w:after="90"/>
      </w:pPr>
      <w:r>
        <w:rPr>
          <w:sz w:val="22"/>
          <w:szCs w:val="22"/>
        </w:rPr>
        <w:t xml:space="preserve">Docker vs. container vs. Docker image</w:t>
      </w:r>
    </w:p>
    <w:p>
      <w:pPr>
        <w:pStyle w:val="ListParagraph"/>
        <w:numPr>
          <w:ilvl w:val="0"/>
          <w:numId w:val="3"/>
        </w:numPr>
        <w:spacing w:after="90"/>
      </w:pPr>
      <w:r>
        <w:rPr>
          <w:sz w:val="22"/>
          <w:szCs w:val="22"/>
        </w:rPr>
        <w:t xml:space="preserve">Kubernetes and Minikube</w:t>
      </w:r>
    </w:p>
    <w:p>
      <w:pPr>
        <w:pStyle w:val="ListParagraph"/>
        <w:numPr>
          <w:ilvl w:val="0"/>
          <w:numId w:val="3"/>
        </w:numPr>
        <w:spacing w:after="90"/>
      </w:pPr>
      <w:r>
        <w:rPr>
          <w:sz w:val="22"/>
          <w:szCs w:val="22"/>
        </w:rPr>
        <w:t xml:space="preserve">CI/CD and the role of Jenkins</w:t>
      </w:r>
    </w:p>
    <w:p>
      <w:pPr>
        <w:pStyle w:val="ListParagraph"/>
        <w:numPr>
          <w:ilvl w:val="0"/>
          <w:numId w:val="3"/>
        </w:numPr>
        <w:spacing w:after="90"/>
      </w:pPr>
      <w:r>
        <w:rPr>
          <w:sz w:val="22"/>
          <w:szCs w:val="22"/>
        </w:rPr>
        <w:t xml:space="preserve">DevSecOps and shift-left security</w:t>
      </w:r>
    </w:p>
    <w:p>
      <w:pPr>
        <w:pStyle w:val="ListParagraph"/>
        <w:numPr>
          <w:ilvl w:val="0"/>
          <w:numId w:val="3"/>
        </w:numPr>
        <w:spacing w:after="90"/>
      </w:pPr>
      <w:r>
        <w:rPr>
          <w:sz w:val="22"/>
          <w:szCs w:val="22"/>
        </w:rPr>
        <w:t xml:space="preserve">Trivy: vulnerability vs. misconfiguration scanning</w:t>
      </w:r>
    </w:p>
    <w:p>
      <w:pPr>
        <w:pStyle w:val="ListParagraph"/>
        <w:numPr>
          <w:ilvl w:val="0"/>
          <w:numId w:val="3"/>
        </w:numPr>
        <w:spacing w:after="90"/>
      </w:pPr>
      <w:r>
        <w:rPr>
          <w:sz w:val="22"/>
          <w:szCs w:val="22"/>
        </w:rPr>
        <w:t xml:space="preserve">CVE identifiers and severity scoring</w:t>
      </w:r>
    </w:p>
    <w:p>
      <w:pPr>
        <w:pStyle w:val="ListParagraph"/>
        <w:numPr>
          <w:ilvl w:val="0"/>
          <w:numId w:val="3"/>
        </w:numPr>
        <w:spacing w:after="90"/>
      </w:pPr>
      <w:r>
        <w:rPr>
          <w:sz w:val="22"/>
          <w:szCs w:val="22"/>
        </w:rPr>
        <w:t xml:space="preserve">Kubernetes manifests and Infrastructure as Code (IaC)</w:t>
      </w:r>
    </w:p>
    <w:p>
      <w:pPr>
        <w:pStyle w:val="ListParagraph"/>
        <w:numPr>
          <w:ilvl w:val="0"/>
          <w:numId w:val="3"/>
        </w:numPr>
        <w:spacing w:after="90"/>
      </w:pPr>
      <w:r>
        <w:rPr>
          <w:sz w:val="22"/>
          <w:szCs w:val="22"/>
        </w:rPr>
        <w:t xml:space="preserve">Falco and eBPF; static analysis vs. runtime analysis</w:t>
      </w:r>
    </w:p>
    <w:p>
      <w:pPr>
        <w:pStyle w:val="ListParagraph"/>
        <w:numPr>
          <w:ilvl w:val="0"/>
          <w:numId w:val="3"/>
        </w:numPr>
        <w:spacing w:after="90"/>
      </w:pPr>
      <w:r>
        <w:rPr>
          <w:sz w:val="22"/>
          <w:szCs w:val="22"/>
        </w:rPr>
        <w:t xml:space="preserve">FastAPI and REST API design; SQLite; Streamlit; Slack integration</w:t>
      </w:r>
    </w:p>
    <w:p>
      <w:pPr>
        <w:pStyle w:val="ListParagraph"/>
        <w:numPr>
          <w:ilvl w:val="0"/>
          <w:numId w:val="3"/>
        </w:numPr>
        <w:spacing w:after="90"/>
      </w:pPr>
      <w:r>
        <w:rPr>
          <w:sz w:val="22"/>
          <w:szCs w:val="22"/>
        </w:rPr>
        <w:t xml:space="preserve">Isolation Forest; supervised vs. unsupervised learning; why AI is needed and why it does not replace Falco</w:t>
      </w:r>
    </w:p>
    <w:p>
      <w:pPr>
        <w:pStyle w:val="ListParagraph"/>
        <w:numPr>
          <w:ilvl w:val="0"/>
          <w:numId w:val="3"/>
        </w:numPr>
        <w:spacing w:after="90"/>
      </w:pPr>
      <w:r>
        <w:rPr>
          <w:sz w:val="22"/>
          <w:szCs w:val="22"/>
        </w:rPr>
        <w:t xml:space="preserve">Why Trivy was chosen over alternatives such as Clair</w:t>
      </w:r>
    </w:p>
    <w:p>
      <w:pPr>
        <w:pStyle w:val="ListParagraph"/>
        <w:numPr>
          <w:ilvl w:val="0"/>
          <w:numId w:val="3"/>
        </w:numPr>
        <w:spacing w:after="90"/>
      </w:pPr>
      <w:r>
        <w:rPr>
          <w:sz w:val="22"/>
          <w:szCs w:val="22"/>
        </w:rPr>
        <w:t xml:space="preserve">How Jenkins blocks a deployment; what happens when Trivy detects a CVE; how runtime anomalies are detected and how scan results move through the system</w:t>
      </w:r>
    </w:p>
    <w:p>
      <w:pPr>
        <w:pStyle w:val="ListParagraph"/>
        <w:numPr>
          <w:ilvl w:val="0"/>
          <w:numId w:val="3"/>
        </w:numPr>
        <w:spacing w:after="90"/>
      </w:pPr>
      <w:r>
        <w:rPr>
          <w:sz w:val="22"/>
          <w:szCs w:val="22"/>
        </w:rPr>
        <w:t xml:space="preserve">Limitations of the current design and possible future enhancements</w:t>
      </w:r>
    </w:p>
    <w:p>
      <w:pPr>
        <w:pStyle w:val="Heading1"/>
        <w:spacing w:after="180" w:before="360"/>
      </w:pPr>
      <w:r>
        <w:rPr>
          <w:b/>
          <w:bCs/>
          <w:color w:val="1F3864"/>
          <w:sz w:val="30"/>
          <w:szCs w:val="30"/>
        </w:rPr>
        <w:t xml:space="preserve">11. Conclusion</w:t>
      </w:r>
    </w:p>
    <w:p>
      <w:pPr>
        <w:spacing w:after="160" w:line="300"/>
        <w:jc w:val="both"/>
      </w:pPr>
      <w:r>
        <w:rPr>
          <w:sz w:val="22"/>
          <w:szCs w:val="22"/>
        </w:rPr>
        <w:t xml:space="preserve">This project addresses a concrete gap in typical DevOps workflows: the absence of automated, continuous security checks spanning both pre-deployment artifacts and post-deployment runtime behaviour. By gating a Jenkins CI/CD pipeline with Trivy-based scanning and layering Falco/eBPF runtime monitoring with an Isolation-Forest-based anomaly detector on top, the proposed system follows an established shift-left security philosophy while extending coverage into the runtime phase that static scanning alone cannot reach. The literature reviewed in this report supports each of these design choices and situates the project's contribution — the integration of these layers into one coherent, automated workflow — within current DevSecOps and cloud-native security research.</w:t>
      </w:r>
    </w:p>
    <w:p>
      <w:pPr>
        <w:pStyle w:val="Heading1"/>
        <w:spacing w:after="180" w:before="360"/>
      </w:pPr>
      <w:r>
        <w:rPr>
          <w:b/>
          <w:bCs/>
          <w:color w:val="1F3864"/>
          <w:sz w:val="30"/>
          <w:szCs w:val="30"/>
        </w:rPr>
        <w:t xml:space="preserve">References</w:t>
      </w:r>
    </w:p>
    <w:p>
      <w:pPr>
        <w:spacing w:after="160" w:line="300"/>
        <w:jc w:val="both"/>
      </w:pPr>
      <w:r>
        <w:rPr>
          <w:sz w:val="20"/>
          <w:szCs w:val="20"/>
        </w:rPr>
        <w:t xml:space="preserve">[1] DevSecOps-Driven Security Framework for CI/CD Pipeline Risk Mitigation, ResearchGate, 2025.</w:t>
      </w:r>
    </w:p>
    <w:p>
      <w:pPr>
        <w:spacing w:after="160" w:line="300"/>
        <w:jc w:val="both"/>
      </w:pPr>
      <w:r>
        <w:rPr>
          <w:sz w:val="20"/>
          <w:szCs w:val="20"/>
        </w:rPr>
        <w:t xml:space="preserve">[2] Integrating Security into CI/CD Pipelines: A DevSecOps Approach with SAST, DAST, and SCA Tools, International Journal of Science and Research Archive, 03(01), 2021.</w:t>
      </w:r>
    </w:p>
    <w:p>
      <w:pPr>
        <w:spacing w:after="160" w:line="300"/>
        <w:jc w:val="both"/>
      </w:pPr>
      <w:r>
        <w:rPr>
          <w:sz w:val="20"/>
          <w:szCs w:val="20"/>
        </w:rPr>
        <w:t xml:space="preserve">[3] Developing a Framework for Integrating Security Testing into CI/CD Pipelines (citing Rangnau et al. 2020; A. K. Reddy 2021; Feio et al. 2024), National College of Ireland dissertation repository.</w:t>
      </w:r>
    </w:p>
    <w:p>
      <w:pPr>
        <w:spacing w:after="160" w:line="300"/>
        <w:jc w:val="both"/>
      </w:pPr>
      <w:r>
        <w:rPr>
          <w:sz w:val="20"/>
          <w:szCs w:val="20"/>
        </w:rPr>
        <w:t xml:space="preserve">[4] Embedding Security into Pipelines: A DevSecOps Blueprint, TechRxiv preprint, 2025.</w:t>
      </w:r>
    </w:p>
    <w:p>
      <w:pPr>
        <w:spacing w:after="160" w:line="300"/>
        <w:jc w:val="both"/>
      </w:pPr>
      <w:r>
        <w:rPr>
          <w:sz w:val="20"/>
          <w:szCs w:val="20"/>
        </w:rPr>
        <w:t xml:space="preserve">[5] Security in DevOps (DevSecOps): Integrating Security into the Development Pipeline, International Journal of Advanced Research in Computer Science &amp; Technology, 2025.</w:t>
      </w:r>
    </w:p>
    <w:p>
      <w:pPr>
        <w:spacing w:after="160" w:line="300"/>
        <w:jc w:val="both"/>
      </w:pPr>
      <w:r>
        <w:rPr>
          <w:sz w:val="20"/>
          <w:szCs w:val="20"/>
        </w:rPr>
        <w:t xml:space="preserve">[6] Advancing DevSecOps in SMEs: Challenges and Best Practices for Secure CI/CD Pipelines, arXiv:2503.22612, 2025.</w:t>
      </w:r>
    </w:p>
    <w:p>
      <w:pPr>
        <w:spacing w:after="160" w:line="300"/>
        <w:jc w:val="both"/>
      </w:pPr>
      <w:r>
        <w:rPr>
          <w:sz w:val="20"/>
          <w:szCs w:val="20"/>
        </w:rPr>
        <w:t xml:space="preserve">[7] Aqua Security, Trivy — open-source vulnerability and misconfiguration scanner documentation, trivy.dev, accessed 2026.</w:t>
      </w:r>
    </w:p>
    <w:p>
      <w:pPr>
        <w:spacing w:after="160" w:line="300"/>
        <w:jc w:val="both"/>
      </w:pPr>
      <w:r>
        <w:rPr>
          <w:sz w:val="20"/>
          <w:szCs w:val="20"/>
        </w:rPr>
        <w:t xml:space="preserve">[8] Syairozi, A. A. and Arizal, Comparative Analysis of eBPF-Based Runtime Security Monitoring Tools in Monitoring and Threat Detection on Kubernetes, Proceedings of RITECH 2025, pp. 136–141.</w:t>
      </w:r>
    </w:p>
    <w:p>
      <w:pPr>
        <w:spacing w:after="160" w:line="300"/>
        <w:jc w:val="both"/>
      </w:pPr>
      <w:r>
        <w:rPr>
          <w:sz w:val="20"/>
          <w:szCs w:val="20"/>
        </w:rPr>
        <w:t xml:space="preserve">[9] FedMon: Federated eBPF Monitoring for Distributed Anomaly Detection in Multi-Cluster Cloud Environments, arXiv:2510.10126, 2025.</w:t>
      </w:r>
    </w:p>
    <w:p>
      <w:pPr>
        <w:spacing w:after="160" w:line="300"/>
        <w:jc w:val="both"/>
      </w:pPr>
      <w:r>
        <w:rPr>
          <w:sz w:val="20"/>
          <w:szCs w:val="20"/>
        </w:rPr>
        <w:t xml:space="preserve">[10] Iacovazzi, A. and Raza, S., Ensemble of Random and Isolation Forests for Graph-Based Intrusion Detection in Containers, arXiv:2306.14750, 2023.</w:t>
      </w:r>
    </w:p>
    <w:p>
      <w:pPr>
        <w:spacing w:after="160" w:line="300"/>
        <w:jc w:val="both"/>
      </w:pPr>
      <w:r>
        <w:rPr>
          <w:sz w:val="20"/>
          <w:szCs w:val="20"/>
        </w:rPr>
        <w:t xml:space="preserve">[11] Robust IoT Security Using Isolation Forest and One-Class SVM Algorithms, Scientific Reports, 2025.</w:t>
      </w:r>
    </w:p>
    <w:p>
      <w:pPr>
        <w:spacing w:after="160" w:line="300"/>
        <w:jc w:val="both"/>
      </w:pPr>
      <w:r>
        <w:rPr>
          <w:sz w:val="20"/>
          <w:szCs w:val="20"/>
        </w:rPr>
        <w:t xml:space="preserve">[12] Industry documentation on IaC and Kubernetes manifest scanning — Checkov, Trivy and Kubescape project docs; Aikido, IaC Genius and Cloudanix technical guides, 2025–26.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2026-08-22T08:48:32.111Z</dcterms:created>
  <dcterms:modified xsi:type="dcterms:W3CDTF">2026-08-22T08:48:32.111Z</dcterms:modified>
</cp:coreProperties>
</file>

<file path=docProps/custom.xml><?xml version="1.0" encoding="utf-8"?>
<Properties xmlns="http://schemas.openxmlformats.org/officeDocument/2006/custom-properties" xmlns:vt="http://schemas.openxmlformats.org/officeDocument/2006/docPropsVTypes"/>
</file>