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8"/>
          <w:sz w:val="30"/>
        </w:rPr>
        <w:t>MISM 6412 — Data Mining / Machine Learning for Business</w:t>
      </w:r>
    </w:p>
    <w:p>
      <w:pPr>
        <w:spacing w:after="280"/>
      </w:pPr>
      <w:r>
        <w:rPr>
          <w:i/>
          <w:color w:val="6A6A60"/>
          <w:sz w:val="20"/>
        </w:rPr>
        <w:t>Aditi Shelke &amp; Muskaan Agarwal  |  Project Proposal</w:t>
      </w:r>
    </w:p>
    <w:p>
      <w:pPr>
        <w:spacing w:before="200" w:after="80"/>
      </w:pPr>
      <w:r>
        <w:rPr>
          <w:b/>
          <w:color w:val="1A1A18"/>
          <w:sz w:val="26"/>
        </w:rPr>
        <w:t>Business Question</w:t>
      </w:r>
    </w:p>
    <w:p>
      <w:pPr>
        <w:pStyle w:val="ListBullet"/>
        <w:spacing w:after="80"/>
      </w:pPr>
      <w:r>
        <w:rPr>
          <w:color w:val="2A2A28"/>
          <w:sz w:val="21"/>
        </w:rPr>
        <w:t>Explore how users interact with AI-generated responses and how different factors influence trust, skepticism, and verification behavior — specifically how AI confidence levels compare with actual answer accuracy and whether this relationship affects user trust.</w:t>
      </w:r>
    </w:p>
    <w:p>
      <w:pPr>
        <w:pStyle w:val="ListBullet"/>
        <w:spacing w:after="80"/>
      </w:pPr>
      <w:r>
        <w:rPr>
          <w:color w:val="2A2A28"/>
          <w:sz w:val="21"/>
        </w:rPr>
        <w:t>Analyze how individual user differences (education level, age bracket, digital literacy) shape trust behavior, skepticism categories, and fact-checking patterns.</w:t>
      </w:r>
    </w:p>
    <w:p>
      <w:pPr>
        <w:pStyle w:val="ListBullet"/>
        <w:spacing w:after="80"/>
      </w:pPr>
      <w:r>
        <w:rPr>
          <w:color w:val="2A2A28"/>
          <w:sz w:val="21"/>
        </w:rPr>
        <w:t>Examine temporal trends by incorporating year and quarter variables to understand whether trust dynamics evolve over time as users become more familiar with AI technologies.</w:t>
      </w:r>
    </w:p>
    <w:p>
      <w:pPr>
        <w:pStyle w:val="ListBullet"/>
        <w:spacing w:after="80"/>
      </w:pPr>
      <w:r>
        <w:rPr>
          <w:color w:val="2A2A28"/>
          <w:sz w:val="21"/>
        </w:rPr>
        <w:t>Determine whether AI systems are fostering a net positive trust effect across different demographic groups and what improvements can enhance responsible, equitable AI adoption.</w:t>
      </w:r>
    </w:p>
    <w:p>
      <w:pPr>
        <w:spacing w:before="200" w:after="80"/>
      </w:pPr>
      <w:r>
        <w:rPr>
          <w:b/>
          <w:color w:val="1A1A18"/>
          <w:sz w:val="26"/>
        </w:rPr>
        <w:t>Data Sources</w:t>
      </w:r>
    </w:p>
    <w:p>
      <w:pPr>
        <w:pStyle w:val="ListBullet"/>
        <w:spacing w:after="80"/>
      </w:pPr>
      <w:r>
        <w:rPr>
          <w:color w:val="2A2A28"/>
          <w:sz w:val="21"/>
        </w:rPr>
        <w:t>Sourced from Kaggle: Human Trust Levels in AI Systems (kaggle.com/datasets/shaistashahid/human-trust-levels-in-ai-systems). Minimal cleaning required as data was pre-structured.</w:t>
      </w:r>
    </w:p>
    <w:p>
      <w:pPr>
        <w:pStyle w:val="ListBullet"/>
        <w:spacing w:after="80"/>
      </w:pPr>
      <w:r>
        <w:rPr>
          <w:color w:val="2A2A28"/>
          <w:sz w:val="21"/>
        </w:rPr>
        <w:t>Time-based variables (year, quarter) were added to enable trend analysis of trust scores, skepticism, and AI calibration patterns over time.</w:t>
      </w:r>
    </w:p>
    <w:p>
      <w:pPr>
        <w:pStyle w:val="ListBullet"/>
        <w:spacing w:after="80"/>
      </w:pPr>
      <w:r>
        <w:rPr>
          <w:color w:val="2A2A28"/>
          <w:sz w:val="21"/>
        </w:rPr>
        <w:t>Key variables: AI model name, AI confidence %, answer accuracy %, trust score, calibration validity, skepticism category, cited sources, disclaimers, hedging language, response length, detail level.</w:t>
      </w:r>
    </w:p>
    <w:p>
      <w:pPr>
        <w:pStyle w:val="ListBullet"/>
        <w:spacing w:after="80"/>
      </w:pPr>
      <w:r>
        <w:rPr>
          <w:color w:val="2A2A28"/>
          <w:sz w:val="21"/>
        </w:rPr>
        <w:t>User-level variables: age bracket, education level, digital literacy score, AI familiarity, subject-matter expertise, decision importance, fact-check behavior, verification duration.</w:t>
      </w:r>
    </w:p>
    <w:p>
      <w:pPr>
        <w:spacing w:before="200" w:after="80"/>
      </w:pPr>
      <w:r>
        <w:rPr>
          <w:b/>
          <w:color w:val="1A1A18"/>
          <w:sz w:val="26"/>
        </w:rPr>
        <w:t>Data Quality Considerations</w:t>
      </w:r>
    </w:p>
    <w:p>
      <w:pPr>
        <w:pStyle w:val="ListBullet"/>
        <w:spacing w:after="80"/>
      </w:pPr>
      <w:r>
        <w:rPr>
          <w:color w:val="2A2A28"/>
          <w:sz w:val="21"/>
        </w:rPr>
        <w:t>Missing values present in fields such as urgency level and belief alignment status — handled carefully to avoid distorted results.</w:t>
      </w:r>
    </w:p>
    <w:p>
      <w:pPr>
        <w:pStyle w:val="ListBullet"/>
        <w:spacing w:after="80"/>
      </w:pPr>
      <w:r>
        <w:rPr>
          <w:color w:val="2A2A28"/>
          <w:sz w:val="21"/>
        </w:rPr>
        <w:t>Dataset sourced from Kaggle may be simulated or aggregated rather than from controlled experiments, limiting external validity.</w:t>
      </w:r>
    </w:p>
    <w:p>
      <w:pPr>
        <w:pStyle w:val="ListBullet"/>
        <w:spacing w:after="80"/>
      </w:pPr>
      <w:r>
        <w:rPr>
          <w:color w:val="2A2A28"/>
          <w:sz w:val="21"/>
        </w:rPr>
        <w:t>Self-reported variables (trust score, digital literacy, AI familiarity) may introduce response bias.</w:t>
      </w:r>
    </w:p>
    <w:p>
      <w:pPr>
        <w:pStyle w:val="ListBullet"/>
        <w:spacing w:after="80"/>
      </w:pPr>
      <w:r>
        <w:rPr>
          <w:color w:val="2A2A28"/>
          <w:sz w:val="21"/>
        </w:rPr>
        <w:t>Year and quarter variables were artificially added — temporal patterns should be interpreted cautiously as they do not represent naturally occurring time-series data.</w:t>
      </w:r>
    </w:p>
    <w:p>
      <w:pPr>
        <w:spacing w:before="200" w:after="80"/>
      </w:pPr>
      <w:r>
        <w:rPr>
          <w:b/>
          <w:color w:val="1A1A18"/>
          <w:sz w:val="26"/>
        </w:rPr>
        <w:t>Analytical Methods</w:t>
      </w:r>
    </w:p>
    <w:p>
      <w:pPr>
        <w:pStyle w:val="ListBullet"/>
        <w:spacing w:after="80"/>
      </w:pPr>
      <w:r>
        <w:rPr>
          <w:color w:val="2A2A28"/>
          <w:sz w:val="21"/>
        </w:rPr>
        <w:t>Data wrangling: cleaning, missing value handling, encoding categorical variables (education level, age bracket, skepticism category).</w:t>
      </w:r>
    </w:p>
    <w:p>
      <w:pPr>
        <w:pStyle w:val="ListBullet"/>
        <w:spacing w:after="80"/>
      </w:pPr>
      <w:r>
        <w:rPr>
          <w:color w:val="2A2A28"/>
          <w:sz w:val="21"/>
        </w:rPr>
        <w:t>Exploratory Data Analysis (EDA): distributions, correlations, initial pattern identification.</w:t>
      </w:r>
    </w:p>
    <w:p>
      <w:pPr>
        <w:pStyle w:val="ListBullet"/>
        <w:spacing w:after="80"/>
      </w:pPr>
      <w:r>
        <w:rPr>
          <w:color w:val="2A2A28"/>
          <w:sz w:val="21"/>
        </w:rPr>
        <w:t>Trend analysis using year/quarter variables to track how trust scores, skepticism, and fact-checking behavior evolve over time.</w:t>
      </w:r>
    </w:p>
    <w:p>
      <w:pPr>
        <w:pStyle w:val="ListBullet"/>
        <w:spacing w:after="80"/>
      </w:pPr>
      <w:r>
        <w:rPr>
          <w:color w:val="2A2A28"/>
          <w:sz w:val="21"/>
        </w:rPr>
        <w:t>Multiple regression to assess how AI confidence, answer accuracy, digital literacy, education, and age influence trust scores.</w:t>
      </w:r>
    </w:p>
    <w:p>
      <w:pPr>
        <w:pStyle w:val="ListBullet"/>
        <w:spacing w:after="80"/>
      </w:pPr>
      <w:r>
        <w:rPr>
          <w:color w:val="2A2A28"/>
          <w:sz w:val="21"/>
        </w:rPr>
        <w:t>Logistic regression for categorical outcomes: fact-checking behavior and skepticism category classification.</w:t>
      </w:r>
    </w:p>
    <w:p>
      <w:pPr>
        <w:pStyle w:val="ListBullet"/>
        <w:spacing w:after="80"/>
      </w:pPr>
      <w:r>
        <w:rPr>
          <w:color w:val="2A2A28"/>
          <w:sz w:val="21"/>
        </w:rPr>
        <w:t>Hypothesis testing and model validation (pROC, cross-validation) to evaluate statistical significance and robustness.</w:t>
      </w:r>
    </w:p>
    <w:p>
      <w:pPr>
        <w:spacing w:before="200" w:after="80"/>
      </w:pPr>
      <w:r>
        <w:rPr>
          <w:b/>
          <w:color w:val="1A1A18"/>
          <w:sz w:val="26"/>
        </w:rPr>
        <w:t>Team Contributions</w:t>
      </w:r>
    </w:p>
    <w:p>
      <w:pPr>
        <w:pStyle w:val="ListBullet"/>
        <w:spacing w:after="80"/>
      </w:pPr>
      <w:r>
        <w:rPr>
          <w:color w:val="2A2A28"/>
          <w:sz w:val="21"/>
        </w:rPr>
        <w:t>Aditi Shelke: Data cleaning, EDA, visualization of trends, regression modeling, hypothesis testing using R/Python, model validation.</w:t>
      </w:r>
    </w:p>
    <w:p>
      <w:pPr>
        <w:pStyle w:val="ListBullet"/>
        <w:spacing w:after="80"/>
      </w:pPr>
      <w:r>
        <w:rPr>
          <w:color w:val="2A2A28"/>
          <w:sz w:val="21"/>
        </w:rPr>
        <w:t>Muskaan Agarwal: Data integration, interpretation of results, report writing, presentation preparation.</w:t>
      </w:r>
    </w:p>
    <w:p>
      <w:pPr>
        <w:spacing w:after="120" w:line="280" w:lineRule="exact"/>
      </w:pPr>
      <w:r>
        <w:rPr>
          <w:color w:val="2A2A28"/>
          <w:sz w:val="21"/>
        </w:rPr>
        <w:t>All analyses, report writing, and presentation preparation will be shared equally across both team members.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