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0C0"/>
          <w:sz w:val="26"/>
        </w:rPr>
        <w:t>WEEK 4 PROJECT REPORT</w:t>
      </w:r>
    </w:p>
    <w:p>
      <w:pPr>
        <w:pStyle w:val="Title"/>
        <w:jc w:val="center"/>
      </w:pPr>
      <w:r>
        <w:t>Statistical Analysis and</w:t>
        <w:br/>
        <w:t>Predictive Modeling in Healthcare</w:t>
      </w:r>
    </w:p>
    <w:p>
      <w:pPr>
        <w:jc w:val="center"/>
      </w:pPr>
      <w:r>
        <w:rPr>
          <w:i/>
          <w:sz w:val="24"/>
        </w:rPr>
        <w:t>Case study: Coronary Artery Disease using the UCI Heart Disease Databases</w:t>
      </w:r>
    </w:p>
    <w:p/>
    <w:tbl>
      <w:tblPr>
        <w:tblStyle w:val="LightShading-Accent1"/>
        <w:tblW w:type="auto" w:w="0"/>
        <w:tblLook w:firstColumn="1" w:firstRow="1" w:lastColumn="0" w:lastRow="0" w:noHBand="0" w:noVBand="1" w:val="04A0"/>
      </w:tblPr>
      <w:tblGrid>
        <w:gridCol w:w="4896"/>
        <w:gridCol w:w="4896"/>
      </w:tblGrid>
      <w:tr>
        <w:tc>
          <w:tcPr>
            <w:tcW w:type="dxa" w:w="4896"/>
          </w:tcPr>
          <w:p>
            <w:r>
              <w:t>Task</w:t>
            </w:r>
          </w:p>
        </w:tc>
        <w:tc>
          <w:tcPr>
            <w:tcW w:type="dxa" w:w="4896"/>
          </w:tcPr>
          <w:p>
            <w:r>
              <w:t>Week 4 — Statistical Analysis and Predictive Modeling</w:t>
            </w:r>
          </w:p>
        </w:tc>
      </w:tr>
      <w:tr>
        <w:tc>
          <w:tcPr>
            <w:tcW w:type="dxa" w:w="4896"/>
          </w:tcPr>
          <w:p>
            <w:r>
              <w:t>Project continuity</w:t>
            </w:r>
          </w:p>
        </w:tc>
        <w:tc>
          <w:tcPr>
            <w:tcW w:type="dxa" w:w="4896"/>
          </w:tcPr>
          <w:p>
            <w:r>
              <w:t>Week 2: Data Collection &amp; Quality Assurance; Week 3: Data Visualization</w:t>
            </w:r>
          </w:p>
        </w:tc>
      </w:tr>
      <w:tr>
        <w:tc>
          <w:tcPr>
            <w:tcW w:type="dxa" w:w="4896"/>
          </w:tcPr>
          <w:p>
            <w:r>
              <w:t>Deliverables</w:t>
            </w:r>
          </w:p>
        </w:tc>
        <w:tc>
          <w:tcPr>
            <w:tcW w:type="dxa" w:w="4896"/>
          </w:tcPr>
          <w:p>
            <w:r>
              <w:t>Methodological report (.docx) and reproducible analysis notebook (.ipynb)</w:t>
            </w:r>
          </w:p>
        </w:tc>
      </w:tr>
      <w:tr>
        <w:tc>
          <w:tcPr>
            <w:tcW w:type="dxa" w:w="4896"/>
          </w:tcPr>
          <w:p>
            <w:r>
              <w:t>Status</w:t>
            </w:r>
          </w:p>
        </w:tc>
        <w:tc>
          <w:tcPr>
            <w:tcW w:type="dxa" w:w="4896"/>
          </w:tcPr>
          <w:p>
            <w:r>
              <w:t>Framework and implementation plan; empirical results require execution on the cleaned dataset</w:t>
            </w:r>
          </w:p>
        </w:tc>
      </w:tr>
    </w:tbl>
    <w:p>
      <w:r>
        <w:br w:type="page"/>
      </w:r>
    </w:p>
    <w:p>
      <w:pPr>
        <w:pStyle w:val="Heading1"/>
      </w:pPr>
      <w:r>
        <w:t>1. Executive Summary</w:t>
      </w:r>
    </w:p>
    <w:p>
      <w:r>
        <w:t>This report proposes a reproducible workflow for statistical analysis and predictive modeling in a healthcare setting, using the UCI Heart Disease databases as a case study. The work continues the prior data-quality and visualization stages by moving from descriptive insights to model development and validation. The binary outcome is whether a record is labelled as having any heart disease (target = 1) or no heart disease (target = 0).</w:t>
      </w:r>
    </w:p>
    <w:p>
      <w:r>
        <w:t>The planned analysis combines descriptive statistics, hypothesis tests, logistic regression and random forest modelling. A stratified hold-out test set and cross-validation will be used to estimate performance. Evaluation will include discrimination, classification errors, class-sensitive metrics, and probability calibration. Subgroup checks will investigate whether performance differs by sex, age group or source site. Ethical considerations—including privacy, representativeness, bias, transparency, clinical oversight and post-deployment monitoring—are treated as essential requirements rather than optional additions.</w:t>
      </w:r>
    </w:p>
    <w:p>
      <w:r>
        <w:t>No numerical findings are claimed in this report. Results must be generated by running the companion notebook against the cleaned dataset produced by the Week 2 pipeline. This is an educational retrospective analysis and is not a medical diagnostic tool.</w:t>
      </w:r>
    </w:p>
    <w:p>
      <w:pPr>
        <w:pStyle w:val="Heading1"/>
      </w:pPr>
      <w:r>
        <w:t>2. Background and Objectives</w:t>
      </w:r>
    </w:p>
    <w:p>
      <w:pPr>
        <w:pStyle w:val="Heading2"/>
      </w:pPr>
      <w:r>
        <w:t>2.1 Background</w:t>
      </w:r>
    </w:p>
    <w:p>
      <w:r>
        <w:t>Healthcare datasets contain demographic information, clinical measurements, symptoms and outcomes. Statistical methods can describe patient populations, test associations and quantify uncertainty. Predictive models can estimate the likelihood of an outcome for records with similar observed characteristics. Their value depends on data quality, appropriate validation, clinical relevance and responsible use.</w:t>
      </w:r>
    </w:p>
    <w:p>
      <w:pPr>
        <w:pStyle w:val="Heading2"/>
      </w:pPr>
      <w:r>
        <w:t>2.2 Objectives</w:t>
      </w:r>
    </w:p>
    <w:p>
      <w:pPr>
        <w:pStyle w:val="ListBullet"/>
      </w:pPr>
      <w:r>
        <w:t>Summarise the dataset, its outcome distribution, missingness and source-site composition.</w:t>
      </w:r>
    </w:p>
    <w:p>
      <w:pPr>
        <w:pStyle w:val="ListBullet"/>
      </w:pPr>
      <w:r>
        <w:t>Identify variables associated with the binary heart-disease label using appropriate descriptive and inferential methods.</w:t>
      </w:r>
    </w:p>
    <w:p>
      <w:pPr>
        <w:pStyle w:val="ListBullet"/>
      </w:pPr>
      <w:r>
        <w:t>Develop an interpretable baseline model and compare it with a more flexible model.</w:t>
      </w:r>
    </w:p>
    <w:p>
      <w:pPr>
        <w:pStyle w:val="ListBullet"/>
      </w:pPr>
      <w:r>
        <w:t>Use cross-validation and a held-out test set to estimate generalisation performance.</w:t>
      </w:r>
    </w:p>
    <w:p>
      <w:pPr>
        <w:pStyle w:val="ListBullet"/>
      </w:pPr>
      <w:r>
        <w:t>Evaluate sensitivity, specificity, precision, F1, ROC-AUC, precision–recall performance and calibration.</w:t>
      </w:r>
    </w:p>
    <w:p>
      <w:pPr>
        <w:pStyle w:val="ListBullet"/>
      </w:pPr>
      <w:r>
        <w:t>Investigate subgroup performance and identify potential sources of bias.</w:t>
      </w:r>
    </w:p>
    <w:p>
      <w:pPr>
        <w:pStyle w:val="ListBullet"/>
      </w:pPr>
      <w:r>
        <w:t>Document ethical, privacy, clinical safety and governance requirements before any possible deployment.</w:t>
      </w:r>
    </w:p>
    <w:p>
      <w:pPr>
        <w:pStyle w:val="Heading1"/>
      </w:pPr>
      <w:r>
        <w:t>3. Dataset and Prediction Task</w:t>
      </w:r>
    </w:p>
    <w:p>
      <w:pPr>
        <w:pStyle w:val="Heading2"/>
      </w:pPr>
      <w:r>
        <w:t>3.1 Dataset context</w:t>
      </w:r>
    </w:p>
    <w:p>
      <w:r>
        <w:t>The project is designed around the UCI Heart Disease databases referenced by the earlier project notebooks, which combine records from Cleveland, Hungary, Switzerland and VA Long Beach. The companion notebook expects the Week 2 pipeline output at `qa_output/heart_disease_clean.csv`. The dataset schema, record counts, missingness and exact field encodings should be confirmed from that output before analysis.</w:t>
      </w:r>
    </w:p>
    <w:p>
      <w:pPr>
        <w:pStyle w:val="Heading2"/>
      </w:pPr>
      <w:r>
        <w:t>3.2 Outcome definition</w:t>
      </w:r>
    </w:p>
    <w:p>
      <w:r>
        <w:t>The target is binary: 0 indicates no disease and 1 indicates any disease, derived from the original `num` disease-grade field. Because `num` is used to construct the target, it—and any equivalent target-derived field such as `num_grade`—must be excluded from predictors to avoid target leakage.</w:t>
      </w:r>
    </w:p>
    <w:p>
      <w:pPr>
        <w:pStyle w:val="Heading2"/>
      </w:pPr>
      <w:r>
        <w:t>3.3 Unit of analysis and intended use</w:t>
      </w:r>
    </w:p>
    <w:p>
      <w:r>
        <w:t>The unit of analysis is one patient record. The intended use is methodological learning and exploratory model evaluation. This project does not establish a clinical decision threshold and must not be used for diagnosis, treatment selection, triage or denial of care.</w:t>
      </w:r>
    </w:p>
    <w:p>
      <w:pPr>
        <w:pStyle w:val="Heading2"/>
      </w:pPr>
      <w:r>
        <w:t>3.4 Candidate variables</w:t>
      </w:r>
    </w:p>
    <w:p>
      <w:r>
        <w:t>Candidate numeric predictors include age, resting blood pressure (trestbps), serum cholesterol (chol), maximum heart rate (thalach) and ST depression (oldpeak). Candidate categorical predictors include sex, chest-pain type (cp), fasting blood sugar indicator (fbs), resting ECG category (restecg), exercise-induced angina (exang), ST-slope category (slope), number of major vessels (ca) and thalassemia-related category (thal), where available. Encodings and clinical meanings must be checked against the dataset documentation.</w:t>
      </w:r>
    </w:p>
    <w:p>
      <w:pPr>
        <w:pStyle w:val="Heading1"/>
      </w:pPr>
      <w:r>
        <w:t>4. Statistical Analysis Framework</w:t>
      </w:r>
    </w:p>
    <w:p>
      <w:pPr>
        <w:pStyle w:val="Heading2"/>
      </w:pPr>
      <w:r>
        <w:t>4.1 Data segmentation</w:t>
      </w:r>
    </w:p>
    <w:p>
      <w:r>
        <w:t>Segmentation should be planned before examining model performance. Recommended views include outcome group (disease/no disease), age bands, sex, and source site. Use clinically meaningful categories defined in advance and retain continuous variables for primary analyses where possible. Report the denominator and sample size for each subgroup. Very small groups should be flagged and their estimates treated as unstable.</w:t>
      </w:r>
    </w:p>
    <w:p>
      <w:pPr>
        <w:pStyle w:val="Heading2"/>
      </w:pPr>
      <w:r>
        <w:t>4.2 Descriptive statistics</w:t>
      </w:r>
    </w:p>
    <w:p>
      <w:pPr>
        <w:pStyle w:val="ListBullet"/>
      </w:pPr>
      <w:r>
        <w:t>Continuous variables: report mean and standard deviation when distributions are reasonably symmetric; report median and interquartile range for skewed variables or influential outliers.</w:t>
      </w:r>
    </w:p>
    <w:p>
      <w:pPr>
        <w:pStyle w:val="ListBullet"/>
      </w:pPr>
      <w:r>
        <w:t>Categorical variables: report counts and percentages, always including denominators.</w:t>
      </w:r>
    </w:p>
    <w:p>
      <w:pPr>
        <w:pStyle w:val="ListBullet"/>
      </w:pPr>
      <w:r>
        <w:t>Missingness: quantify missing values by field, outcome and site; investigate whether missingness appears systematic.</w:t>
      </w:r>
    </w:p>
    <w:p>
      <w:pPr>
        <w:pStyle w:val="ListBullet"/>
      </w:pPr>
      <w:r>
        <w:t>Outcome prevalence: report the proportion of positive records with a confidence interval, such as a Wilson interval.</w:t>
      </w:r>
    </w:p>
    <w:p>
      <w:pPr>
        <w:pStyle w:val="ListBullet"/>
      </w:pPr>
      <w:r>
        <w:t>Visualisation: use histograms, boxplots, grouped proportions and site-level plots with uncertainty intervals; label small samples clearly.</w:t>
      </w:r>
    </w:p>
    <w:p>
      <w:pPr>
        <w:pStyle w:val="Heading2"/>
      </w:pPr>
      <w:r>
        <w:t>4.3 Inferential techniques</w:t>
      </w:r>
    </w:p>
    <w:p>
      <w:r>
        <w:t>For continuous variables compared between two independent outcome groups, use a t-test if assumptions are defensible, or the Mann–Whitney U test for a rank-based comparison. For categorical variables, use a chi-square test when expected cell counts are adequate; use an exact method for sparse tables where appropriate. Report effect sizes and confidence intervals, not only p-values. Check assumptions, account for multiple comparisons when many hypotheses are tested, and distinguish association from causation.</w:t>
      </w:r>
    </w:p>
    <w:p>
      <w:pPr>
        <w:pStyle w:val="Heading2"/>
      </w:pPr>
      <w:r>
        <w:t>4.4 Trend and outcome analysis</w:t>
      </w:r>
    </w:p>
    <w:p>
      <w:r>
        <w:t>Age-group trends and site differences can be explored using stratified rates with confidence intervals. If longitudinal observations or repeated measurements become available, methods such as mixed-effects models or time-to-event analysis may be appropriate, depending on the outcome and follow-up structure. The current historical record dataset should not be treated as longitudinal without evidence that repeated time-indexed observations exist.</w:t>
      </w:r>
    </w:p>
    <w:p>
      <w:pPr>
        <w:pStyle w:val="Heading1"/>
      </w:pPr>
      <w:r>
        <w:t>5. Predictive Modeling Plan</w:t>
      </w:r>
    </w:p>
    <w:p>
      <w:pPr>
        <w:pStyle w:val="Heading2"/>
      </w:pPr>
      <w:r>
        <w:t>Step 1 — Define the use case</w:t>
      </w:r>
    </w:p>
    <w:p>
      <w:r>
        <w:t>Specify the population, prediction time, outcome horizon, intended user and consequences of false positives and false negatives. The current dataset supports a binary retrospective label, not a prospective time-to-event forecast.</w:t>
      </w:r>
    </w:p>
    <w:p>
      <w:pPr>
        <w:pStyle w:val="Heading2"/>
      </w:pPr>
      <w:r>
        <w:t>Step 2 — Audit and prepare data</w:t>
      </w:r>
    </w:p>
    <w:p>
      <w:r>
        <w:t>Load the Week 2 cleaned file; check schema, data types, duplicate records, impossible values, missingness, target balance and site composition. Preserve a data dictionary and cleaning audit trail.</w:t>
      </w:r>
    </w:p>
    <w:p>
      <w:pPr>
        <w:pStyle w:val="Heading2"/>
      </w:pPr>
      <w:r>
        <w:t>Step 3 — Prevent leakage</w:t>
      </w:r>
    </w:p>
    <w:p>
      <w:r>
        <w:t>Exclude target, original disease-grade field (`num`), derived target fields, post-outcome information and identifiers. If repeated patients exist, keep all records from a patient in the same split.</w:t>
      </w:r>
    </w:p>
    <w:p>
      <w:pPr>
        <w:pStyle w:val="Heading2"/>
      </w:pPr>
      <w:r>
        <w:t>Step 4 — Split the data</w:t>
      </w:r>
    </w:p>
    <w:p>
      <w:r>
        <w:t>Reserve a stratified hold-out test set before fitting transformations. For small samples, use repeated stratified cross-validation where appropriate. For transportability, add site-held-out or external validation.</w:t>
      </w:r>
    </w:p>
    <w:p>
      <w:pPr>
        <w:pStyle w:val="Heading2"/>
      </w:pPr>
      <w:r>
        <w:t>Step 5 — Preprocess within each fold</w:t>
      </w:r>
    </w:p>
    <w:p>
      <w:r>
        <w:t>Impute numeric missing values with training-fold medians and categorical values with training-fold modes. Scale numeric features for logistic regression and one-hot encode categorical variables. Fit all transformations inside a pipeline to prevent information leakage.</w:t>
      </w:r>
    </w:p>
    <w:p>
      <w:pPr>
        <w:pStyle w:val="Heading2"/>
      </w:pPr>
      <w:r>
        <w:t>Step 6 — Train candidate models</w:t>
      </w:r>
    </w:p>
    <w:p>
      <w:r>
        <w:t>Use regularised logistic regression as an interpretable baseline. Compare a random forest to explore nonlinear relationships and interactions. Consider more complex models only if justified by sample size, use case and interpretability needs.</w:t>
      </w:r>
    </w:p>
    <w:p>
      <w:pPr>
        <w:pStyle w:val="Heading2"/>
      </w:pPr>
      <w:r>
        <w:t>Step 7 — Select using cross-validation</w:t>
      </w:r>
    </w:p>
    <w:p>
      <w:r>
        <w:t>Use stratified k-fold cross-validation on training data. Compare mean and variability for ROC-AUC, average precision, balanced accuracy, sensitivity and precision. Choose the model and tune hyperparameters without consulting the final test set.</w:t>
      </w:r>
    </w:p>
    <w:p>
      <w:pPr>
        <w:pStyle w:val="Heading2"/>
      </w:pPr>
      <w:r>
        <w:t>Step 8 — Evaluate once on held-out data</w:t>
      </w:r>
    </w:p>
    <w:p>
      <w:r>
        <w:t>After model selection, fit the chosen pipeline on the full training set and evaluate on the untouched test set. Report confusion matrix, sensitivity, specificity, precision, F1, ROC-AUC, PR-AUC and Brier score/calibration.</w:t>
      </w:r>
    </w:p>
    <w:p>
      <w:pPr>
        <w:pStyle w:val="Heading2"/>
      </w:pPr>
      <w:r>
        <w:t>Step 9 — Subgroup and error analysis</w:t>
      </w:r>
    </w:p>
    <w:p>
      <w:r>
        <w:t>Where sample sizes permit, examine metrics by sex, age band and site. Review false negatives and false positives, confidence intervals, calibration and potential workflow causes.</w:t>
      </w:r>
    </w:p>
    <w:p>
      <w:pPr>
        <w:pStyle w:val="Heading2"/>
      </w:pPr>
      <w:r>
        <w:t>Step 10 — Document and reproduce</w:t>
      </w:r>
    </w:p>
    <w:p>
      <w:r>
        <w:t>Record dataset version, feature list, exclusions, software versions, random seed, split strategy, model parameters and output tables. Save model artefacts only with appropriate governance and access controls.</w:t>
      </w:r>
    </w:p>
    <w:p>
      <w:pPr>
        <w:pStyle w:val="Heading1"/>
      </w:pPr>
      <w:r>
        <w:t>6. Model Validation and Evaluation</w:t>
      </w:r>
    </w:p>
    <w:p>
      <w:pPr>
        <w:pStyle w:val="Heading2"/>
      </w:pPr>
      <w:r>
        <w:t>6.1 Validation strategy</w:t>
      </w:r>
    </w:p>
    <w:p>
      <w:r>
        <w:t>A stratified train/test split estimates performance on held-out records drawn from a similar mixture of sites. Stratified k-fold cross-validation estimates model stability during training and supports model comparison. Cross-validation must be performed only on the training portion. The final test set should be evaluated after decisions about features, models and hyperparameters are complete. If records from the same person can recur, use grouped splitting. If deployment is intended at a different hospital, test on a held-out site or an independent external cohort.</w:t>
      </w:r>
    </w:p>
    <w:p>
      <w:pPr>
        <w:pStyle w:val="Heading2"/>
      </w:pPr>
      <w:r>
        <w:t>6.2 Metrics and rationale</w:t>
      </w:r>
    </w:p>
    <w:p>
      <w:pPr>
        <w:pStyle w:val="ListBullet"/>
      </w:pPr>
      <w:r>
        <w:t>Confusion matrix: counts true positives, true negatives, false positives and false negatives.</w:t>
      </w:r>
    </w:p>
    <w:p>
      <w:pPr>
        <w:pStyle w:val="ListBullet"/>
      </w:pPr>
      <w:r>
        <w:t>Sensitivity/recall: proportion of positive cases detected; important when missed cases are consequential.</w:t>
      </w:r>
    </w:p>
    <w:p>
      <w:pPr>
        <w:pStyle w:val="ListBullet"/>
      </w:pPr>
      <w:r>
        <w:t>Specificity: proportion of negative cases correctly identified.</w:t>
      </w:r>
    </w:p>
    <w:p>
      <w:pPr>
        <w:pStyle w:val="ListBullet"/>
      </w:pPr>
      <w:r>
        <w:t>Precision/positive predictive value: proportion of predicted positives that are actually positive; depends on outcome prevalence.</w:t>
      </w:r>
    </w:p>
    <w:p>
      <w:pPr>
        <w:pStyle w:val="ListBullet"/>
      </w:pPr>
      <w:r>
        <w:t>F1 score: harmonic mean of precision and recall; useful as a summary but does not encode clinical harm.</w:t>
      </w:r>
    </w:p>
    <w:p>
      <w:pPr>
        <w:pStyle w:val="ListBullet"/>
      </w:pPr>
      <w:r>
        <w:t>ROC-AUC: discrimination across possible thresholds; it does not establish calibration or clinical utility.</w:t>
      </w:r>
    </w:p>
    <w:p>
      <w:pPr>
        <w:pStyle w:val="ListBullet"/>
      </w:pPr>
      <w:r>
        <w:t>Average precision / PR-AUC: summarises precision–recall behaviour and is useful when classes are imbalanced.</w:t>
      </w:r>
    </w:p>
    <w:p>
      <w:pPr>
        <w:pStyle w:val="ListBullet"/>
      </w:pPr>
      <w:r>
        <w:t>Brier score and calibration plot: assess the accuracy of predicted probabilities; lower Brier score is generally better for the same evaluation setting.</w:t>
      </w:r>
    </w:p>
    <w:p>
      <w:pPr>
        <w:pStyle w:val="ListBullet"/>
      </w:pPr>
      <w:r>
        <w:t>Confidence intervals: use bootstrap or suitable statistical procedures to express uncertainty, particularly for small samples.</w:t>
      </w:r>
    </w:p>
    <w:p>
      <w:pPr>
        <w:pStyle w:val="Heading2"/>
      </w:pPr>
      <w:r>
        <w:t>6.3 Threshold selection</w:t>
      </w:r>
    </w:p>
    <w:p>
      <w:r>
        <w:t>A 0.50 threshold is a reference only. A clinical threshold should be selected only after the use case and relative harms are defined with clinicians and stakeholders. Threshold selection must not be optimised on the final test set. Decision-curve analysis or another explicit utility analysis may be useful before clinical consideration.</w:t>
      </w:r>
    </w:p>
    <w:p>
      <w:pPr>
        <w:pStyle w:val="Heading2"/>
      </w:pPr>
      <w:r>
        <w:t>6.4 Acceptance criteria</w:t>
      </w:r>
    </w:p>
    <w:p>
      <w:r>
        <w:t>Before evaluation, define minimum acceptable performance, uncertainty limits, subgroup review requirements, calibration requirements and conditions that trigger additional data collection or rejection. There is no universal acceptable AUC for all clinical tasks; acceptance must depend on the intended use, comparator pathway, harms and evidence standard.</w:t>
      </w:r>
    </w:p>
    <w:p>
      <w:pPr>
        <w:pStyle w:val="Heading1"/>
      </w:pPr>
      <w:r>
        <w:t>7. Bias, Pitfalls and Mitigation</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Risk</w:t>
            </w:r>
          </w:p>
        </w:tc>
        <w:tc>
          <w:tcPr>
            <w:tcW w:type="dxa" w:w="3264"/>
          </w:tcPr>
          <w:p>
            <w:r>
              <w:t>Why it matters</w:t>
            </w:r>
          </w:p>
        </w:tc>
        <w:tc>
          <w:tcPr>
            <w:tcW w:type="dxa" w:w="3264"/>
          </w:tcPr>
          <w:p>
            <w:r>
              <w:t>Mitigation</w:t>
            </w:r>
          </w:p>
        </w:tc>
      </w:tr>
      <w:tr>
        <w:tc>
          <w:tcPr>
            <w:tcW w:type="dxa" w:w="3264"/>
          </w:tcPr>
          <w:p>
            <w:r>
              <w:t>Selection / representation bias</w:t>
            </w:r>
          </w:p>
        </w:tc>
        <w:tc>
          <w:tcPr>
            <w:tcW w:type="dxa" w:w="3264"/>
          </w:tcPr>
          <w:p>
            <w:r>
              <w:t>Historical source sites may not represent the population where a model would be used.</w:t>
            </w:r>
          </w:p>
        </w:tc>
        <w:tc>
          <w:tcPr>
            <w:tcW w:type="dxa" w:w="3264"/>
          </w:tcPr>
          <w:p>
            <w:r>
              <w:t>Describe inclusion criteria and site mix; compare with intended population; perform external validation.</w:t>
            </w:r>
          </w:p>
        </w:tc>
      </w:tr>
      <w:tr>
        <w:tc>
          <w:tcPr>
            <w:tcW w:type="dxa" w:w="3264"/>
          </w:tcPr>
          <w:p>
            <w:r>
              <w:t>Measurement and site effects</w:t>
            </w:r>
          </w:p>
        </w:tc>
        <w:tc>
          <w:tcPr>
            <w:tcW w:type="dxa" w:w="3264"/>
          </w:tcPr>
          <w:p>
            <w:r>
              <w:t>Clinical measurements, coding and diagnostic practices may vary by institution.</w:t>
            </w:r>
          </w:p>
        </w:tc>
        <w:tc>
          <w:tcPr>
            <w:tcW w:type="dxa" w:w="3264"/>
          </w:tcPr>
          <w:p>
            <w:r>
              <w:t>Audit definitions and missingness by site; validate on held-out sites; consider recalibration only with appropriate evidence.</w:t>
            </w:r>
          </w:p>
        </w:tc>
      </w:tr>
      <w:tr>
        <w:tc>
          <w:tcPr>
            <w:tcW w:type="dxa" w:w="3264"/>
          </w:tcPr>
          <w:p>
            <w:r>
              <w:t>Missing-data bias</w:t>
            </w:r>
          </w:p>
        </w:tc>
        <w:tc>
          <w:tcPr>
            <w:tcW w:type="dxa" w:w="3264"/>
          </w:tcPr>
          <w:p>
            <w:r>
              <w:t>Missing values may reflect workflow, severity or clinician decisions.</w:t>
            </w:r>
          </w:p>
        </w:tc>
        <w:tc>
          <w:tcPr>
            <w:tcW w:type="dxa" w:w="3264"/>
          </w:tcPr>
          <w:p>
            <w:r>
              <w:t>Report missingness patterns; compare complete-case and imputed analyses where appropriate; consider principled multiple imputation for formal inference.</w:t>
            </w:r>
          </w:p>
        </w:tc>
      </w:tr>
      <w:tr>
        <w:tc>
          <w:tcPr>
            <w:tcW w:type="dxa" w:w="3264"/>
          </w:tcPr>
          <w:p>
            <w:r>
              <w:t>Target leakage</w:t>
            </w:r>
          </w:p>
        </w:tc>
        <w:tc>
          <w:tcPr>
            <w:tcW w:type="dxa" w:w="3264"/>
          </w:tcPr>
          <w:p>
            <w:r>
              <w:t>Diagnosis-derived variables can make performance appear artificially high.</w:t>
            </w:r>
          </w:p>
        </w:tc>
        <w:tc>
          <w:tcPr>
            <w:tcW w:type="dxa" w:w="3264"/>
          </w:tcPr>
          <w:p>
            <w:r>
              <w:t>Exclude `num` and target-derived fields; keep preprocessing within pipelines; review temporal availability.</w:t>
            </w:r>
          </w:p>
        </w:tc>
      </w:tr>
      <w:tr>
        <w:tc>
          <w:tcPr>
            <w:tcW w:type="dxa" w:w="3264"/>
          </w:tcPr>
          <w:p>
            <w:r>
              <w:t>Class imbalance</w:t>
            </w:r>
          </w:p>
        </w:tc>
        <w:tc>
          <w:tcPr>
            <w:tcW w:type="dxa" w:w="3264"/>
          </w:tcPr>
          <w:p>
            <w:r>
              <w:t>Accuracy may be high even when few positive cases are detected.</w:t>
            </w:r>
          </w:p>
        </w:tc>
        <w:tc>
          <w:tcPr>
            <w:tcW w:type="dxa" w:w="3264"/>
          </w:tcPr>
          <w:p>
            <w:r>
              <w:t>Report class-specific metrics, balanced accuracy and PR-AUC; consider class weighting carefully.</w:t>
            </w:r>
          </w:p>
        </w:tc>
      </w:tr>
      <w:tr>
        <w:tc>
          <w:tcPr>
            <w:tcW w:type="dxa" w:w="3264"/>
          </w:tcPr>
          <w:p>
            <w:r>
              <w:t>Overfitting</w:t>
            </w:r>
          </w:p>
        </w:tc>
        <w:tc>
          <w:tcPr>
            <w:tcW w:type="dxa" w:w="3264"/>
          </w:tcPr>
          <w:p>
            <w:r>
              <w:t>Flexible models can learn noise in a small dataset.</w:t>
            </w:r>
          </w:p>
        </w:tc>
        <w:tc>
          <w:tcPr>
            <w:tcW w:type="dxa" w:w="3264"/>
          </w:tcPr>
          <w:p>
            <w:r>
              <w:t>Use regularisation, cross-validation and a locked test set; avoid excessive feature selection.</w:t>
            </w:r>
          </w:p>
        </w:tc>
      </w:tr>
      <w:tr>
        <w:tc>
          <w:tcPr>
            <w:tcW w:type="dxa" w:w="3264"/>
          </w:tcPr>
          <w:p>
            <w:r>
              <w:t>Subgroup performance gaps</w:t>
            </w:r>
          </w:p>
        </w:tc>
        <w:tc>
          <w:tcPr>
            <w:tcW w:type="dxa" w:w="3264"/>
          </w:tcPr>
          <w:p>
            <w:r>
              <w:t>Overall metrics can hide uneven error rates.</w:t>
            </w:r>
          </w:p>
        </w:tc>
        <w:tc>
          <w:tcPr>
            <w:tcW w:type="dxa" w:w="3264"/>
          </w:tcPr>
          <w:p>
            <w:r>
              <w:t>Report subgroup denominators and uncertainty; investigate causes; consult affected groups and clinical experts.</w:t>
            </w:r>
          </w:p>
        </w:tc>
      </w:tr>
      <w:tr>
        <w:tc>
          <w:tcPr>
            <w:tcW w:type="dxa" w:w="3264"/>
          </w:tcPr>
          <w:p>
            <w:r>
              <w:t>Prevalence shift / drift</w:t>
            </w:r>
          </w:p>
        </w:tc>
        <w:tc>
          <w:tcPr>
            <w:tcW w:type="dxa" w:w="3264"/>
          </w:tcPr>
          <w:p>
            <w:r>
              <w:t>Predictive values and calibration can change across settings and time.</w:t>
            </w:r>
          </w:p>
        </w:tc>
        <w:tc>
          <w:tcPr>
            <w:tcW w:type="dxa" w:w="3264"/>
          </w:tcPr>
          <w:p>
            <w:r>
              <w:t>Monitor prevalence, calibration and error rates; validate locally and set rollback triggers.</w:t>
            </w:r>
          </w:p>
        </w:tc>
      </w:tr>
      <w:tr>
        <w:tc>
          <w:tcPr>
            <w:tcW w:type="dxa" w:w="3264"/>
          </w:tcPr>
          <w:p>
            <w:r>
              <w:t>Confounding and proxies</w:t>
            </w:r>
          </w:p>
        </w:tc>
        <w:tc>
          <w:tcPr>
            <w:tcW w:type="dxa" w:w="3264"/>
          </w:tcPr>
          <w:p>
            <w:r>
              <w:t>Variables may encode structural inequities or care access.</w:t>
            </w:r>
          </w:p>
        </w:tc>
        <w:tc>
          <w:tcPr>
            <w:tcW w:type="dxa" w:w="3264"/>
          </w:tcPr>
          <w:p>
            <w:r>
              <w:t>Review features with domain experts; test sensitivity; document rationale and limitations.</w:t>
            </w:r>
          </w:p>
        </w:tc>
      </w:tr>
      <w:tr>
        <w:tc>
          <w:tcPr>
            <w:tcW w:type="dxa" w:w="3264"/>
          </w:tcPr>
          <w:p>
            <w:r>
              <w:t>Small samples</w:t>
            </w:r>
          </w:p>
        </w:tc>
        <w:tc>
          <w:tcPr>
            <w:tcW w:type="dxa" w:w="3264"/>
          </w:tcPr>
          <w:p>
            <w:r>
              <w:t>Metric estimates and subgroup tests can be unstable.</w:t>
            </w:r>
          </w:p>
        </w:tc>
        <w:tc>
          <w:tcPr>
            <w:tcW w:type="dxa" w:w="3264"/>
          </w:tcPr>
          <w:p>
            <w:r>
              <w:t>Report uncertainty; avoid overinterpreting p-values; collect larger independent cohorts.</w:t>
            </w:r>
          </w:p>
        </w:tc>
      </w:tr>
    </w:tbl>
    <w:p>
      <w:pPr>
        <w:pStyle w:val="Heading1"/>
      </w:pPr>
      <w:r>
        <w:t>8. Ethical, Legal and Governance Considerations</w:t>
      </w:r>
    </w:p>
    <w:p>
      <w:pPr>
        <w:pStyle w:val="Heading2"/>
      </w:pPr>
      <w:r>
        <w:t>8.1 Privacy and security</w:t>
      </w:r>
    </w:p>
    <w:p>
      <w:r>
        <w:t>Use data only under appropriate permissions and applicable institutional and legal requirements. Minimise data collection, remove direct identifiers when possible, control access, encrypt data in storage and transit, and define retention and deletion procedures. De-identification reduces risk but does not guarantee anonymity. Any linkage to other datasets requires separate review.</w:t>
      </w:r>
    </w:p>
    <w:p>
      <w:pPr>
        <w:pStyle w:val="Heading2"/>
      </w:pPr>
      <w:r>
        <w:t>8.2 Consent, review and accountability</w:t>
      </w:r>
    </w:p>
    <w:p>
      <w:r>
        <w:t>Confirm whether the dataset and proposed analysis fall under the relevant research ethics and institutional review requirements. Document the lawful basis or permissions for use, intended purpose, responsible owners and escalation process. For real clinical deployment, establish clinical governance, change control, auditability and clear responsibility for decisions.</w:t>
      </w:r>
    </w:p>
    <w:p>
      <w:pPr>
        <w:pStyle w:val="Heading2"/>
      </w:pPr>
      <w:r>
        <w:t>8.3 Fairness and non-discrimination</w:t>
      </w:r>
    </w:p>
    <w:p>
      <w:r>
        <w:t>Performance should be assessed across relevant demographic and institutional groups. Fairness cannot be established by one parity statistic alone: error trade-offs, disease prevalence, sample sizes, clinical context and historical inequities matter. Small groups can produce misleading estimates, so report denominators and uncertainty. Protected attributes may be necessary for auditing even when they are not used as model predictors, subject to appropriate governance.</w:t>
      </w:r>
    </w:p>
    <w:p>
      <w:pPr>
        <w:pStyle w:val="Heading2"/>
      </w:pPr>
      <w:r>
        <w:t>8.4 Explainability and communication</w:t>
      </w:r>
    </w:p>
    <w:p>
      <w:r>
        <w:t>Explain the intended use, known limitations, feature definitions, validation population and error profile in language suitable for clinicians and decision-makers. Logistic regression offers a comparatively interpretable baseline, but coefficients still require careful interpretation. Feature importance from a random forest is not evidence of causation.</w:t>
      </w:r>
    </w:p>
    <w:p>
      <w:pPr>
        <w:pStyle w:val="Heading2"/>
      </w:pPr>
      <w:r>
        <w:t>8.5 Human oversight and harm prevention</w:t>
      </w:r>
    </w:p>
    <w:p>
      <w:r>
        <w:t>The model must not replace clinical judgement. Do not use it as a sole basis for diagnosis, triage, treatment or denial of services. Clinical professionals should be able to override model output, and patients should not be disadvantaged by opaque or unvalidated predictions. Assess workflow burden, automation bias and consequences of false alarms or missed cases.</w:t>
      </w:r>
    </w:p>
    <w:p>
      <w:pPr>
        <w:pStyle w:val="Heading2"/>
      </w:pPr>
      <w:r>
        <w:t>8.6 Monitoring and lifecycle governance</w:t>
      </w:r>
    </w:p>
    <w:p>
      <w:r>
        <w:t>Before deployment, require independent external validation, prospective evaluation, clinical utility assessment, cybersecurity review and governance approval. If deployed under an approved programme, monitor input quality, subgroup performance, calibration, drift and adverse events. Define retraining controls, versioning, incident reporting and rollback criteria. Revalidate after material changes to data, population, workflow or model.</w:t>
      </w:r>
    </w:p>
    <w:p>
      <w:pPr>
        <w:pStyle w:val="Heading1"/>
      </w:pPr>
      <w:r>
        <w:t>9. Implementation, Tools and Reproducibility</w:t>
      </w:r>
    </w:p>
    <w:p>
      <w:r>
        <w:t>The companion Jupyter notebook implements the planned workflow with pandas, NumPy, SciPy, Matplotlib and scikit-learn. It reads the Week 2 output `qa_output/heart_disease_clean.csv` and writes tables and figures to `week4_output/`. Run the notebook from the project directory after the Week 2 pipeline has completed. If the file is elsewhere, update the path in the notebook.</w:t>
      </w:r>
    </w:p>
    <w:p>
      <w:r>
        <w:t>Recommended environment: Python 3.10 or later, pandas, NumPy, SciPy, Matplotlib, scikit-learn and Jupyter. Save package versions and a copy of the data dictionary with the final submission. The notebook uses a fixed random seed to improve reproducibility, but exact outputs may vary across package versions.</w:t>
      </w:r>
    </w:p>
    <w:p>
      <w:pPr>
        <w:pStyle w:val="Heading2"/>
      </w:pPr>
      <w:r>
        <w:t>9.1 Expected notebook outputs</w:t>
      </w:r>
    </w:p>
    <w:p>
      <w:pPr>
        <w:pStyle w:val="ListBullet"/>
      </w:pPr>
      <w:r>
        <w:t>`numeric_group_comparisons.csv` — descriptive statistics and Mann–Whitney comparisons.</w:t>
      </w:r>
    </w:p>
    <w:p>
      <w:pPr>
        <w:pStyle w:val="ListBullet"/>
      </w:pPr>
      <w:r>
        <w:t>`categorical_association_tests.csv` — chi-square test summaries for categorical predictors.</w:t>
      </w:r>
    </w:p>
    <w:p>
      <w:pPr>
        <w:pStyle w:val="ListBullet"/>
      </w:pPr>
      <w:r>
        <w:t>`cross_validation_model_comparison.csv` — cross-validated model performance and variability.</w:t>
      </w:r>
    </w:p>
    <w:p>
      <w:pPr>
        <w:pStyle w:val="ListBullet"/>
      </w:pPr>
      <w:r>
        <w:t>`holdout_metrics.csv` — final hold-out metrics and confusion-matrix counts.</w:t>
      </w:r>
    </w:p>
    <w:p>
      <w:pPr>
        <w:pStyle w:val="ListBullet"/>
      </w:pPr>
      <w:r>
        <w:t>`subgroup_fairness_metrics.csv` — subgroup metrics when required fields are available.</w:t>
      </w:r>
    </w:p>
    <w:p>
      <w:pPr>
        <w:pStyle w:val="ListBullet"/>
      </w:pPr>
      <w:r>
        <w:t>`descriptive_distributions.png` and `holdout_evaluation.png` — descriptive and evaluation plots.</w:t>
      </w:r>
    </w:p>
    <w:p>
      <w:pPr>
        <w:pStyle w:val="Heading1"/>
      </w:pPr>
      <w:r>
        <w:t>10. Proposed Work Plan (30–35 Hours)</w:t>
      </w:r>
    </w:p>
    <w:tbl>
      <w:tblPr>
        <w:tblStyle w:val="LightShading-Accent1"/>
        <w:tblW w:type="auto" w:w="0"/>
        <w:tblLook w:firstColumn="1" w:firstRow="1" w:lastColumn="0" w:lastRow="0" w:noHBand="0" w:noVBand="1" w:val="04A0"/>
      </w:tblPr>
      <w:tblGrid>
        <w:gridCol w:w="4896"/>
        <w:gridCol w:w="4896"/>
      </w:tblGrid>
      <w:tr>
        <w:tc>
          <w:tcPr>
            <w:tcW w:type="dxa" w:w="4896"/>
          </w:tcPr>
          <w:p>
            <w:r>
              <w:t>Activity</w:t>
            </w:r>
          </w:p>
        </w:tc>
        <w:tc>
          <w:tcPr>
            <w:tcW w:type="dxa" w:w="4896"/>
          </w:tcPr>
          <w:p>
            <w:r>
              <w:t>Estimated time</w:t>
            </w:r>
          </w:p>
        </w:tc>
      </w:tr>
      <w:tr>
        <w:tc>
          <w:tcPr>
            <w:tcW w:type="dxa" w:w="4896"/>
          </w:tcPr>
          <w:p>
            <w:r>
              <w:t>Dataset audit and research question</w:t>
            </w:r>
          </w:p>
        </w:tc>
        <w:tc>
          <w:tcPr>
            <w:tcW w:type="dxa" w:w="4896"/>
          </w:tcPr>
          <w:p>
            <w:r>
              <w:t>3 hours</w:t>
            </w:r>
          </w:p>
        </w:tc>
      </w:tr>
      <w:tr>
        <w:tc>
          <w:tcPr>
            <w:tcW w:type="dxa" w:w="4896"/>
          </w:tcPr>
          <w:p>
            <w:r>
              <w:t>Data dictionary, inclusion criteria and segmentation</w:t>
            </w:r>
          </w:p>
        </w:tc>
        <w:tc>
          <w:tcPr>
            <w:tcW w:type="dxa" w:w="4896"/>
          </w:tcPr>
          <w:p>
            <w:r>
              <w:t>3 hours</w:t>
            </w:r>
          </w:p>
        </w:tc>
      </w:tr>
      <w:tr>
        <w:tc>
          <w:tcPr>
            <w:tcW w:type="dxa" w:w="4896"/>
          </w:tcPr>
          <w:p>
            <w:r>
              <w:t>Descriptive statistics and hypothesis testing</w:t>
            </w:r>
          </w:p>
        </w:tc>
        <w:tc>
          <w:tcPr>
            <w:tcW w:type="dxa" w:w="4896"/>
          </w:tcPr>
          <w:p>
            <w:r>
              <w:t>5 hours</w:t>
            </w:r>
          </w:p>
        </w:tc>
      </w:tr>
      <w:tr>
        <w:tc>
          <w:tcPr>
            <w:tcW w:type="dxa" w:w="4896"/>
          </w:tcPr>
          <w:p>
            <w:r>
              <w:t>Preprocessing pipeline and leakage review</w:t>
            </w:r>
          </w:p>
        </w:tc>
        <w:tc>
          <w:tcPr>
            <w:tcW w:type="dxa" w:w="4896"/>
          </w:tcPr>
          <w:p>
            <w:r>
              <w:t>4 hours</w:t>
            </w:r>
          </w:p>
        </w:tc>
      </w:tr>
      <w:tr>
        <w:tc>
          <w:tcPr>
            <w:tcW w:type="dxa" w:w="4896"/>
          </w:tcPr>
          <w:p>
            <w:r>
              <w:t>Model training and cross-validation</w:t>
            </w:r>
          </w:p>
        </w:tc>
        <w:tc>
          <w:tcPr>
            <w:tcW w:type="dxa" w:w="4896"/>
          </w:tcPr>
          <w:p>
            <w:r>
              <w:t>5 hours</w:t>
            </w:r>
          </w:p>
        </w:tc>
      </w:tr>
      <w:tr>
        <w:tc>
          <w:tcPr>
            <w:tcW w:type="dxa" w:w="4896"/>
          </w:tcPr>
          <w:p>
            <w:r>
              <w:t>Hold-out evaluation and calibration</w:t>
            </w:r>
          </w:p>
        </w:tc>
        <w:tc>
          <w:tcPr>
            <w:tcW w:type="dxa" w:w="4896"/>
          </w:tcPr>
          <w:p>
            <w:r>
              <w:t>4 hours</w:t>
            </w:r>
          </w:p>
        </w:tc>
      </w:tr>
      <w:tr>
        <w:tc>
          <w:tcPr>
            <w:tcW w:type="dxa" w:w="4896"/>
          </w:tcPr>
          <w:p>
            <w:r>
              <w:t>Subgroup/fairness analysis</w:t>
            </w:r>
          </w:p>
        </w:tc>
        <w:tc>
          <w:tcPr>
            <w:tcW w:type="dxa" w:w="4896"/>
          </w:tcPr>
          <w:p>
            <w:r>
              <w:t>4 hours</w:t>
            </w:r>
          </w:p>
        </w:tc>
      </w:tr>
      <w:tr>
        <w:tc>
          <w:tcPr>
            <w:tcW w:type="dxa" w:w="4896"/>
          </w:tcPr>
          <w:p>
            <w:r>
              <w:t>Ethical review, interpretation and limitations</w:t>
            </w:r>
          </w:p>
        </w:tc>
        <w:tc>
          <w:tcPr>
            <w:tcW w:type="dxa" w:w="4896"/>
          </w:tcPr>
          <w:p>
            <w:r>
              <w:t>3 hours</w:t>
            </w:r>
          </w:p>
        </w:tc>
      </w:tr>
      <w:tr>
        <w:tc>
          <w:tcPr>
            <w:tcW w:type="dxa" w:w="4896"/>
          </w:tcPr>
          <w:p>
            <w:r>
              <w:t>Reproducibility checks and report finalisation</w:t>
            </w:r>
          </w:p>
        </w:tc>
        <w:tc>
          <w:tcPr>
            <w:tcW w:type="dxa" w:w="4896"/>
          </w:tcPr>
          <w:p>
            <w:r>
              <w:t>2–4 hours</w:t>
            </w:r>
          </w:p>
        </w:tc>
      </w:tr>
    </w:tbl>
    <w:p>
      <w:r>
        <w:t>Estimated total: 33–35 hours, depending on debugging, dataset quality and whether additional validation is feasible.</w:t>
      </w:r>
    </w:p>
    <w:p>
      <w:pPr>
        <w:pStyle w:val="Heading1"/>
      </w:pPr>
      <w:r>
        <w:t>11. Expected Deliverables and Conclusion</w:t>
      </w:r>
    </w:p>
    <w:p>
      <w:r>
        <w:t>The deliverables are (1) this Word report, which documents the rationale, statistical techniques, model-development workflow, validation plan, bias mitigation and ethical safeguards; and (2) a Jupyter notebook that implements the workflow reproducibly. The notebook is designed to consume the cleaned Week 2 dataset and build on the Week 3 visualisation work.</w:t>
      </w:r>
    </w:p>
    <w:p>
      <w:r>
        <w:t>The main conclusion is methodological: healthcare prediction requires more than fitting a classifier. Data quality, correct outcome definition, leakage prevention, independent validation, uncertainty, subgroup performance, calibration and ethical governance must be addressed together. Numerical conclusions should be written only after the notebook has been run and its outputs reviewed. Any future clinical use would require substantially stronger evidence and formal approval.</w:t>
      </w:r>
    </w:p>
    <w:p>
      <w:pPr>
        <w:pStyle w:val="Heading1"/>
      </w:pPr>
      <w:r>
        <w:t>Appendix A. Checklist Before Submission</w:t>
      </w:r>
    </w:p>
    <w:p>
      <w:pPr>
        <w:pStyle w:val="ListBullet"/>
      </w:pPr>
      <w:r>
        <w:t>Run Week 2 QA pipeline and confirm `qa_output/heart_disease_clean.csv` exists.</w:t>
      </w:r>
    </w:p>
    <w:p>
      <w:pPr>
        <w:pStyle w:val="ListBullet"/>
      </w:pPr>
      <w:r>
        <w:t>Run Week 3 visualisation notebook if its figures are required for the broader project.</w:t>
      </w:r>
    </w:p>
    <w:p>
      <w:pPr>
        <w:pStyle w:val="ListBullet"/>
      </w:pPr>
      <w:r>
        <w:t>Run Week 4 notebook from top to bottom and resolve any environment/path errors.</w:t>
      </w:r>
    </w:p>
    <w:p>
      <w:pPr>
        <w:pStyle w:val="ListBullet"/>
      </w:pPr>
      <w:r>
        <w:t>Inspect outputs for unexpected missing values, class imbalance, leakage and small subgroup counts.</w:t>
      </w:r>
    </w:p>
    <w:p>
      <w:pPr>
        <w:pStyle w:val="ListBullet"/>
      </w:pPr>
      <w:r>
        <w:t>Insert the actual results and a cautious interpretation into the final submission if required by the instructor.</w:t>
      </w:r>
    </w:p>
    <w:p>
      <w:pPr>
        <w:pStyle w:val="ListBullet"/>
      </w:pPr>
      <w:r>
        <w:t>Do not claim clinical readiness or causality; include limitations and ethical safeguards.</w:t>
      </w:r>
    </w:p>
    <w:p>
      <w:pPr>
        <w:pStyle w:val="Heading1"/>
      </w:pPr>
      <w:r>
        <w:t>References and Further Reading</w:t>
      </w:r>
    </w:p>
    <w:p>
      <w:pPr>
        <w:pStyle w:val="ListBullet"/>
      </w:pPr>
      <w:r>
        <w:t>UCI Machine Learning Repository. Heart Disease dataset. Verify the dataset version and citation requirements for the specific files used.</w:t>
      </w:r>
    </w:p>
    <w:p>
      <w:pPr>
        <w:pStyle w:val="ListBullet"/>
      </w:pPr>
      <w:r>
        <w:t>Pedregosa, F., et al. (2011). Scikit-learn: Machine Learning in Python. Journal of Machine Learning Research, 12, 2825–2830.</w:t>
      </w:r>
    </w:p>
    <w:p>
      <w:pPr>
        <w:pStyle w:val="ListBullet"/>
      </w:pPr>
      <w:r>
        <w:t>Steyerberg, E. W. (2019). Clinical Prediction Models: A Practical Approach to Development, Validation, and Updating. 2nd ed. Springer.</w:t>
      </w:r>
    </w:p>
    <w:p>
      <w:pPr>
        <w:pStyle w:val="ListBullet"/>
      </w:pPr>
      <w:r>
        <w:t>Collins, G. S., et al. (2015). Transparent Reporting of a multivariable prediction model for Individual Prognosis Or Diagnosis (TRIPOD): The TRIPOD Statement. Annals of Internal Medicine, 162(1), 55–63.</w:t>
      </w:r>
    </w:p>
    <w:p>
      <w:pPr>
        <w:pStyle w:val="ListBullet"/>
      </w:pPr>
      <w:r>
        <w:t>World Health Organization. Ethics and governance of artificial intelligence for health. WHO guidance, 2021.</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Statistical Analysis &amp; Predictive Modeling — Educational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4 | HEALTHCARE DATA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