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B7E" w:rsidRDefault="00BA41FF" w:rsidP="00BA41FF">
      <w:pPr>
        <w:jc w:val="center"/>
        <w:rPr>
          <w:sz w:val="52"/>
          <w:szCs w:val="52"/>
        </w:rPr>
      </w:pPr>
      <w:r w:rsidRPr="00BA41FF">
        <w:rPr>
          <w:sz w:val="52"/>
          <w:szCs w:val="52"/>
        </w:rPr>
        <w:t>DAY 4</w:t>
      </w:r>
    </w:p>
    <w:p w:rsidR="00BA41FF" w:rsidRPr="00A2682D" w:rsidRDefault="00BA41FF" w:rsidP="00BA41FF">
      <w:pPr>
        <w:jc w:val="center"/>
        <w:rPr>
          <w:sz w:val="44"/>
          <w:szCs w:val="44"/>
        </w:rPr>
      </w:pPr>
      <w:r w:rsidRPr="00A2682D">
        <w:rPr>
          <w:sz w:val="44"/>
          <w:szCs w:val="44"/>
        </w:rPr>
        <w:t>Assignment</w:t>
      </w:r>
      <w:r w:rsidR="00A2682D" w:rsidRPr="00A2682D">
        <w:rPr>
          <w:sz w:val="44"/>
          <w:szCs w:val="44"/>
        </w:rPr>
        <w:t>-End of Life</w:t>
      </w:r>
    </w:p>
    <w:p w:rsidR="00BA41FF" w:rsidRPr="00E242A7" w:rsidRDefault="00BA41FF" w:rsidP="00BA41F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42A7">
        <w:rPr>
          <w:b/>
          <w:bCs/>
          <w:sz w:val="40"/>
          <w:szCs w:val="40"/>
        </w:rPr>
        <w:t>End of Life</w:t>
      </w:r>
    </w:p>
    <w:p w:rsidR="00BA41FF" w:rsidRPr="00C76111" w:rsidRDefault="00BA41FF" w:rsidP="00BA41FF">
      <w:pPr>
        <w:pStyle w:val="ListParagraph"/>
        <w:rPr>
          <w:sz w:val="36"/>
          <w:szCs w:val="36"/>
        </w:rPr>
      </w:pPr>
      <w:r w:rsidRPr="00C76111">
        <w:rPr>
          <w:sz w:val="36"/>
          <w:szCs w:val="36"/>
        </w:rPr>
        <w:t>Software or hardware product like O.S or app, no longer receives security updates or technical support from manufacturer.</w:t>
      </w:r>
    </w:p>
    <w:p w:rsidR="00BA41FF" w:rsidRDefault="00BA41FF" w:rsidP="00BA41FF">
      <w:pPr>
        <w:pStyle w:val="ListParagraph"/>
        <w:rPr>
          <w:sz w:val="40"/>
          <w:szCs w:val="40"/>
        </w:rPr>
      </w:pPr>
    </w:p>
    <w:p w:rsidR="000C7C8B" w:rsidRPr="00E242A7" w:rsidRDefault="000C7C8B" w:rsidP="000C7C8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42A7">
        <w:rPr>
          <w:b/>
          <w:bCs/>
          <w:sz w:val="40"/>
          <w:szCs w:val="40"/>
        </w:rPr>
        <w:t>5 Stages of Server Life Cycle</w:t>
      </w:r>
    </w:p>
    <w:p w:rsidR="000C7C8B" w:rsidRDefault="000C7C8B" w:rsidP="000C7C8B">
      <w:pPr>
        <w:pStyle w:val="ListParagraph"/>
        <w:rPr>
          <w:sz w:val="40"/>
          <w:szCs w:val="40"/>
        </w:rPr>
      </w:pPr>
    </w:p>
    <w:p w:rsidR="000C7C8B" w:rsidRDefault="000C7C8B" w:rsidP="000C7C8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>
        <w:rPr>
          <w:noProof/>
          <w:sz w:val="36"/>
          <w:szCs w:val="36"/>
        </w:rPr>
        <w:drawing>
          <wp:inline distT="0" distB="0" distL="0" distR="0" wp14:anchorId="666BEF92" wp14:editId="55D2B058">
            <wp:extent cx="4842344" cy="4004614"/>
            <wp:effectExtent l="0" t="0" r="0" b="0"/>
            <wp:docPr id="83849011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C7C8B" w:rsidRDefault="000C7C8B" w:rsidP="000C7C8B">
      <w:pPr>
        <w:pStyle w:val="ListParagraph"/>
        <w:rPr>
          <w:sz w:val="40"/>
          <w:szCs w:val="40"/>
        </w:rPr>
      </w:pPr>
    </w:p>
    <w:p w:rsidR="00BA41FF" w:rsidRPr="00E242A7" w:rsidRDefault="00BA41FF" w:rsidP="000C7C8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42A7">
        <w:rPr>
          <w:b/>
          <w:bCs/>
          <w:sz w:val="40"/>
          <w:szCs w:val="40"/>
        </w:rPr>
        <w:t>What are indications of EOL</w:t>
      </w:r>
      <w:r w:rsidRPr="00E242A7">
        <w:rPr>
          <w:b/>
          <w:bCs/>
          <w:sz w:val="40"/>
          <w:szCs w:val="40"/>
        </w:rPr>
        <w:t>?</w:t>
      </w:r>
    </w:p>
    <w:p w:rsidR="00C76111" w:rsidRDefault="00C76111" w:rsidP="00C76111">
      <w:pPr>
        <w:pStyle w:val="ListParagraph"/>
        <w:rPr>
          <w:sz w:val="36"/>
          <w:szCs w:val="36"/>
        </w:rPr>
      </w:pPr>
      <w:r w:rsidRPr="00C76111">
        <w:rPr>
          <w:sz w:val="36"/>
          <w:szCs w:val="36"/>
        </w:rPr>
        <w:t xml:space="preserve">For </w:t>
      </w:r>
      <w:r w:rsidRPr="00C76111">
        <w:rPr>
          <w:b/>
          <w:bCs/>
          <w:sz w:val="36"/>
          <w:szCs w:val="36"/>
        </w:rPr>
        <w:t>Hardware</w:t>
      </w:r>
      <w:r w:rsidRPr="00C76111">
        <w:rPr>
          <w:sz w:val="36"/>
          <w:szCs w:val="36"/>
        </w:rPr>
        <w:t xml:space="preserve"> EOL (PCs,</w:t>
      </w:r>
      <w:r w:rsidRPr="00C76111">
        <w:rPr>
          <w:rFonts w:ascii="Arial" w:hAnsi="Arial" w:cs="Arial"/>
          <w:color w:val="666666"/>
          <w:sz w:val="36"/>
          <w:szCs w:val="36"/>
          <w:shd w:val="clear" w:color="auto" w:fill="FFFFFF"/>
        </w:rPr>
        <w:t xml:space="preserve"> </w:t>
      </w:r>
      <w:r w:rsidRPr="00C76111">
        <w:rPr>
          <w:sz w:val="36"/>
          <w:szCs w:val="36"/>
        </w:rPr>
        <w:t>servers, storage devices</w:t>
      </w:r>
      <w:r w:rsidRPr="00C76111">
        <w:rPr>
          <w:sz w:val="36"/>
          <w:szCs w:val="36"/>
        </w:rPr>
        <w:t xml:space="preserve">) </w:t>
      </w:r>
      <w:r w:rsidRPr="00C76111">
        <w:rPr>
          <w:sz w:val="36"/>
          <w:szCs w:val="36"/>
        </w:rPr>
        <w:t>IT</w:t>
      </w:r>
      <w:r w:rsidRPr="00C76111">
        <w:rPr>
          <w:sz w:val="36"/>
          <w:szCs w:val="36"/>
        </w:rPr>
        <w:t xml:space="preserve"> </w:t>
      </w:r>
      <w:r w:rsidRPr="00C76111">
        <w:rPr>
          <w:sz w:val="36"/>
          <w:szCs w:val="36"/>
        </w:rPr>
        <w:t>professionals look for slow performance, files opening slowly, slow response when accessing a website, frequent crashing and similar issues.</w:t>
      </w:r>
    </w:p>
    <w:p w:rsidR="00C76111" w:rsidRDefault="00C76111" w:rsidP="00C761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 </w:t>
      </w:r>
      <w:r w:rsidRPr="00C76111">
        <w:rPr>
          <w:b/>
          <w:bCs/>
          <w:sz w:val="36"/>
          <w:szCs w:val="36"/>
        </w:rPr>
        <w:t xml:space="preserve">Software </w:t>
      </w:r>
      <w:r>
        <w:rPr>
          <w:sz w:val="36"/>
          <w:szCs w:val="36"/>
        </w:rPr>
        <w:t xml:space="preserve">EOL (software, application) indications can be as application </w:t>
      </w:r>
      <w:r w:rsidRPr="00C76111">
        <w:rPr>
          <w:sz w:val="36"/>
          <w:szCs w:val="36"/>
        </w:rPr>
        <w:t>don't execute as they originally did</w:t>
      </w:r>
      <w:r>
        <w:rPr>
          <w:sz w:val="36"/>
          <w:szCs w:val="36"/>
        </w:rPr>
        <w:t xml:space="preserve"> </w:t>
      </w:r>
      <w:r w:rsidRPr="00C76111">
        <w:rPr>
          <w:sz w:val="36"/>
          <w:szCs w:val="36"/>
        </w:rPr>
        <w:t>or execute too slowly</w:t>
      </w:r>
      <w:r>
        <w:rPr>
          <w:sz w:val="36"/>
          <w:szCs w:val="36"/>
        </w:rPr>
        <w:t xml:space="preserve">, </w:t>
      </w:r>
      <w:r w:rsidR="00642B9F" w:rsidRPr="00642B9F">
        <w:rPr>
          <w:sz w:val="36"/>
          <w:szCs w:val="36"/>
        </w:rPr>
        <w:t>application doesn't operate on newer hardware or operating systems</w:t>
      </w:r>
      <w:r w:rsidR="00642B9F">
        <w:rPr>
          <w:sz w:val="36"/>
          <w:szCs w:val="36"/>
        </w:rPr>
        <w:t xml:space="preserve"> then </w:t>
      </w:r>
      <w:r w:rsidR="00642B9F" w:rsidRPr="00642B9F">
        <w:rPr>
          <w:sz w:val="36"/>
          <w:szCs w:val="36"/>
        </w:rPr>
        <w:t>replacement might be needed</w:t>
      </w:r>
      <w:r w:rsidR="00642B9F">
        <w:rPr>
          <w:sz w:val="36"/>
          <w:szCs w:val="36"/>
        </w:rPr>
        <w:t>.</w:t>
      </w:r>
    </w:p>
    <w:p w:rsidR="000C7C8B" w:rsidRDefault="000C7C8B" w:rsidP="00C76111">
      <w:pPr>
        <w:pStyle w:val="ListParagraph"/>
        <w:rPr>
          <w:sz w:val="36"/>
          <w:szCs w:val="36"/>
        </w:rPr>
      </w:pPr>
    </w:p>
    <w:p w:rsidR="00E242A7" w:rsidRPr="00E242A7" w:rsidRDefault="00E242A7" w:rsidP="00E242A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242A7">
        <w:rPr>
          <w:b/>
          <w:bCs/>
          <w:sz w:val="40"/>
          <w:szCs w:val="40"/>
        </w:rPr>
        <w:t xml:space="preserve">States of EOL </w:t>
      </w:r>
    </w:p>
    <w:p w:rsidR="00E242A7" w:rsidRDefault="00E242A7" w:rsidP="00E242A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242A7">
        <w:rPr>
          <w:b/>
          <w:bCs/>
          <w:sz w:val="36"/>
          <w:szCs w:val="36"/>
        </w:rPr>
        <w:t>Dated EOL</w:t>
      </w:r>
      <w:r w:rsidRPr="00E242A7">
        <w:rPr>
          <w:sz w:val="36"/>
          <w:szCs w:val="36"/>
        </w:rPr>
        <w:t xml:space="preserve"> </w:t>
      </w:r>
    </w:p>
    <w:p w:rsidR="00E242A7" w:rsidRPr="00E242A7" w:rsidRDefault="00E242A7" w:rsidP="00E242A7">
      <w:pPr>
        <w:pStyle w:val="ListParagraph"/>
        <w:numPr>
          <w:ilvl w:val="1"/>
          <w:numId w:val="4"/>
        </w:numPr>
        <w:spacing w:line="240" w:lineRule="auto"/>
        <w:rPr>
          <w:sz w:val="36"/>
          <w:szCs w:val="36"/>
        </w:rPr>
      </w:pPr>
      <w:r w:rsidRPr="00E242A7">
        <w:rPr>
          <w:sz w:val="36"/>
          <w:szCs w:val="36"/>
        </w:rPr>
        <w:t>When a specific date is announced for the end of support or discontinuation.</w:t>
      </w:r>
    </w:p>
    <w:p w:rsidR="00E242A7" w:rsidRPr="00E242A7" w:rsidRDefault="00E242A7" w:rsidP="00E242A7">
      <w:pPr>
        <w:pStyle w:val="ListParagraph"/>
        <w:numPr>
          <w:ilvl w:val="1"/>
          <w:numId w:val="4"/>
        </w:numPr>
        <w:spacing w:line="240" w:lineRule="auto"/>
        <w:rPr>
          <w:sz w:val="36"/>
          <w:szCs w:val="36"/>
        </w:rPr>
      </w:pPr>
      <w:r w:rsidRPr="00E242A7">
        <w:rPr>
          <w:sz w:val="36"/>
          <w:szCs w:val="36"/>
        </w:rPr>
        <w:t>Example: Windows 10 has an official EOL date of October 14, 2025.</w:t>
      </w:r>
    </w:p>
    <w:p w:rsidR="00E242A7" w:rsidRDefault="00E242A7" w:rsidP="00E242A7">
      <w:pPr>
        <w:pStyle w:val="ListParagraph"/>
        <w:numPr>
          <w:ilvl w:val="1"/>
          <w:numId w:val="4"/>
        </w:numPr>
        <w:spacing w:line="240" w:lineRule="auto"/>
        <w:rPr>
          <w:sz w:val="36"/>
          <w:szCs w:val="36"/>
        </w:rPr>
      </w:pPr>
      <w:r w:rsidRPr="00E242A7">
        <w:rPr>
          <w:sz w:val="36"/>
          <w:szCs w:val="36"/>
        </w:rPr>
        <w:t>Users can plan ahead for upgrades or transitions.</w:t>
      </w:r>
    </w:p>
    <w:p w:rsidR="00E242A7" w:rsidRPr="00E242A7" w:rsidRDefault="00E242A7" w:rsidP="00E242A7">
      <w:pPr>
        <w:pStyle w:val="ListParagraph"/>
        <w:spacing w:line="240" w:lineRule="auto"/>
        <w:ind w:left="1800"/>
        <w:rPr>
          <w:sz w:val="36"/>
          <w:szCs w:val="36"/>
        </w:rPr>
      </w:pPr>
    </w:p>
    <w:p w:rsidR="00E242A7" w:rsidRDefault="00E242A7" w:rsidP="00E242A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242A7">
        <w:rPr>
          <w:b/>
          <w:bCs/>
          <w:sz w:val="36"/>
          <w:szCs w:val="36"/>
        </w:rPr>
        <w:t>Undated EOL</w:t>
      </w:r>
      <w:r w:rsidRPr="00E242A7">
        <w:rPr>
          <w:sz w:val="36"/>
          <w:szCs w:val="36"/>
        </w:rPr>
        <w:t xml:space="preserve"> </w:t>
      </w:r>
    </w:p>
    <w:p w:rsidR="00E242A7" w:rsidRPr="00E242A7" w:rsidRDefault="00E242A7" w:rsidP="00E242A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242A7">
        <w:rPr>
          <w:sz w:val="36"/>
          <w:szCs w:val="36"/>
        </w:rPr>
        <w:t>When no fixed date is given, but the product/service is expected to phase out over time.</w:t>
      </w:r>
    </w:p>
    <w:p w:rsidR="00E242A7" w:rsidRDefault="00E242A7" w:rsidP="00E242A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242A7">
        <w:rPr>
          <w:sz w:val="36"/>
          <w:szCs w:val="36"/>
        </w:rPr>
        <w:t>Example: A company hints at discontinuing a product "in the near future" without specifying a deadline.</w:t>
      </w:r>
    </w:p>
    <w:p w:rsidR="000C2F7C" w:rsidRDefault="000C2F7C" w:rsidP="000C2F7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Sign: </w:t>
      </w:r>
      <w:r w:rsidRPr="000C2F7C">
        <w:rPr>
          <w:sz w:val="36"/>
          <w:szCs w:val="36"/>
        </w:rPr>
        <w:t>Company may give vague timelines such as “support will end soon” or “phasing out.”</w:t>
      </w:r>
    </w:p>
    <w:p w:rsidR="000C2F7C" w:rsidRPr="000C2F7C" w:rsidRDefault="000C2F7C" w:rsidP="000C2F7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C2F7C">
        <w:rPr>
          <w:sz w:val="36"/>
          <w:szCs w:val="36"/>
        </w:rPr>
        <w:t>How to Identify</w:t>
      </w:r>
      <w:r>
        <w:rPr>
          <w:sz w:val="36"/>
          <w:szCs w:val="36"/>
        </w:rPr>
        <w:t xml:space="preserve">: </w:t>
      </w:r>
      <w:r w:rsidRPr="000C2F7C">
        <w:rPr>
          <w:sz w:val="36"/>
          <w:szCs w:val="36"/>
        </w:rPr>
        <w:t>Check for official announcements</w:t>
      </w:r>
      <w:r>
        <w:rPr>
          <w:sz w:val="36"/>
          <w:szCs w:val="36"/>
        </w:rPr>
        <w:t>,</w:t>
      </w:r>
      <w:r w:rsidRPr="000C2F7C">
        <w:t xml:space="preserve"> </w:t>
      </w:r>
      <w:r w:rsidRPr="000C2F7C">
        <w:rPr>
          <w:sz w:val="36"/>
          <w:szCs w:val="36"/>
        </w:rPr>
        <w:t>Monitor update frequency</w:t>
      </w:r>
      <w:r>
        <w:rPr>
          <w:sz w:val="36"/>
          <w:szCs w:val="36"/>
        </w:rPr>
        <w:t xml:space="preserve">, </w:t>
      </w:r>
      <w:r w:rsidRPr="000C2F7C">
        <w:rPr>
          <w:sz w:val="36"/>
          <w:szCs w:val="36"/>
        </w:rPr>
        <w:t>Customer support availability</w:t>
      </w:r>
      <w:r>
        <w:rPr>
          <w:sz w:val="36"/>
          <w:szCs w:val="36"/>
        </w:rPr>
        <w:t>, etc.</w:t>
      </w:r>
    </w:p>
    <w:p w:rsidR="00E242A7" w:rsidRPr="00E242A7" w:rsidRDefault="00E242A7" w:rsidP="00E242A7">
      <w:pPr>
        <w:pStyle w:val="ListParagraph"/>
        <w:ind w:left="1800"/>
        <w:rPr>
          <w:sz w:val="36"/>
          <w:szCs w:val="36"/>
        </w:rPr>
      </w:pPr>
    </w:p>
    <w:p w:rsidR="00642B9F" w:rsidRDefault="00E242A7" w:rsidP="00E242A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242A7">
        <w:rPr>
          <w:b/>
          <w:bCs/>
          <w:sz w:val="36"/>
          <w:szCs w:val="36"/>
        </w:rPr>
        <w:t>Support dated</w:t>
      </w:r>
    </w:p>
    <w:p w:rsidR="00E242A7" w:rsidRPr="00E242A7" w:rsidRDefault="00E242A7" w:rsidP="00E242A7">
      <w:pPr>
        <w:pStyle w:val="ListParagraph"/>
        <w:numPr>
          <w:ilvl w:val="2"/>
          <w:numId w:val="11"/>
        </w:numPr>
        <w:spacing w:line="240" w:lineRule="auto"/>
        <w:rPr>
          <w:sz w:val="36"/>
          <w:szCs w:val="36"/>
        </w:rPr>
      </w:pPr>
      <w:r w:rsidRPr="00E242A7">
        <w:rPr>
          <w:sz w:val="36"/>
          <w:szCs w:val="36"/>
        </w:rPr>
        <w:t>A specific end date is provided for support services (updates, security patches, maintenance).</w:t>
      </w:r>
    </w:p>
    <w:p w:rsidR="00E242A7" w:rsidRPr="00E242A7" w:rsidRDefault="00E242A7" w:rsidP="00E242A7">
      <w:pPr>
        <w:pStyle w:val="ListParagraph"/>
        <w:numPr>
          <w:ilvl w:val="2"/>
          <w:numId w:val="11"/>
        </w:numPr>
        <w:spacing w:line="240" w:lineRule="auto"/>
        <w:rPr>
          <w:sz w:val="36"/>
          <w:szCs w:val="36"/>
        </w:rPr>
      </w:pPr>
      <w:r w:rsidRPr="00E242A7">
        <w:rPr>
          <w:sz w:val="36"/>
          <w:szCs w:val="36"/>
        </w:rPr>
        <w:t>Example: Windows 10 support ends on October 14, 2025.</w:t>
      </w:r>
    </w:p>
    <w:p w:rsidR="00E242A7" w:rsidRDefault="00E242A7" w:rsidP="00E242A7">
      <w:pPr>
        <w:pStyle w:val="ListParagraph"/>
        <w:numPr>
          <w:ilvl w:val="2"/>
          <w:numId w:val="11"/>
        </w:numPr>
        <w:spacing w:line="240" w:lineRule="auto"/>
        <w:rPr>
          <w:sz w:val="36"/>
          <w:szCs w:val="36"/>
        </w:rPr>
      </w:pPr>
      <w:r w:rsidRPr="00E242A7">
        <w:rPr>
          <w:sz w:val="36"/>
          <w:szCs w:val="36"/>
        </w:rPr>
        <w:t>Users can plan for upgrades and transitions in advance.</w:t>
      </w:r>
    </w:p>
    <w:p w:rsidR="00E242A7" w:rsidRPr="00E242A7" w:rsidRDefault="00E242A7" w:rsidP="00E242A7">
      <w:pPr>
        <w:pStyle w:val="ListParagraph"/>
        <w:spacing w:line="240" w:lineRule="auto"/>
        <w:ind w:left="1800"/>
        <w:rPr>
          <w:sz w:val="36"/>
          <w:szCs w:val="36"/>
        </w:rPr>
      </w:pPr>
    </w:p>
    <w:p w:rsidR="00E242A7" w:rsidRDefault="00E242A7" w:rsidP="00E242A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242A7">
        <w:rPr>
          <w:b/>
          <w:bCs/>
          <w:sz w:val="36"/>
          <w:szCs w:val="36"/>
        </w:rPr>
        <w:lastRenderedPageBreak/>
        <w:t>Support</w:t>
      </w:r>
      <w:r w:rsidR="00A2682D">
        <w:rPr>
          <w:b/>
          <w:bCs/>
          <w:sz w:val="36"/>
          <w:szCs w:val="36"/>
        </w:rPr>
        <w:t xml:space="preserve"> undated</w:t>
      </w:r>
      <w:r w:rsidRPr="00E242A7">
        <w:rPr>
          <w:b/>
          <w:bCs/>
          <w:sz w:val="36"/>
          <w:szCs w:val="36"/>
        </w:rPr>
        <w:t xml:space="preserve"> </w:t>
      </w:r>
    </w:p>
    <w:p w:rsidR="00E242A7" w:rsidRPr="00E242A7" w:rsidRDefault="00E242A7" w:rsidP="00E242A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242A7">
        <w:rPr>
          <w:sz w:val="36"/>
          <w:szCs w:val="36"/>
        </w:rPr>
        <w:t xml:space="preserve">No fixed end date is announced, but support may phase out </w:t>
      </w:r>
      <w:r>
        <w:rPr>
          <w:sz w:val="36"/>
          <w:szCs w:val="36"/>
        </w:rPr>
        <w:t xml:space="preserve">          </w:t>
      </w:r>
      <w:r w:rsidRPr="00E242A7">
        <w:rPr>
          <w:sz w:val="36"/>
          <w:szCs w:val="36"/>
        </w:rPr>
        <w:t>over time.</w:t>
      </w:r>
    </w:p>
    <w:p w:rsidR="00E242A7" w:rsidRDefault="00E242A7" w:rsidP="00A2682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A2682D">
        <w:rPr>
          <w:sz w:val="36"/>
          <w:szCs w:val="36"/>
        </w:rPr>
        <w:t>Example: Some open-source software projects continue support indefinitely until contributors stop maintaining them.</w:t>
      </w:r>
    </w:p>
    <w:p w:rsidR="000C2F7C" w:rsidRDefault="000C2F7C" w:rsidP="00A2682D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Signs: </w:t>
      </w:r>
      <w:r w:rsidRPr="000C2F7C">
        <w:rPr>
          <w:sz w:val="36"/>
          <w:szCs w:val="36"/>
        </w:rPr>
        <w:t>No fixed end date, but the product continues to receive updates and patches.</w:t>
      </w:r>
    </w:p>
    <w:p w:rsidR="00A2682D" w:rsidRDefault="000C2F7C" w:rsidP="000C2F7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C2F7C">
        <w:rPr>
          <w:sz w:val="36"/>
          <w:szCs w:val="36"/>
        </w:rPr>
        <w:t>How to Identify</w:t>
      </w:r>
      <w:r>
        <w:rPr>
          <w:sz w:val="36"/>
          <w:szCs w:val="36"/>
        </w:rPr>
        <w:t xml:space="preserve">: </w:t>
      </w:r>
      <w:r w:rsidRPr="000C2F7C">
        <w:rPr>
          <w:sz w:val="36"/>
          <w:szCs w:val="36"/>
        </w:rPr>
        <w:t>Product documentation</w:t>
      </w:r>
      <w:r>
        <w:rPr>
          <w:sz w:val="36"/>
          <w:szCs w:val="36"/>
        </w:rPr>
        <w:t xml:space="preserve">, </w:t>
      </w:r>
      <w:r w:rsidRPr="000C2F7C">
        <w:rPr>
          <w:sz w:val="36"/>
          <w:szCs w:val="36"/>
        </w:rPr>
        <w:t>Official statements</w:t>
      </w:r>
      <w:r>
        <w:rPr>
          <w:sz w:val="36"/>
          <w:szCs w:val="36"/>
        </w:rPr>
        <w:t>, etc.</w:t>
      </w:r>
    </w:p>
    <w:p w:rsidR="000C2F7C" w:rsidRPr="000C2F7C" w:rsidRDefault="000C2F7C" w:rsidP="000C2F7C">
      <w:pPr>
        <w:pStyle w:val="ListParagraph"/>
        <w:ind w:left="1800"/>
        <w:rPr>
          <w:sz w:val="36"/>
          <w:szCs w:val="36"/>
        </w:rPr>
      </w:pPr>
    </w:p>
    <w:p w:rsidR="00E242A7" w:rsidRDefault="00A2682D" w:rsidP="00A2682D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Unknown</w:t>
      </w:r>
    </w:p>
    <w:p w:rsidR="00A2682D" w:rsidRPr="00A2682D" w:rsidRDefault="00A2682D" w:rsidP="00A2682D">
      <w:pPr>
        <w:pStyle w:val="ListParagraph"/>
        <w:numPr>
          <w:ilvl w:val="0"/>
          <w:numId w:val="15"/>
        </w:numPr>
        <w:spacing w:line="240" w:lineRule="auto"/>
        <w:rPr>
          <w:sz w:val="36"/>
          <w:szCs w:val="36"/>
        </w:rPr>
      </w:pPr>
      <w:r w:rsidRPr="00A2682D">
        <w:rPr>
          <w:sz w:val="36"/>
          <w:szCs w:val="36"/>
        </w:rPr>
        <w:t>No clear information on whether support will continue or end.</w:t>
      </w:r>
    </w:p>
    <w:p w:rsidR="00A2682D" w:rsidRDefault="00A2682D" w:rsidP="00A2682D">
      <w:pPr>
        <w:pStyle w:val="ListParagraph"/>
        <w:numPr>
          <w:ilvl w:val="0"/>
          <w:numId w:val="15"/>
        </w:numPr>
        <w:spacing w:line="240" w:lineRule="auto"/>
        <w:rPr>
          <w:sz w:val="36"/>
          <w:szCs w:val="36"/>
        </w:rPr>
      </w:pPr>
      <w:r w:rsidRPr="00A2682D">
        <w:rPr>
          <w:sz w:val="36"/>
          <w:szCs w:val="36"/>
        </w:rPr>
        <w:t>Example: A small company provides software but hasn’t communicated any support timeline.</w:t>
      </w:r>
    </w:p>
    <w:p w:rsidR="000C2F7C" w:rsidRDefault="000C2F7C" w:rsidP="00A2682D">
      <w:pPr>
        <w:pStyle w:val="ListParagraph"/>
        <w:numPr>
          <w:ilvl w:val="0"/>
          <w:numId w:val="1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Sign: </w:t>
      </w:r>
      <w:r w:rsidRPr="000C2F7C">
        <w:rPr>
          <w:sz w:val="36"/>
          <w:szCs w:val="36"/>
        </w:rPr>
        <w:t>No clear information about whether the product will be supported, updated, or phased out.</w:t>
      </w:r>
    </w:p>
    <w:p w:rsidR="000C2F7C" w:rsidRDefault="000C2F7C" w:rsidP="00A2682D">
      <w:pPr>
        <w:pStyle w:val="ListParagraph"/>
        <w:numPr>
          <w:ilvl w:val="0"/>
          <w:numId w:val="15"/>
        </w:numPr>
        <w:spacing w:line="240" w:lineRule="auto"/>
        <w:rPr>
          <w:sz w:val="36"/>
          <w:szCs w:val="36"/>
        </w:rPr>
      </w:pPr>
      <w:r w:rsidRPr="000C2F7C">
        <w:rPr>
          <w:sz w:val="36"/>
          <w:szCs w:val="36"/>
        </w:rPr>
        <w:t>How to Identify</w:t>
      </w:r>
      <w:r>
        <w:rPr>
          <w:sz w:val="36"/>
          <w:szCs w:val="36"/>
        </w:rPr>
        <w:t xml:space="preserve">: </w:t>
      </w:r>
      <w:r w:rsidRPr="000C2F7C">
        <w:rPr>
          <w:sz w:val="36"/>
          <w:szCs w:val="36"/>
        </w:rPr>
        <w:t>Check for product updates</w:t>
      </w:r>
      <w:r>
        <w:rPr>
          <w:sz w:val="36"/>
          <w:szCs w:val="36"/>
        </w:rPr>
        <w:t xml:space="preserve">, </w:t>
      </w:r>
      <w:r w:rsidRPr="000C2F7C">
        <w:rPr>
          <w:sz w:val="36"/>
          <w:szCs w:val="36"/>
        </w:rPr>
        <w:t>Search for announcements</w:t>
      </w:r>
      <w:r>
        <w:rPr>
          <w:sz w:val="36"/>
          <w:szCs w:val="36"/>
        </w:rPr>
        <w:t>, etc.</w:t>
      </w:r>
    </w:p>
    <w:p w:rsidR="00637608" w:rsidRDefault="00637608" w:rsidP="00637608">
      <w:pPr>
        <w:pStyle w:val="ListParagraph"/>
        <w:spacing w:line="240" w:lineRule="auto"/>
        <w:ind w:left="1800"/>
        <w:rPr>
          <w:sz w:val="36"/>
          <w:szCs w:val="36"/>
        </w:rPr>
      </w:pPr>
    </w:p>
    <w:p w:rsidR="00A2682D" w:rsidRDefault="00637608" w:rsidP="0063760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40"/>
          <w:szCs w:val="40"/>
        </w:rPr>
      </w:pPr>
      <w:r w:rsidRPr="00637608">
        <w:rPr>
          <w:b/>
          <w:bCs/>
          <w:sz w:val="40"/>
          <w:szCs w:val="40"/>
        </w:rPr>
        <w:t>End of Life (EOL) Polic</w:t>
      </w:r>
      <w:r>
        <w:rPr>
          <w:b/>
          <w:bCs/>
          <w:sz w:val="40"/>
          <w:szCs w:val="40"/>
        </w:rPr>
        <w:t>ies</w:t>
      </w:r>
    </w:p>
    <w:p w:rsidR="00FD2CF4" w:rsidRDefault="00FD2CF4" w:rsidP="00FD2CF4">
      <w:pPr>
        <w:pStyle w:val="ListParagraph"/>
        <w:spacing w:line="240" w:lineRule="auto"/>
        <w:rPr>
          <w:b/>
          <w:bCs/>
          <w:sz w:val="40"/>
          <w:szCs w:val="40"/>
        </w:rPr>
      </w:pPr>
    </w:p>
    <w:p w:rsidR="00FD2CF4" w:rsidRDefault="00FD2CF4" w:rsidP="00FD2CF4">
      <w:pPr>
        <w:pStyle w:val="ListParagraph"/>
        <w:numPr>
          <w:ilvl w:val="0"/>
          <w:numId w:val="17"/>
        </w:numPr>
        <w:spacing w:line="240" w:lineRule="auto"/>
        <w:rPr>
          <w:sz w:val="40"/>
          <w:szCs w:val="40"/>
        </w:rPr>
      </w:pPr>
      <w:r w:rsidRPr="00FD2CF4">
        <w:rPr>
          <w:b/>
          <w:bCs/>
          <w:sz w:val="40"/>
          <w:szCs w:val="40"/>
        </w:rPr>
        <w:t>Apple Software (macOS, iOS)</w:t>
      </w:r>
      <w:r w:rsidRPr="00FD2CF4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If </w:t>
      </w:r>
      <w:r w:rsidRPr="00637608">
        <w:rPr>
          <w:sz w:val="40"/>
          <w:szCs w:val="40"/>
        </w:rPr>
        <w:t>older than 5</w:t>
      </w:r>
      <w:r>
        <w:rPr>
          <w:sz w:val="40"/>
          <w:szCs w:val="40"/>
        </w:rPr>
        <w:t>-7</w:t>
      </w:r>
      <w:r w:rsidRPr="00637608">
        <w:rPr>
          <w:sz w:val="40"/>
          <w:szCs w:val="40"/>
        </w:rPr>
        <w:t xml:space="preserve"> years may no longer receive the latest iOS updates.</w:t>
      </w:r>
      <w:r>
        <w:rPr>
          <w:sz w:val="40"/>
          <w:szCs w:val="40"/>
        </w:rPr>
        <w:t xml:space="preserve"> I</w:t>
      </w:r>
      <w:r w:rsidRPr="00FD2CF4">
        <w:rPr>
          <w:sz w:val="40"/>
          <w:szCs w:val="40"/>
        </w:rPr>
        <w:t>t is considered outdated and stops receiving new features or security updates.</w:t>
      </w:r>
    </w:p>
    <w:p w:rsidR="00FD2CF4" w:rsidRDefault="00FD2CF4" w:rsidP="00837900">
      <w:pPr>
        <w:pStyle w:val="ListParagraph"/>
        <w:spacing w:line="240" w:lineRule="auto"/>
        <w:ind w:left="1800"/>
        <w:rPr>
          <w:sz w:val="40"/>
          <w:szCs w:val="40"/>
        </w:rPr>
      </w:pPr>
      <w:r w:rsidRPr="00FD2CF4">
        <w:rPr>
          <w:sz w:val="40"/>
          <w:szCs w:val="40"/>
        </w:rPr>
        <w:t>URL:</w:t>
      </w:r>
      <w:r>
        <w:rPr>
          <w:sz w:val="40"/>
          <w:szCs w:val="40"/>
        </w:rPr>
        <w:t xml:space="preserve"> </w:t>
      </w:r>
      <w:hyperlink r:id="rId10" w:history="1">
        <w:r w:rsidRPr="00FD2CF4">
          <w:rPr>
            <w:rStyle w:val="Hyperlink"/>
            <w:sz w:val="40"/>
            <w:szCs w:val="40"/>
          </w:rPr>
          <w:t>https://support.apple.com/en-us/102772</w:t>
        </w:r>
      </w:hyperlink>
    </w:p>
    <w:p w:rsidR="00FD2CF4" w:rsidRDefault="00FD2CF4" w:rsidP="00FD2CF4">
      <w:pPr>
        <w:pStyle w:val="ListParagraph"/>
        <w:spacing w:line="240" w:lineRule="auto"/>
        <w:ind w:left="1800"/>
        <w:rPr>
          <w:sz w:val="40"/>
          <w:szCs w:val="40"/>
        </w:rPr>
      </w:pPr>
    </w:p>
    <w:p w:rsidR="00837900" w:rsidRDefault="00837900" w:rsidP="00837900">
      <w:pPr>
        <w:pStyle w:val="ListParagraph"/>
        <w:numPr>
          <w:ilvl w:val="0"/>
          <w:numId w:val="18"/>
        </w:numPr>
        <w:spacing w:line="240" w:lineRule="auto"/>
        <w:rPr>
          <w:sz w:val="40"/>
          <w:szCs w:val="40"/>
        </w:rPr>
      </w:pPr>
      <w:r w:rsidRPr="00837900">
        <w:rPr>
          <w:b/>
          <w:bCs/>
          <w:sz w:val="40"/>
          <w:szCs w:val="40"/>
        </w:rPr>
        <w:lastRenderedPageBreak/>
        <w:t>Lenovo</w:t>
      </w:r>
      <w:r>
        <w:rPr>
          <w:b/>
          <w:bCs/>
          <w:sz w:val="40"/>
          <w:szCs w:val="40"/>
        </w:rPr>
        <w:t>:</w:t>
      </w:r>
      <w:r w:rsidRPr="00837900">
        <w:t xml:space="preserve"> </w:t>
      </w:r>
      <w:r w:rsidRPr="00837900">
        <w:rPr>
          <w:sz w:val="40"/>
          <w:szCs w:val="40"/>
        </w:rPr>
        <w:t>Lenovo post EOS dates at least 90 days before the actual EOS date and in most cases longer.</w:t>
      </w:r>
      <w:r>
        <w:rPr>
          <w:sz w:val="40"/>
          <w:szCs w:val="40"/>
        </w:rPr>
        <w:t xml:space="preserve"> R</w:t>
      </w:r>
      <w:r w:rsidRPr="00837900">
        <w:rPr>
          <w:sz w:val="40"/>
          <w:szCs w:val="40"/>
        </w:rPr>
        <w:t>eplacement parts are available for a minimum of 5 years after the date of sale</w:t>
      </w:r>
      <w:r>
        <w:rPr>
          <w:sz w:val="40"/>
          <w:szCs w:val="40"/>
        </w:rPr>
        <w:t>.</w:t>
      </w:r>
    </w:p>
    <w:p w:rsidR="00837900" w:rsidRDefault="00837900" w:rsidP="00837900">
      <w:pPr>
        <w:pStyle w:val="ListParagraph"/>
        <w:spacing w:line="240" w:lineRule="auto"/>
        <w:ind w:left="1800"/>
        <w:rPr>
          <w:sz w:val="40"/>
          <w:szCs w:val="40"/>
        </w:rPr>
      </w:pPr>
      <w:r w:rsidRPr="00837900">
        <w:rPr>
          <w:sz w:val="40"/>
          <w:szCs w:val="40"/>
        </w:rPr>
        <w:t>URL:</w:t>
      </w:r>
      <w:r w:rsidRPr="00837900">
        <w:t xml:space="preserve"> </w:t>
      </w:r>
      <w:hyperlink r:id="rId11" w:history="1">
        <w:r w:rsidRPr="00837900">
          <w:rPr>
            <w:rStyle w:val="Hyperlink"/>
            <w:sz w:val="40"/>
            <w:szCs w:val="40"/>
          </w:rPr>
          <w:t>https://support.lenovo.com/in/en/solutions/ht504708-lenovo-end-of-service-dates-for-serversstoragenetworking-products</w:t>
        </w:r>
      </w:hyperlink>
    </w:p>
    <w:p w:rsidR="00837900" w:rsidRDefault="00837900" w:rsidP="00837900">
      <w:pPr>
        <w:pStyle w:val="ListParagraph"/>
        <w:spacing w:line="240" w:lineRule="auto"/>
        <w:ind w:left="1800"/>
        <w:rPr>
          <w:sz w:val="40"/>
          <w:szCs w:val="40"/>
        </w:rPr>
      </w:pPr>
    </w:p>
    <w:p w:rsidR="00837900" w:rsidRPr="00837900" w:rsidRDefault="00837900" w:rsidP="00227E6A">
      <w:pPr>
        <w:pStyle w:val="ListParagraph"/>
        <w:spacing w:line="240" w:lineRule="auto"/>
        <w:ind w:left="1800"/>
        <w:rPr>
          <w:sz w:val="40"/>
          <w:szCs w:val="40"/>
        </w:rPr>
      </w:pPr>
    </w:p>
    <w:sectPr w:rsidR="00837900" w:rsidRPr="00837900" w:rsidSect="00BA41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2605"/>
    <w:multiLevelType w:val="hybridMultilevel"/>
    <w:tmpl w:val="EC2E4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573E0"/>
    <w:multiLevelType w:val="hybridMultilevel"/>
    <w:tmpl w:val="4992B2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FB0534"/>
    <w:multiLevelType w:val="hybridMultilevel"/>
    <w:tmpl w:val="CEECB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557C2"/>
    <w:multiLevelType w:val="multilevel"/>
    <w:tmpl w:val="D3C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3119"/>
    <w:multiLevelType w:val="hybridMultilevel"/>
    <w:tmpl w:val="814EFA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0057EB"/>
    <w:multiLevelType w:val="hybridMultilevel"/>
    <w:tmpl w:val="46E881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CB6703"/>
    <w:multiLevelType w:val="multilevel"/>
    <w:tmpl w:val="51A2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2643F"/>
    <w:multiLevelType w:val="hybridMultilevel"/>
    <w:tmpl w:val="F1E80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DA66C6"/>
    <w:multiLevelType w:val="multilevel"/>
    <w:tmpl w:val="223E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153FB"/>
    <w:multiLevelType w:val="hybridMultilevel"/>
    <w:tmpl w:val="1EA859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007716"/>
    <w:multiLevelType w:val="hybridMultilevel"/>
    <w:tmpl w:val="65F290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862341"/>
    <w:multiLevelType w:val="multilevel"/>
    <w:tmpl w:val="773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53AD8"/>
    <w:multiLevelType w:val="multilevel"/>
    <w:tmpl w:val="71DC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126E8"/>
    <w:multiLevelType w:val="hybridMultilevel"/>
    <w:tmpl w:val="6B6214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E7560D"/>
    <w:multiLevelType w:val="multilevel"/>
    <w:tmpl w:val="E7321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C79F3"/>
    <w:multiLevelType w:val="hybridMultilevel"/>
    <w:tmpl w:val="77DC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D2097"/>
    <w:multiLevelType w:val="hybridMultilevel"/>
    <w:tmpl w:val="3C0E5BC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915B1"/>
    <w:multiLevelType w:val="hybridMultilevel"/>
    <w:tmpl w:val="A050B0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2415815">
    <w:abstractNumId w:val="2"/>
  </w:num>
  <w:num w:numId="2" w16cid:durableId="1989283875">
    <w:abstractNumId w:val="14"/>
  </w:num>
  <w:num w:numId="3" w16cid:durableId="1829976175">
    <w:abstractNumId w:val="11"/>
  </w:num>
  <w:num w:numId="4" w16cid:durableId="222521328">
    <w:abstractNumId w:val="7"/>
  </w:num>
  <w:num w:numId="5" w16cid:durableId="1414283002">
    <w:abstractNumId w:val="13"/>
  </w:num>
  <w:num w:numId="6" w16cid:durableId="1997681530">
    <w:abstractNumId w:val="0"/>
  </w:num>
  <w:num w:numId="7" w16cid:durableId="1337341778">
    <w:abstractNumId w:val="17"/>
  </w:num>
  <w:num w:numId="8" w16cid:durableId="1387485164">
    <w:abstractNumId w:val="6"/>
  </w:num>
  <w:num w:numId="9" w16cid:durableId="1126004521">
    <w:abstractNumId w:val="12"/>
  </w:num>
  <w:num w:numId="10" w16cid:durableId="567886931">
    <w:abstractNumId w:val="15"/>
  </w:num>
  <w:num w:numId="11" w16cid:durableId="1937665815">
    <w:abstractNumId w:val="16"/>
  </w:num>
  <w:num w:numId="12" w16cid:durableId="2071414979">
    <w:abstractNumId w:val="9"/>
  </w:num>
  <w:num w:numId="13" w16cid:durableId="1634746909">
    <w:abstractNumId w:val="4"/>
  </w:num>
  <w:num w:numId="14" w16cid:durableId="755440786">
    <w:abstractNumId w:val="3"/>
  </w:num>
  <w:num w:numId="15" w16cid:durableId="318115340">
    <w:abstractNumId w:val="1"/>
  </w:num>
  <w:num w:numId="16" w16cid:durableId="172302132">
    <w:abstractNumId w:val="8"/>
  </w:num>
  <w:num w:numId="17" w16cid:durableId="1684623559">
    <w:abstractNumId w:val="5"/>
  </w:num>
  <w:num w:numId="18" w16cid:durableId="4739858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FF"/>
    <w:rsid w:val="000C2F7C"/>
    <w:rsid w:val="000C7C8B"/>
    <w:rsid w:val="00227E6A"/>
    <w:rsid w:val="00354B7E"/>
    <w:rsid w:val="00431A2E"/>
    <w:rsid w:val="00585334"/>
    <w:rsid w:val="00637608"/>
    <w:rsid w:val="00642B9F"/>
    <w:rsid w:val="00837900"/>
    <w:rsid w:val="00A2682D"/>
    <w:rsid w:val="00BA41FF"/>
    <w:rsid w:val="00C76111"/>
    <w:rsid w:val="00E242A7"/>
    <w:rsid w:val="00EB0A4E"/>
    <w:rsid w:val="00FA52B9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CACB"/>
  <w15:chartTrackingRefBased/>
  <w15:docId w15:val="{C03354B8-989C-4CF8-A6E4-E562CD37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1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1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1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1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1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1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1F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2A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D2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support.lenovo.com/in/en/solutions/ht504708-lenovo-end-of-service-dates-for-serversstoragenetworking-products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support.apple.com/en-us/102772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65EEA8-3756-4C69-9BC4-F9F6F7CB62AC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FB72D8-BF6F-4910-A58E-1F90E9317595}">
      <dgm:prSet phldrT="[Text]"/>
      <dgm:spPr/>
      <dgm:t>
        <a:bodyPr/>
        <a:lstStyle/>
        <a:p>
          <a:pPr algn="ctr"/>
          <a:r>
            <a:rPr lang="en-US"/>
            <a:t>New</a:t>
          </a:r>
        </a:p>
        <a:p>
          <a:pPr algn="ctr"/>
          <a:r>
            <a:rPr lang="en-US"/>
            <a:t>Purchase</a:t>
          </a:r>
        </a:p>
      </dgm:t>
    </dgm:pt>
    <dgm:pt modelId="{063AFF7C-14D3-44EB-A61B-92DCE9512993}" type="parTrans" cxnId="{2FF75E53-72E0-49AF-88DD-FDD0CCF47932}">
      <dgm:prSet/>
      <dgm:spPr/>
      <dgm:t>
        <a:bodyPr/>
        <a:lstStyle/>
        <a:p>
          <a:pPr algn="ctr"/>
          <a:endParaRPr lang="en-US"/>
        </a:p>
      </dgm:t>
    </dgm:pt>
    <dgm:pt modelId="{FA766473-2B38-4F7C-B678-C0D02B5AE5C9}" type="sibTrans" cxnId="{2FF75E53-72E0-49AF-88DD-FDD0CCF47932}">
      <dgm:prSet/>
      <dgm:spPr/>
      <dgm:t>
        <a:bodyPr/>
        <a:lstStyle/>
        <a:p>
          <a:pPr algn="ctr"/>
          <a:endParaRPr lang="en-US"/>
        </a:p>
      </dgm:t>
    </dgm:pt>
    <dgm:pt modelId="{56F1C4B4-E17F-4A0E-97CB-9E93CED2C4F3}">
      <dgm:prSet phldrT="[Text]"/>
      <dgm:spPr/>
      <dgm:t>
        <a:bodyPr/>
        <a:lstStyle/>
        <a:p>
          <a:pPr algn="ctr"/>
          <a:r>
            <a:rPr lang="en-US"/>
            <a:t>Optimum</a:t>
          </a:r>
        </a:p>
        <a:p>
          <a:pPr algn="ctr"/>
          <a:r>
            <a:rPr lang="en-US"/>
            <a:t>Performance</a:t>
          </a:r>
        </a:p>
      </dgm:t>
    </dgm:pt>
    <dgm:pt modelId="{65E93DD9-B746-4F9A-BF8C-599AF20D148F}" type="parTrans" cxnId="{42196ABF-2940-413A-AD6F-3FB899724396}">
      <dgm:prSet/>
      <dgm:spPr/>
      <dgm:t>
        <a:bodyPr/>
        <a:lstStyle/>
        <a:p>
          <a:pPr algn="ctr"/>
          <a:endParaRPr lang="en-US"/>
        </a:p>
      </dgm:t>
    </dgm:pt>
    <dgm:pt modelId="{47DCAEA2-64FB-4F8F-B263-234CE9739278}" type="sibTrans" cxnId="{42196ABF-2940-413A-AD6F-3FB899724396}">
      <dgm:prSet/>
      <dgm:spPr/>
      <dgm:t>
        <a:bodyPr/>
        <a:lstStyle/>
        <a:p>
          <a:pPr algn="ctr"/>
          <a:endParaRPr lang="en-US"/>
        </a:p>
      </dgm:t>
    </dgm:pt>
    <dgm:pt modelId="{B191417D-BF4F-4D42-A131-EAB585349A8A}">
      <dgm:prSet phldrT="[Text]"/>
      <dgm:spPr/>
      <dgm:t>
        <a:bodyPr/>
        <a:lstStyle/>
        <a:p>
          <a:pPr algn="ctr"/>
          <a:r>
            <a:rPr lang="en-US"/>
            <a:t>End of OEM</a:t>
          </a:r>
        </a:p>
        <a:p>
          <a:pPr algn="ctr"/>
          <a:r>
            <a:rPr lang="en-US"/>
            <a:t>warranty</a:t>
          </a:r>
        </a:p>
      </dgm:t>
    </dgm:pt>
    <dgm:pt modelId="{14F7FCBC-E72F-45C1-B912-91E43BC01447}" type="parTrans" cxnId="{4C5019B4-DFCC-47B3-A0B7-EE67DB8CC84A}">
      <dgm:prSet/>
      <dgm:spPr/>
      <dgm:t>
        <a:bodyPr/>
        <a:lstStyle/>
        <a:p>
          <a:pPr algn="ctr"/>
          <a:endParaRPr lang="en-US"/>
        </a:p>
      </dgm:t>
    </dgm:pt>
    <dgm:pt modelId="{832EB1D7-FAF8-4FD1-8AE6-D1A5D4F8CDA8}" type="sibTrans" cxnId="{4C5019B4-DFCC-47B3-A0B7-EE67DB8CC84A}">
      <dgm:prSet/>
      <dgm:spPr/>
      <dgm:t>
        <a:bodyPr/>
        <a:lstStyle/>
        <a:p>
          <a:pPr algn="ctr"/>
          <a:endParaRPr lang="en-US"/>
        </a:p>
      </dgm:t>
    </dgm:pt>
    <dgm:pt modelId="{4CF8EF79-9A39-43CF-AEE7-81012E21A0E2}">
      <dgm:prSet phldrT="[Text]"/>
      <dgm:spPr/>
      <dgm:t>
        <a:bodyPr/>
        <a:lstStyle/>
        <a:p>
          <a:pPr algn="ctr"/>
          <a:r>
            <a:rPr lang="en-US"/>
            <a:t>Device becomes</a:t>
          </a:r>
        </a:p>
        <a:p>
          <a:pPr algn="ctr"/>
          <a:r>
            <a:rPr lang="en-US"/>
            <a:t>legacy</a:t>
          </a:r>
        </a:p>
      </dgm:t>
    </dgm:pt>
    <dgm:pt modelId="{E997813C-CF65-418E-88EF-586C24F523D3}" type="parTrans" cxnId="{2C65D99B-D09F-4747-801C-A59B5B8A32A1}">
      <dgm:prSet/>
      <dgm:spPr/>
      <dgm:t>
        <a:bodyPr/>
        <a:lstStyle/>
        <a:p>
          <a:pPr algn="ctr"/>
          <a:endParaRPr lang="en-US"/>
        </a:p>
      </dgm:t>
    </dgm:pt>
    <dgm:pt modelId="{51C0B3F3-2AAE-435B-81E7-A5EC1572F664}" type="sibTrans" cxnId="{2C65D99B-D09F-4747-801C-A59B5B8A32A1}">
      <dgm:prSet/>
      <dgm:spPr/>
      <dgm:t>
        <a:bodyPr/>
        <a:lstStyle/>
        <a:p>
          <a:pPr algn="ctr"/>
          <a:endParaRPr lang="en-US"/>
        </a:p>
      </dgm:t>
    </dgm:pt>
    <dgm:pt modelId="{D871A906-B334-4212-AECC-4390CFB1A072}">
      <dgm:prSet phldrT="[Text]"/>
      <dgm:spPr/>
      <dgm:t>
        <a:bodyPr/>
        <a:lstStyle/>
        <a:p>
          <a:pPr algn="ctr"/>
          <a:r>
            <a:rPr lang="en-US"/>
            <a:t>End of Life</a:t>
          </a:r>
        </a:p>
      </dgm:t>
    </dgm:pt>
    <dgm:pt modelId="{D5078DCE-14A6-4A3C-B414-C5CAF6F85A8E}" type="parTrans" cxnId="{0FB4D4D2-E056-4E76-8BFD-D5524E7F6ABD}">
      <dgm:prSet/>
      <dgm:spPr/>
      <dgm:t>
        <a:bodyPr/>
        <a:lstStyle/>
        <a:p>
          <a:pPr algn="ctr"/>
          <a:endParaRPr lang="en-US"/>
        </a:p>
      </dgm:t>
    </dgm:pt>
    <dgm:pt modelId="{6C765313-C248-4BD0-8909-3ED140FE9F37}" type="sibTrans" cxnId="{0FB4D4D2-E056-4E76-8BFD-D5524E7F6ABD}">
      <dgm:prSet/>
      <dgm:spPr/>
      <dgm:t>
        <a:bodyPr/>
        <a:lstStyle/>
        <a:p>
          <a:pPr algn="ctr"/>
          <a:endParaRPr lang="en-US"/>
        </a:p>
      </dgm:t>
    </dgm:pt>
    <dgm:pt modelId="{04B133F3-EA19-4C46-90F0-53B3448FBDDD}" type="pres">
      <dgm:prSet presAssocID="{C065EEA8-3756-4C69-9BC4-F9F6F7CB62AC}" presName="cycle" presStyleCnt="0">
        <dgm:presLayoutVars>
          <dgm:dir/>
          <dgm:resizeHandles val="exact"/>
        </dgm:presLayoutVars>
      </dgm:prSet>
      <dgm:spPr/>
    </dgm:pt>
    <dgm:pt modelId="{C5B4E1AB-560B-4806-86EB-6A4ECB820BF3}" type="pres">
      <dgm:prSet presAssocID="{26FB72D8-BF6F-4910-A58E-1F90E9317595}" presName="node" presStyleLbl="node1" presStyleIdx="0" presStyleCnt="5">
        <dgm:presLayoutVars>
          <dgm:bulletEnabled val="1"/>
        </dgm:presLayoutVars>
      </dgm:prSet>
      <dgm:spPr/>
    </dgm:pt>
    <dgm:pt modelId="{B8E2B22D-5F2B-4D70-B860-5A39441710C6}" type="pres">
      <dgm:prSet presAssocID="{26FB72D8-BF6F-4910-A58E-1F90E9317595}" presName="spNode" presStyleCnt="0"/>
      <dgm:spPr/>
    </dgm:pt>
    <dgm:pt modelId="{A26EB984-7441-4B3A-902A-8E5B55A1A118}" type="pres">
      <dgm:prSet presAssocID="{FA766473-2B38-4F7C-B678-C0D02B5AE5C9}" presName="sibTrans" presStyleLbl="sibTrans1D1" presStyleIdx="0" presStyleCnt="5"/>
      <dgm:spPr/>
    </dgm:pt>
    <dgm:pt modelId="{36AF66CE-3469-4C10-8423-B240213BC56F}" type="pres">
      <dgm:prSet presAssocID="{56F1C4B4-E17F-4A0E-97CB-9E93CED2C4F3}" presName="node" presStyleLbl="node1" presStyleIdx="1" presStyleCnt="5">
        <dgm:presLayoutVars>
          <dgm:bulletEnabled val="1"/>
        </dgm:presLayoutVars>
      </dgm:prSet>
      <dgm:spPr/>
    </dgm:pt>
    <dgm:pt modelId="{07F49D23-65D7-4300-9ABC-86F247E0813F}" type="pres">
      <dgm:prSet presAssocID="{56F1C4B4-E17F-4A0E-97CB-9E93CED2C4F3}" presName="spNode" presStyleCnt="0"/>
      <dgm:spPr/>
    </dgm:pt>
    <dgm:pt modelId="{FB247E40-473D-42FA-BB03-FA06C1CF94CB}" type="pres">
      <dgm:prSet presAssocID="{47DCAEA2-64FB-4F8F-B263-234CE9739278}" presName="sibTrans" presStyleLbl="sibTrans1D1" presStyleIdx="1" presStyleCnt="5"/>
      <dgm:spPr/>
    </dgm:pt>
    <dgm:pt modelId="{7B2DAE92-DAFE-4CDA-9A7F-762B8EA416FB}" type="pres">
      <dgm:prSet presAssocID="{B191417D-BF4F-4D42-A131-EAB585349A8A}" presName="node" presStyleLbl="node1" presStyleIdx="2" presStyleCnt="5">
        <dgm:presLayoutVars>
          <dgm:bulletEnabled val="1"/>
        </dgm:presLayoutVars>
      </dgm:prSet>
      <dgm:spPr/>
    </dgm:pt>
    <dgm:pt modelId="{F6E8863E-0D0B-4B1A-8907-59C12357E9D8}" type="pres">
      <dgm:prSet presAssocID="{B191417D-BF4F-4D42-A131-EAB585349A8A}" presName="spNode" presStyleCnt="0"/>
      <dgm:spPr/>
    </dgm:pt>
    <dgm:pt modelId="{51929419-218F-4DFA-A62C-BB7135876289}" type="pres">
      <dgm:prSet presAssocID="{832EB1D7-FAF8-4FD1-8AE6-D1A5D4F8CDA8}" presName="sibTrans" presStyleLbl="sibTrans1D1" presStyleIdx="2" presStyleCnt="5"/>
      <dgm:spPr/>
    </dgm:pt>
    <dgm:pt modelId="{271AA837-1DBF-45CE-AC2E-0DE563D0ECAE}" type="pres">
      <dgm:prSet presAssocID="{4CF8EF79-9A39-43CF-AEE7-81012E21A0E2}" presName="node" presStyleLbl="node1" presStyleIdx="3" presStyleCnt="5">
        <dgm:presLayoutVars>
          <dgm:bulletEnabled val="1"/>
        </dgm:presLayoutVars>
      </dgm:prSet>
      <dgm:spPr/>
    </dgm:pt>
    <dgm:pt modelId="{4AAB07EB-7EB8-4485-BCE6-86D8794446C1}" type="pres">
      <dgm:prSet presAssocID="{4CF8EF79-9A39-43CF-AEE7-81012E21A0E2}" presName="spNode" presStyleCnt="0"/>
      <dgm:spPr/>
    </dgm:pt>
    <dgm:pt modelId="{4BD8128E-2680-431A-A92A-291DEF305F29}" type="pres">
      <dgm:prSet presAssocID="{51C0B3F3-2AAE-435B-81E7-A5EC1572F664}" presName="sibTrans" presStyleLbl="sibTrans1D1" presStyleIdx="3" presStyleCnt="5"/>
      <dgm:spPr/>
    </dgm:pt>
    <dgm:pt modelId="{B559B797-2AE7-40DC-8358-3E09A068D392}" type="pres">
      <dgm:prSet presAssocID="{D871A906-B334-4212-AECC-4390CFB1A072}" presName="node" presStyleLbl="node1" presStyleIdx="4" presStyleCnt="5">
        <dgm:presLayoutVars>
          <dgm:bulletEnabled val="1"/>
        </dgm:presLayoutVars>
      </dgm:prSet>
      <dgm:spPr/>
    </dgm:pt>
    <dgm:pt modelId="{B4FFD5AF-AA88-4366-8DFE-606B5352E79B}" type="pres">
      <dgm:prSet presAssocID="{D871A906-B334-4212-AECC-4390CFB1A072}" presName="spNode" presStyleCnt="0"/>
      <dgm:spPr/>
    </dgm:pt>
    <dgm:pt modelId="{ACE9C970-D969-4C5A-8144-33BACE326119}" type="pres">
      <dgm:prSet presAssocID="{6C765313-C248-4BD0-8909-3ED140FE9F37}" presName="sibTrans" presStyleLbl="sibTrans1D1" presStyleIdx="4" presStyleCnt="5"/>
      <dgm:spPr/>
    </dgm:pt>
  </dgm:ptLst>
  <dgm:cxnLst>
    <dgm:cxn modelId="{98A4E533-EC41-4480-AA39-FC30FCE9BCFB}" type="presOf" srcId="{56F1C4B4-E17F-4A0E-97CB-9E93CED2C4F3}" destId="{36AF66CE-3469-4C10-8423-B240213BC56F}" srcOrd="0" destOrd="0" presId="urn:microsoft.com/office/officeart/2005/8/layout/cycle5"/>
    <dgm:cxn modelId="{58D76E44-8334-4CA1-A0F3-4FAC0ABFD506}" type="presOf" srcId="{B191417D-BF4F-4D42-A131-EAB585349A8A}" destId="{7B2DAE92-DAFE-4CDA-9A7F-762B8EA416FB}" srcOrd="0" destOrd="0" presId="urn:microsoft.com/office/officeart/2005/8/layout/cycle5"/>
    <dgm:cxn modelId="{59846E48-6FF1-4424-BE46-43BFF5F9E8F8}" type="presOf" srcId="{47DCAEA2-64FB-4F8F-B263-234CE9739278}" destId="{FB247E40-473D-42FA-BB03-FA06C1CF94CB}" srcOrd="0" destOrd="0" presId="urn:microsoft.com/office/officeart/2005/8/layout/cycle5"/>
    <dgm:cxn modelId="{C6DF296C-3EF4-443F-9B5C-90FEF142B64D}" type="presOf" srcId="{4CF8EF79-9A39-43CF-AEE7-81012E21A0E2}" destId="{271AA837-1DBF-45CE-AC2E-0DE563D0ECAE}" srcOrd="0" destOrd="0" presId="urn:microsoft.com/office/officeart/2005/8/layout/cycle5"/>
    <dgm:cxn modelId="{EF8DA56C-8BCF-4F97-A58C-8E1C4917945A}" type="presOf" srcId="{832EB1D7-FAF8-4FD1-8AE6-D1A5D4F8CDA8}" destId="{51929419-218F-4DFA-A62C-BB7135876289}" srcOrd="0" destOrd="0" presId="urn:microsoft.com/office/officeart/2005/8/layout/cycle5"/>
    <dgm:cxn modelId="{2FF75E53-72E0-49AF-88DD-FDD0CCF47932}" srcId="{C065EEA8-3756-4C69-9BC4-F9F6F7CB62AC}" destId="{26FB72D8-BF6F-4910-A58E-1F90E9317595}" srcOrd="0" destOrd="0" parTransId="{063AFF7C-14D3-44EB-A61B-92DCE9512993}" sibTransId="{FA766473-2B38-4F7C-B678-C0D02B5AE5C9}"/>
    <dgm:cxn modelId="{12D01B90-89C8-4C9B-B3EB-189AF201F8CA}" type="presOf" srcId="{C065EEA8-3756-4C69-9BC4-F9F6F7CB62AC}" destId="{04B133F3-EA19-4C46-90F0-53B3448FBDDD}" srcOrd="0" destOrd="0" presId="urn:microsoft.com/office/officeart/2005/8/layout/cycle5"/>
    <dgm:cxn modelId="{A7801D97-611C-45EC-A32B-82115C801023}" type="presOf" srcId="{6C765313-C248-4BD0-8909-3ED140FE9F37}" destId="{ACE9C970-D969-4C5A-8144-33BACE326119}" srcOrd="0" destOrd="0" presId="urn:microsoft.com/office/officeart/2005/8/layout/cycle5"/>
    <dgm:cxn modelId="{2C65D99B-D09F-4747-801C-A59B5B8A32A1}" srcId="{C065EEA8-3756-4C69-9BC4-F9F6F7CB62AC}" destId="{4CF8EF79-9A39-43CF-AEE7-81012E21A0E2}" srcOrd="3" destOrd="0" parTransId="{E997813C-CF65-418E-88EF-586C24F523D3}" sibTransId="{51C0B3F3-2AAE-435B-81E7-A5EC1572F664}"/>
    <dgm:cxn modelId="{4C5019B4-DFCC-47B3-A0B7-EE67DB8CC84A}" srcId="{C065EEA8-3756-4C69-9BC4-F9F6F7CB62AC}" destId="{B191417D-BF4F-4D42-A131-EAB585349A8A}" srcOrd="2" destOrd="0" parTransId="{14F7FCBC-E72F-45C1-B912-91E43BC01447}" sibTransId="{832EB1D7-FAF8-4FD1-8AE6-D1A5D4F8CDA8}"/>
    <dgm:cxn modelId="{98D5BCB9-9C57-4B0C-AC08-935E4A0A7B8D}" type="presOf" srcId="{FA766473-2B38-4F7C-B678-C0D02B5AE5C9}" destId="{A26EB984-7441-4B3A-902A-8E5B55A1A118}" srcOrd="0" destOrd="0" presId="urn:microsoft.com/office/officeart/2005/8/layout/cycle5"/>
    <dgm:cxn modelId="{42196ABF-2940-413A-AD6F-3FB899724396}" srcId="{C065EEA8-3756-4C69-9BC4-F9F6F7CB62AC}" destId="{56F1C4B4-E17F-4A0E-97CB-9E93CED2C4F3}" srcOrd="1" destOrd="0" parTransId="{65E93DD9-B746-4F9A-BF8C-599AF20D148F}" sibTransId="{47DCAEA2-64FB-4F8F-B263-234CE9739278}"/>
    <dgm:cxn modelId="{1129A6C5-9F27-4BA3-B385-146FE351614A}" type="presOf" srcId="{51C0B3F3-2AAE-435B-81E7-A5EC1572F664}" destId="{4BD8128E-2680-431A-A92A-291DEF305F29}" srcOrd="0" destOrd="0" presId="urn:microsoft.com/office/officeart/2005/8/layout/cycle5"/>
    <dgm:cxn modelId="{0FB4D4D2-E056-4E76-8BFD-D5524E7F6ABD}" srcId="{C065EEA8-3756-4C69-9BC4-F9F6F7CB62AC}" destId="{D871A906-B334-4212-AECC-4390CFB1A072}" srcOrd="4" destOrd="0" parTransId="{D5078DCE-14A6-4A3C-B414-C5CAF6F85A8E}" sibTransId="{6C765313-C248-4BD0-8909-3ED140FE9F37}"/>
    <dgm:cxn modelId="{6D6C0AF7-8AC4-4E26-B69B-53E32857B175}" type="presOf" srcId="{D871A906-B334-4212-AECC-4390CFB1A072}" destId="{B559B797-2AE7-40DC-8358-3E09A068D392}" srcOrd="0" destOrd="0" presId="urn:microsoft.com/office/officeart/2005/8/layout/cycle5"/>
    <dgm:cxn modelId="{8AA230FF-A66E-4E22-806A-FADF4E2B855D}" type="presOf" srcId="{26FB72D8-BF6F-4910-A58E-1F90E9317595}" destId="{C5B4E1AB-560B-4806-86EB-6A4ECB820BF3}" srcOrd="0" destOrd="0" presId="urn:microsoft.com/office/officeart/2005/8/layout/cycle5"/>
    <dgm:cxn modelId="{2C6FDFBE-C01F-4247-B7D0-E6728507205C}" type="presParOf" srcId="{04B133F3-EA19-4C46-90F0-53B3448FBDDD}" destId="{C5B4E1AB-560B-4806-86EB-6A4ECB820BF3}" srcOrd="0" destOrd="0" presId="urn:microsoft.com/office/officeart/2005/8/layout/cycle5"/>
    <dgm:cxn modelId="{DE072529-3B04-4C86-9361-669352E55E1A}" type="presParOf" srcId="{04B133F3-EA19-4C46-90F0-53B3448FBDDD}" destId="{B8E2B22D-5F2B-4D70-B860-5A39441710C6}" srcOrd="1" destOrd="0" presId="urn:microsoft.com/office/officeart/2005/8/layout/cycle5"/>
    <dgm:cxn modelId="{9A4F25E8-61AA-4592-B57B-16247FA89B45}" type="presParOf" srcId="{04B133F3-EA19-4C46-90F0-53B3448FBDDD}" destId="{A26EB984-7441-4B3A-902A-8E5B55A1A118}" srcOrd="2" destOrd="0" presId="urn:microsoft.com/office/officeart/2005/8/layout/cycle5"/>
    <dgm:cxn modelId="{914D706B-1EBE-4B71-BD2A-33DE79696F37}" type="presParOf" srcId="{04B133F3-EA19-4C46-90F0-53B3448FBDDD}" destId="{36AF66CE-3469-4C10-8423-B240213BC56F}" srcOrd="3" destOrd="0" presId="urn:microsoft.com/office/officeart/2005/8/layout/cycle5"/>
    <dgm:cxn modelId="{E391EE23-6202-44AE-8ED6-F4C5C422B82C}" type="presParOf" srcId="{04B133F3-EA19-4C46-90F0-53B3448FBDDD}" destId="{07F49D23-65D7-4300-9ABC-86F247E0813F}" srcOrd="4" destOrd="0" presId="urn:microsoft.com/office/officeart/2005/8/layout/cycle5"/>
    <dgm:cxn modelId="{FE4B9F0E-40D6-42E6-A9DF-31351BB3ABC6}" type="presParOf" srcId="{04B133F3-EA19-4C46-90F0-53B3448FBDDD}" destId="{FB247E40-473D-42FA-BB03-FA06C1CF94CB}" srcOrd="5" destOrd="0" presId="urn:microsoft.com/office/officeart/2005/8/layout/cycle5"/>
    <dgm:cxn modelId="{5EB2F8F6-C689-490F-BC23-6E63EC848B80}" type="presParOf" srcId="{04B133F3-EA19-4C46-90F0-53B3448FBDDD}" destId="{7B2DAE92-DAFE-4CDA-9A7F-762B8EA416FB}" srcOrd="6" destOrd="0" presId="urn:microsoft.com/office/officeart/2005/8/layout/cycle5"/>
    <dgm:cxn modelId="{CA770653-283A-479C-A22A-D847FFE323B2}" type="presParOf" srcId="{04B133F3-EA19-4C46-90F0-53B3448FBDDD}" destId="{F6E8863E-0D0B-4B1A-8907-59C12357E9D8}" srcOrd="7" destOrd="0" presId="urn:microsoft.com/office/officeart/2005/8/layout/cycle5"/>
    <dgm:cxn modelId="{F6ABE21F-C0DB-4A9C-8E71-03B3EDE6D9B3}" type="presParOf" srcId="{04B133F3-EA19-4C46-90F0-53B3448FBDDD}" destId="{51929419-218F-4DFA-A62C-BB7135876289}" srcOrd="8" destOrd="0" presId="urn:microsoft.com/office/officeart/2005/8/layout/cycle5"/>
    <dgm:cxn modelId="{59C295E0-0C0D-47DC-BDED-DA06BA1A374B}" type="presParOf" srcId="{04B133F3-EA19-4C46-90F0-53B3448FBDDD}" destId="{271AA837-1DBF-45CE-AC2E-0DE563D0ECAE}" srcOrd="9" destOrd="0" presId="urn:microsoft.com/office/officeart/2005/8/layout/cycle5"/>
    <dgm:cxn modelId="{939D7637-B04C-4B00-80B5-DAAEE7C91E86}" type="presParOf" srcId="{04B133F3-EA19-4C46-90F0-53B3448FBDDD}" destId="{4AAB07EB-7EB8-4485-BCE6-86D8794446C1}" srcOrd="10" destOrd="0" presId="urn:microsoft.com/office/officeart/2005/8/layout/cycle5"/>
    <dgm:cxn modelId="{7A677A2F-17F9-4451-AA6F-1DAD41025429}" type="presParOf" srcId="{04B133F3-EA19-4C46-90F0-53B3448FBDDD}" destId="{4BD8128E-2680-431A-A92A-291DEF305F29}" srcOrd="11" destOrd="0" presId="urn:microsoft.com/office/officeart/2005/8/layout/cycle5"/>
    <dgm:cxn modelId="{0A4D6C32-D6A2-4FA7-9717-F99B9D8EC652}" type="presParOf" srcId="{04B133F3-EA19-4C46-90F0-53B3448FBDDD}" destId="{B559B797-2AE7-40DC-8358-3E09A068D392}" srcOrd="12" destOrd="0" presId="urn:microsoft.com/office/officeart/2005/8/layout/cycle5"/>
    <dgm:cxn modelId="{71198B59-A1B1-4D33-A541-CE071822A25A}" type="presParOf" srcId="{04B133F3-EA19-4C46-90F0-53B3448FBDDD}" destId="{B4FFD5AF-AA88-4366-8DFE-606B5352E79B}" srcOrd="13" destOrd="0" presId="urn:microsoft.com/office/officeart/2005/8/layout/cycle5"/>
    <dgm:cxn modelId="{DC5604C6-E164-4423-BE1F-3FE972D75B3A}" type="presParOf" srcId="{04B133F3-EA19-4C46-90F0-53B3448FBDDD}" destId="{ACE9C970-D969-4C5A-8144-33BACE326119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B4E1AB-560B-4806-86EB-6A4ECB820BF3}">
      <dsp:nvSpPr>
        <dsp:cNvPr id="0" name=""/>
        <dsp:cNvSpPr/>
      </dsp:nvSpPr>
      <dsp:spPr>
        <a:xfrm>
          <a:off x="1763861" y="954"/>
          <a:ext cx="1314620" cy="8545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New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Purchase</a:t>
          </a:r>
        </a:p>
      </dsp:txBody>
      <dsp:txXfrm>
        <a:off x="1805574" y="42667"/>
        <a:ext cx="1231194" cy="771077"/>
      </dsp:txXfrm>
    </dsp:sp>
    <dsp:sp modelId="{A26EB984-7441-4B3A-902A-8E5B55A1A118}">
      <dsp:nvSpPr>
        <dsp:cNvPr id="0" name=""/>
        <dsp:cNvSpPr/>
      </dsp:nvSpPr>
      <dsp:spPr>
        <a:xfrm>
          <a:off x="712322" y="428205"/>
          <a:ext cx="3417699" cy="3417699"/>
        </a:xfrm>
        <a:custGeom>
          <a:avLst/>
          <a:gdLst/>
          <a:ahLst/>
          <a:cxnLst/>
          <a:rect l="0" t="0" r="0" b="0"/>
          <a:pathLst>
            <a:path>
              <a:moveTo>
                <a:pt x="2542676" y="217239"/>
              </a:moveTo>
              <a:arcTo wR="1708849" hR="1708849" stAng="17952341" swAng="121327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F66CE-3469-4C10-8423-B240213BC56F}">
      <dsp:nvSpPr>
        <dsp:cNvPr id="0" name=""/>
        <dsp:cNvSpPr/>
      </dsp:nvSpPr>
      <dsp:spPr>
        <a:xfrm>
          <a:off x="3389074" y="1181740"/>
          <a:ext cx="1314620" cy="8545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Optimum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Performance</a:t>
          </a:r>
        </a:p>
      </dsp:txBody>
      <dsp:txXfrm>
        <a:off x="3430787" y="1223453"/>
        <a:ext cx="1231194" cy="771077"/>
      </dsp:txXfrm>
    </dsp:sp>
    <dsp:sp modelId="{FB247E40-473D-42FA-BB03-FA06C1CF94CB}">
      <dsp:nvSpPr>
        <dsp:cNvPr id="0" name=""/>
        <dsp:cNvSpPr/>
      </dsp:nvSpPr>
      <dsp:spPr>
        <a:xfrm>
          <a:off x="712322" y="428205"/>
          <a:ext cx="3417699" cy="3417699"/>
        </a:xfrm>
        <a:custGeom>
          <a:avLst/>
          <a:gdLst/>
          <a:ahLst/>
          <a:cxnLst/>
          <a:rect l="0" t="0" r="0" b="0"/>
          <a:pathLst>
            <a:path>
              <a:moveTo>
                <a:pt x="3413620" y="1826858"/>
              </a:moveTo>
              <a:arcTo wR="1708849" hR="1708849" stAng="21837590" swAng="136107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DAE92-DAFE-4CDA-9A7F-762B8EA416FB}">
      <dsp:nvSpPr>
        <dsp:cNvPr id="0" name=""/>
        <dsp:cNvSpPr/>
      </dsp:nvSpPr>
      <dsp:spPr>
        <a:xfrm>
          <a:off x="2768298" y="3092292"/>
          <a:ext cx="1314620" cy="8545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End of OEM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warranty</a:t>
          </a:r>
        </a:p>
      </dsp:txBody>
      <dsp:txXfrm>
        <a:off x="2810011" y="3134005"/>
        <a:ext cx="1231194" cy="771077"/>
      </dsp:txXfrm>
    </dsp:sp>
    <dsp:sp modelId="{51929419-218F-4DFA-A62C-BB7135876289}">
      <dsp:nvSpPr>
        <dsp:cNvPr id="0" name=""/>
        <dsp:cNvSpPr/>
      </dsp:nvSpPr>
      <dsp:spPr>
        <a:xfrm>
          <a:off x="712322" y="428205"/>
          <a:ext cx="3417699" cy="3417699"/>
        </a:xfrm>
        <a:custGeom>
          <a:avLst/>
          <a:gdLst/>
          <a:ahLst/>
          <a:cxnLst/>
          <a:rect l="0" t="0" r="0" b="0"/>
          <a:pathLst>
            <a:path>
              <a:moveTo>
                <a:pt x="1919024" y="3404725"/>
              </a:moveTo>
              <a:arcTo wR="1708849" hR="1708849" stAng="4976111" swAng="84777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AA837-1DBF-45CE-AC2E-0DE563D0ECAE}">
      <dsp:nvSpPr>
        <dsp:cNvPr id="0" name=""/>
        <dsp:cNvSpPr/>
      </dsp:nvSpPr>
      <dsp:spPr>
        <a:xfrm>
          <a:off x="759424" y="3092292"/>
          <a:ext cx="1314620" cy="8545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Device becomes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legacy</a:t>
          </a:r>
        </a:p>
      </dsp:txBody>
      <dsp:txXfrm>
        <a:off x="801137" y="3134005"/>
        <a:ext cx="1231194" cy="771077"/>
      </dsp:txXfrm>
    </dsp:sp>
    <dsp:sp modelId="{4BD8128E-2680-431A-A92A-291DEF305F29}">
      <dsp:nvSpPr>
        <dsp:cNvPr id="0" name=""/>
        <dsp:cNvSpPr/>
      </dsp:nvSpPr>
      <dsp:spPr>
        <a:xfrm>
          <a:off x="712322" y="428205"/>
          <a:ext cx="3417699" cy="3417699"/>
        </a:xfrm>
        <a:custGeom>
          <a:avLst/>
          <a:gdLst/>
          <a:ahLst/>
          <a:cxnLst/>
          <a:rect l="0" t="0" r="0" b="0"/>
          <a:pathLst>
            <a:path>
              <a:moveTo>
                <a:pt x="181467" y="2475185"/>
              </a:moveTo>
              <a:arcTo wR="1708849" hR="1708849" stAng="9201339" swAng="136107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9B797-2AE7-40DC-8358-3E09A068D392}">
      <dsp:nvSpPr>
        <dsp:cNvPr id="0" name=""/>
        <dsp:cNvSpPr/>
      </dsp:nvSpPr>
      <dsp:spPr>
        <a:xfrm>
          <a:off x="138648" y="1181740"/>
          <a:ext cx="1314620" cy="8545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End of Life</a:t>
          </a:r>
        </a:p>
      </dsp:txBody>
      <dsp:txXfrm>
        <a:off x="180361" y="1223453"/>
        <a:ext cx="1231194" cy="771077"/>
      </dsp:txXfrm>
    </dsp:sp>
    <dsp:sp modelId="{ACE9C970-D969-4C5A-8144-33BACE326119}">
      <dsp:nvSpPr>
        <dsp:cNvPr id="0" name=""/>
        <dsp:cNvSpPr/>
      </dsp:nvSpPr>
      <dsp:spPr>
        <a:xfrm>
          <a:off x="712322" y="428205"/>
          <a:ext cx="3417699" cy="3417699"/>
        </a:xfrm>
        <a:custGeom>
          <a:avLst/>
          <a:gdLst/>
          <a:ahLst/>
          <a:cxnLst/>
          <a:rect l="0" t="0" r="0" b="0"/>
          <a:pathLst>
            <a:path>
              <a:moveTo>
                <a:pt x="410846" y="597384"/>
              </a:moveTo>
              <a:arcTo wR="1708849" hR="1708849" stAng="13234383" swAng="121327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Barde</dc:creator>
  <cp:keywords/>
  <dc:description/>
  <cp:lastModifiedBy>Aditi Barde</cp:lastModifiedBy>
  <cp:revision>1</cp:revision>
  <dcterms:created xsi:type="dcterms:W3CDTF">2025-02-13T06:33:00Z</dcterms:created>
  <dcterms:modified xsi:type="dcterms:W3CDTF">2025-02-13T09:09:00Z</dcterms:modified>
</cp:coreProperties>
</file>