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Team 3 – Databricks Genie Implementation</w:t>
      </w:r>
    </w:p>
    <w:p>
      <w:pPr>
        <w:jc w:val="center"/>
      </w:pPr>
      <w:r>
        <w:rPr>
          <w:i/>
        </w:rPr>
        <w:t>Pharmacy Order Fulfilment and SLA Analytics Capstone</w:t>
      </w:r>
    </w:p>
    <w:p>
      <w:r>
        <w:t>Purpose: This document records the Genie setup completed and discussed for the Team 3 capstone, explains the four views, and identifies validation items that remain to be checked.</w:t>
      </w:r>
    </w:p>
    <w:p>
      <w:pPr>
        <w:pStyle w:val="Heading1"/>
      </w:pPr>
      <w:r>
        <w:t>1. What Genie does in our project</w:t>
      </w:r>
    </w:p>
    <w:p>
      <w:r>
        <w:t>Databricks Genie is the natural-language analytics layer for our pharmacy fulfilment data. Business users can ask questions in plain English, and Genie interprets the question, generates SQL against configured sources, and returns an answer. Genie does not replace the data pipeline or underlying tables.</w:t>
      </w:r>
    </w:p>
    <w:p>
      <w:pPr>
        <w:pStyle w:val="Heading1"/>
      </w:pPr>
      <w:r>
        <w:t>2. Where Genie fits in the architecture</w:t>
      </w:r>
    </w:p>
    <w:p>
      <w:pPr>
        <w:pStyle w:val="ListBullet"/>
      </w:pPr>
      <w:r>
        <w:t>The project processes source order and delivery data through Bronze, Silver, and Gold layers in Azure Databricks.</w:t>
      </w:r>
    </w:p>
    <w:p>
      <w:pPr>
        <w:pStyle w:val="ListBullet"/>
      </w:pPr>
      <w:r>
        <w:t>Gold tables hold curated analytics data.</w:t>
      </w:r>
    </w:p>
    <w:p>
      <w:pPr>
        <w:pStyle w:val="ListBullet"/>
      </w:pPr>
      <w:r>
        <w:t>Four SQL views organise data into order-level, order-line, regional, and monthly perspectives.</w:t>
      </w:r>
    </w:p>
    <w:p>
      <w:pPr>
        <w:pStyle w:val="ListBullet"/>
      </w:pPr>
      <w:r>
        <w:t>Genie uses the selected tables/views, business instructions, example SQL, and relationship metadata to answer questions.</w:t>
      </w:r>
    </w:p>
    <w:p>
      <w:pPr>
        <w:pStyle w:val="Heading1"/>
      </w:pPr>
      <w:r>
        <w:t>3. Main Genie configuration</w:t>
      </w:r>
    </w:p>
    <w:p>
      <w:pPr>
        <w:pStyle w:val="ListBullet"/>
      </w:pPr>
      <w:r>
        <w:t>Catalog: dbwteam3</w:t>
      </w:r>
    </w:p>
    <w:p>
      <w:pPr>
        <w:pStyle w:val="ListBullet"/>
      </w:pPr>
      <w:r>
        <w:t>Schema: order_fulfillment</w:t>
      </w:r>
    </w:p>
    <w:p>
      <w:pPr>
        <w:pStyle w:val="ListBullet"/>
      </w:pPr>
      <w:r>
        <w:t>Genie space/agent: Order Fulfillment Performance</w:t>
      </w:r>
    </w:p>
    <w:p>
      <w:pPr>
        <w:pStyle w:val="ListBullet"/>
      </w:pPr>
      <w:r>
        <w:t>Reporting as-of timestamp in instructions: 2026-10-01 00:00</w:t>
      </w:r>
    </w:p>
    <w:p>
      <w:pPr>
        <w:pStyle w:val="ListBullet"/>
      </w:pPr>
      <w:r>
        <w:t>Seven sources connected: three Gold tables and four SQL views.</w:t>
      </w:r>
    </w:p>
    <w:p>
      <w:pPr>
        <w:pStyle w:val="Heading1"/>
      </w:pPr>
      <w:r>
        <w:t>4. The three Gold tables connected</w:t>
      </w:r>
    </w:p>
    <w:p>
      <w:pPr>
        <w:pStyle w:val="Heading2"/>
      </w:pPr>
      <w:r>
        <w:t>order_line_fulfilment</w:t>
      </w:r>
    </w:p>
    <w:p>
      <w:r>
        <w:t>Order-line fulfilment and quantity-level information; useful for open units and overdelivery analysis.</w:t>
      </w:r>
    </w:p>
    <w:p>
      <w:pPr>
        <w:pStyle w:val="Heading2"/>
      </w:pPr>
      <w:r>
        <w:t>order_service_performance</w:t>
      </w:r>
    </w:p>
    <w:p>
      <w:r>
        <w:t>Order-level service-performance and OTIF-related measures.</w:t>
      </w:r>
    </w:p>
    <w:p>
      <w:pPr>
        <w:pStyle w:val="Heading2"/>
      </w:pPr>
      <w:r>
        <w:t>regional_backlog</w:t>
      </w:r>
    </w:p>
    <w:p>
      <w:r>
        <w:t>Regional backlog summary data for comparing backlog across regions.</w:t>
      </w:r>
    </w:p>
    <w:p>
      <w:pPr>
        <w:pStyle w:val="Heading1"/>
      </w:pPr>
      <w:r>
        <w:t>5. The four SQL views created</w:t>
      </w:r>
    </w:p>
    <w:p>
      <w:pPr>
        <w:pStyle w:val="Heading2"/>
      </w:pPr>
      <w:r>
        <w:t>v_order_performance</w:t>
      </w:r>
    </w:p>
    <w:p>
      <w:r>
        <w:t>One row per order. Used for order-level OTIF, eligible-order counts, overdue-order analysis, order-level open units, and order-level investigations.</w:t>
      </w:r>
    </w:p>
    <w:p>
      <w:pPr>
        <w:pStyle w:val="Heading2"/>
      </w:pPr>
      <w:r>
        <w:t>v_order_line_detail</w:t>
      </w:r>
    </w:p>
    <w:p>
      <w:r>
        <w:t>One row per order line. Used for product/line-level questions such as open quantities, overdelivery, and the oldest open order lines. An order can appear multiple times because it can contain several lines.</w:t>
      </w:r>
    </w:p>
    <w:p>
      <w:pPr>
        <w:pStyle w:val="Heading2"/>
      </w:pPr>
      <w:r>
        <w:t>v_regional_kpis</w:t>
      </w:r>
    </w:p>
    <w:p>
      <w:r>
        <w:t>One row per region. Summarises regional measures such as OTIF and backlog-age indicators, making regional comparisons easier.</w:t>
      </w:r>
    </w:p>
    <w:p>
      <w:pPr>
        <w:pStyle w:val="Heading2"/>
      </w:pPr>
      <w:r>
        <w:t>v_fulfilment_trend</w:t>
      </w:r>
    </w:p>
    <w:p>
      <w:r>
        <w:t>One row per month in the current data. Used for month-by-month average fulfilment and OTIF comparisons. The current view was reported to contain August and September 2026.</w:t>
      </w:r>
    </w:p>
    <w:p>
      <w:r>
        <w:t>Why views help: they organise data at the level needed for common business questions and provide reusable SQL logic. A view is a saved query over underlying data, not a separate duplicate copy of all the data.</w:t>
      </w:r>
    </w:p>
    <w:p>
      <w:pPr>
        <w:pStyle w:val="Heading1"/>
      </w:pPr>
      <w:r>
        <w:t>6. Sources and sensitive data</w:t>
      </w:r>
    </w:p>
    <w:p>
      <w:r>
        <w:t>The Genie space was connected to the three Gold tables and four views above. Direct access to silver_pharmacies was intentionally not added as a Genie source. The views were designed to use only pharmacy attributes needed for analytics, such as pharmacy_id and region, rather than contact names or email addresses.</w:t>
      </w:r>
    </w:p>
    <w:p>
      <w:pPr>
        <w:pStyle w:val="Heading1"/>
      </w:pPr>
      <w:r>
        <w:t>7. Business instructions added</w:t>
      </w:r>
    </w:p>
    <w:p>
      <w:pPr>
        <w:pStyle w:val="ListBullet"/>
      </w:pPr>
      <w:r>
        <w:t>Use the fixed reporting as-of timestamp 2026-10-01 00:00; do not substitute current_date or now.</w:t>
      </w:r>
    </w:p>
    <w:p>
      <w:pPr>
        <w:pStyle w:val="ListBullet"/>
      </w:pPr>
      <w:r>
        <w:t>Use the project’s capped-delivery logic for fulfilment calculations, while retaining uncapped delivered units where needed to identify overdelivery.</w:t>
      </w:r>
    </w:p>
    <w:p>
      <w:pPr>
        <w:pStyle w:val="ListBullet"/>
      </w:pPr>
      <w:r>
        <w:t>Apply the configured OTIF eligibility and pass/fail rules; a late final shipment causes an otherwise eligible order to fail OTIF.</w:t>
      </w:r>
    </w:p>
    <w:p>
      <w:pPr>
        <w:pStyle w:val="ListBullet"/>
      </w:pPr>
      <w:r>
        <w:t>Show counts and denominators alongside percentages where useful.</w:t>
      </w:r>
    </w:p>
    <w:p>
      <w:pPr>
        <w:pStyle w:val="ListBullet"/>
      </w:pPr>
      <w:r>
        <w:t>Use the appropriate view for order-level, line-level, regional, or monthly questions.</w:t>
      </w:r>
    </w:p>
    <w:p>
      <w:pPr>
        <w:pStyle w:val="ListBullet"/>
      </w:pPr>
      <w:r>
        <w:t>For monthly trend questions, exclude cancelled orders and orders without lines, according to the configured instructions.</w:t>
      </w:r>
    </w:p>
    <w:p>
      <w:pPr>
        <w:pStyle w:val="ListBullet"/>
      </w:pPr>
      <w:r>
        <w:t>Do not treat null as zero without justification; clarify ambiguous questions.</w:t>
      </w:r>
    </w:p>
    <w:p>
      <w:pPr>
        <w:pStyle w:val="ListBullet"/>
      </w:pPr>
      <w:r>
        <w:t>Treat contact details as restricted and the dataset as synthetic.</w:t>
      </w:r>
    </w:p>
    <w:p>
      <w:pPr>
        <w:pStyle w:val="Heading1"/>
      </w:pPr>
      <w:r>
        <w:t>8. Example questions and SQL added</w:t>
      </w:r>
    </w:p>
    <w:p>
      <w:r>
        <w:t>Nine example question/SQL patterns were added. The examples below record the SQL patterns discussed during setup; validate them against current view definitions before treating them as final business KPI logic.</w:t>
      </w:r>
    </w:p>
    <w:p>
      <w:pPr>
        <w:pStyle w:val="Heading2"/>
      </w:pPr>
      <w:r>
        <w:t>1. OTIF percentage by region</w:t>
      </w:r>
    </w:p>
    <w:p>
      <w:r>
        <w:rPr>
          <w:rFonts w:ascii="Consolas" w:hAnsi="Consolas"/>
          <w:sz w:val="16"/>
        </w:rPr>
        <w:t>SELECT region, otif_eligible_orders, otif_passed_orders, otif_percentage</w:t>
        <w:br/>
        <w:t>FROM dbwteam3.order_fulfillment.v_regional_kpis</w:t>
        <w:br/>
        <w:t>ORDER BY otif_percentage;</w:t>
      </w:r>
    </w:p>
    <w:p>
      <w:pPr>
        <w:pStyle w:val="Heading2"/>
      </w:pPr>
      <w:r>
        <w:t>2. Region with highest backlog</w:t>
      </w:r>
    </w:p>
    <w:p>
      <w:r>
        <w:rPr>
          <w:rFonts w:ascii="Consolas" w:hAnsi="Consolas"/>
          <w:sz w:val="16"/>
        </w:rPr>
        <w:t>SELECT region, SUM(total_open_units) AS open_units</w:t>
        <w:br/>
        <w:t>FROM dbwteam3.order_fulfillment.v_order_performance</w:t>
        <w:br/>
        <w:t>GROUP BY region</w:t>
        <w:br/>
        <w:t>ORDER BY open_units DESC;</w:t>
      </w:r>
    </w:p>
    <w:p>
      <w:pPr>
        <w:pStyle w:val="Heading2"/>
      </w:pPr>
      <w:r>
        <w:t>3. Number of overdue orders</w:t>
      </w:r>
    </w:p>
    <w:p>
      <w:r>
        <w:rPr>
          <w:rFonts w:ascii="Consolas" w:hAnsi="Consolas"/>
          <w:sz w:val="16"/>
        </w:rPr>
        <w:t>SELECT COUNT(*) AS overdue_orders</w:t>
        <w:br/>
        <w:t>FROM dbwteam3.order_fulfillment.v_order_performance</w:t>
        <w:br/>
        <w:t>WHERE is_overdue;</w:t>
      </w:r>
    </w:p>
    <w:p>
      <w:pPr>
        <w:pStyle w:val="Heading2"/>
      </w:pPr>
      <w:r>
        <w:t>4. Overall OTIF percentage</w:t>
      </w:r>
    </w:p>
    <w:p>
      <w:r>
        <w:rPr>
          <w:rFonts w:ascii="Consolas" w:hAnsi="Consolas"/>
          <w:sz w:val="16"/>
        </w:rPr>
        <w:t>SELECT</w:t>
        <w:br/>
        <w:t xml:space="preserve">  SUM(CASE WHEN otif_pass THEN 1 ELSE 0 END) AS passed,</w:t>
        <w:br/>
        <w:t xml:space="preserve">  SUM(CASE WHEN otif_denominator_eligible THEN 1 ELSE 0 END) AS eligible,</w:t>
        <w:br/>
        <w:t xml:space="preserve">  ROUND(100.0 * SUM(CASE WHEN otif_pass THEN 1 ELSE 0 END)</w:t>
        <w:br/>
        <w:t xml:space="preserve">    / NULLIF(SUM(CASE WHEN otif_denominator_eligible THEN 1 ELSE 0 END), 0), 2) AS otif_pct</w:t>
        <w:br/>
        <w:t>FROM dbwteam3.order_fulfillment.v_order_performance;</w:t>
      </w:r>
    </w:p>
    <w:p>
      <w:pPr>
        <w:pStyle w:val="Heading2"/>
      </w:pPr>
      <w:r>
        <w:t>5. Average backlog age by region</w:t>
      </w:r>
    </w:p>
    <w:p>
      <w:r>
        <w:rPr>
          <w:rFonts w:ascii="Consolas" w:hAnsi="Consolas"/>
          <w:sz w:val="16"/>
        </w:rPr>
        <w:t>SELECT region, avg_backlog_age_days, max_backlog_age_days</w:t>
        <w:br/>
        <w:t>FROM dbwteam3.order_fulfillment.v_regional_kpis</w:t>
        <w:br/>
        <w:t>ORDER BY avg_backlog_age_days DESC;</w:t>
      </w:r>
    </w:p>
    <w:p>
      <w:pPr>
        <w:pStyle w:val="Heading2"/>
      </w:pPr>
      <w:r>
        <w:t>6. Monthly fulfilment trend</w:t>
      </w:r>
    </w:p>
    <w:p>
      <w:r>
        <w:rPr>
          <w:rFonts w:ascii="Consolas" w:hAnsi="Consolas"/>
          <w:sz w:val="16"/>
        </w:rPr>
        <w:t>SELECT order_month, avg_order_fulfilment_pct, otif_percentage</w:t>
        <w:br/>
        <w:t>FROM dbwteam3.order_fulfillment.v_fulfilment_trend</w:t>
        <w:br/>
        <w:t>ORDER BY order_month;</w:t>
      </w:r>
    </w:p>
    <w:p>
      <w:pPr>
        <w:pStyle w:val="Heading2"/>
      </w:pPr>
      <w:r>
        <w:t>7. Overdelivered order lines</w:t>
      </w:r>
    </w:p>
    <w:p>
      <w:r>
        <w:rPr>
          <w:rFonts w:ascii="Consolas" w:hAnsi="Consolas"/>
          <w:sz w:val="16"/>
        </w:rPr>
        <w:t>SELECT order_id, line_id, ordered_quantity, uncapped_delivered_units</w:t>
        <w:br/>
        <w:t>FROM dbwteam3.order_fulfillment.v_order_line_detail</w:t>
        <w:br/>
        <w:t>WHERE is_overdelivered</w:t>
        <w:br/>
        <w:t>ORDER BY uncapped_delivered_units - ordered_quantity DESC;</w:t>
      </w:r>
    </w:p>
    <w:p>
      <w:pPr>
        <w:pStyle w:val="Heading2"/>
      </w:pPr>
      <w:r>
        <w:t>8. Orders with no order lines</w:t>
      </w:r>
    </w:p>
    <w:p>
      <w:r>
        <w:rPr>
          <w:rFonts w:ascii="Consolas" w:hAnsi="Consolas"/>
          <w:sz w:val="16"/>
        </w:rPr>
        <w:t>SELECT order_id, region, order_status</w:t>
        <w:br/>
        <w:t>FROM dbwteam3.order_fulfillment.v_order_performance</w:t>
        <w:br/>
        <w:t>WHERE total_ordered_units = 0;</w:t>
      </w:r>
    </w:p>
    <w:p>
      <w:pPr>
        <w:pStyle w:val="Heading2"/>
      </w:pPr>
      <w:r>
        <w:t>9. Ten oldest open order lines</w:t>
      </w:r>
    </w:p>
    <w:p>
      <w:r>
        <w:rPr>
          <w:rFonts w:ascii="Consolas" w:hAnsi="Consolas"/>
          <w:sz w:val="16"/>
        </w:rPr>
        <w:t>SELECT order_id, line_id, region, open_units, backlog_age_days</w:t>
        <w:br/>
        <w:t>FROM dbwteam3.order_fulfillment.v_order_line_detail</w:t>
        <w:br/>
        <w:t>WHERE open_units &gt; 0 AND NOT is_cancelled</w:t>
        <w:br/>
        <w:t>ORDER BY backlog_age_days DESC</w:t>
        <w:br/>
        <w:t>LIMIT 10;</w:t>
      </w:r>
    </w:p>
    <w:p>
      <w:r>
        <w:t>The overall OTIF example was identified as the candidate trusted query, but its final saved trusted status was not independently confirmed.</w:t>
      </w:r>
    </w:p>
    <w:p>
      <w:pPr>
        <w:pStyle w:val="Heading1"/>
      </w:pPr>
      <w:r>
        <w:t>9. Relationship configured</w:t>
      </w:r>
    </w:p>
    <w:p>
      <w:r>
        <w:t>A one-to-many relationship was created between v_order_performance.order_id and v_order_line_detail.order_id. This tells Genie that one order can have multiple order lines and helps it combine order-level and line-level data when needed. It is metadata for Genie; it does not alter the underlying data. Check generated SQL for unintended duplicate counting when joins are used.</w:t>
      </w:r>
    </w:p>
    <w:p>
      <w:pPr>
        <w:pStyle w:val="Heading1"/>
      </w:pPr>
      <w:r>
        <w:t>10. Column descriptions and visibility</w:t>
      </w:r>
    </w:p>
    <w:p>
      <w:r>
        <w:t>Source/column descriptions were reviewed during setup. A column was hidden in the context of discussing last_positive_delivery_time and has_overdelivery, but the final visibility state of each column was not separately verified. Check the Genie source configuration before sharing.</w:t>
      </w:r>
    </w:p>
    <w:p>
      <w:pPr>
        <w:pStyle w:val="Heading1"/>
      </w:pPr>
      <w:r>
        <w:t>11. Data checks reported during setup</w:t>
      </w:r>
    </w:p>
    <w:tbl>
      <w:tblPr>
        <w:tblStyle w:val="LightShading-Accent1"/>
        <w:tblW w:type="auto" w:w="0"/>
        <w:tblLook w:firstColumn="1" w:firstRow="1" w:lastColumn="0" w:lastRow="0" w:noHBand="0" w:noVBand="1" w:val="04A0"/>
      </w:tblPr>
      <w:tblGrid>
        <w:gridCol w:w="4968"/>
        <w:gridCol w:w="4968"/>
      </w:tblGrid>
      <w:tr>
        <w:tc>
          <w:tcPr>
            <w:tcW w:type="dxa" w:w="4968"/>
          </w:tcPr>
          <w:p>
            <w:r>
              <w:t>Object / metric</w:t>
            </w:r>
          </w:p>
        </w:tc>
        <w:tc>
          <w:tcPr>
            <w:tcW w:type="dxa" w:w="4968"/>
          </w:tcPr>
          <w:p>
            <w:r>
              <w:t>Reported value</w:t>
            </w:r>
          </w:p>
        </w:tc>
      </w:tr>
      <w:tr>
        <w:tc>
          <w:tcPr>
            <w:tcW w:type="dxa" w:w="4968"/>
          </w:tcPr>
          <w:p>
            <w:r>
              <w:t>order_line_fulfilment</w:t>
            </w:r>
          </w:p>
        </w:tc>
        <w:tc>
          <w:tcPr>
            <w:tcW w:type="dxa" w:w="4968"/>
          </w:tcPr>
          <w:p>
            <w:r>
              <w:t>4,782 rows in the later check</w:t>
            </w:r>
          </w:p>
        </w:tc>
      </w:tr>
      <w:tr>
        <w:tc>
          <w:tcPr>
            <w:tcW w:type="dxa" w:w="4968"/>
          </w:tcPr>
          <w:p>
            <w:r>
              <w:t>order_service_performance</w:t>
            </w:r>
          </w:p>
        </w:tc>
        <w:tc>
          <w:tcPr>
            <w:tcW w:type="dxa" w:w="4968"/>
          </w:tcPr>
          <w:p>
            <w:r>
              <w:t>2,046 rows</w:t>
            </w:r>
          </w:p>
        </w:tc>
      </w:tr>
      <w:tr>
        <w:tc>
          <w:tcPr>
            <w:tcW w:type="dxa" w:w="4968"/>
          </w:tcPr>
          <w:p>
            <w:r>
              <w:t>regional_backlog</w:t>
            </w:r>
          </w:p>
        </w:tc>
        <w:tc>
          <w:tcPr>
            <w:tcW w:type="dxa" w:w="4968"/>
          </w:tcPr>
          <w:p>
            <w:r>
              <w:t>5 rows</w:t>
            </w:r>
          </w:p>
        </w:tc>
      </w:tr>
      <w:tr>
        <w:tc>
          <w:tcPr>
            <w:tcW w:type="dxa" w:w="4968"/>
          </w:tcPr>
          <w:p>
            <w:r>
              <w:t>silver_orders</w:t>
            </w:r>
          </w:p>
        </w:tc>
        <w:tc>
          <w:tcPr>
            <w:tcW w:type="dxa" w:w="4968"/>
          </w:tcPr>
          <w:p>
            <w:r>
              <w:t>2,046 rows</w:t>
            </w:r>
          </w:p>
        </w:tc>
      </w:tr>
      <w:tr>
        <w:tc>
          <w:tcPr>
            <w:tcW w:type="dxa" w:w="4968"/>
          </w:tcPr>
          <w:p>
            <w:r>
              <w:t>silver_pharmacies</w:t>
            </w:r>
          </w:p>
        </w:tc>
        <w:tc>
          <w:tcPr>
            <w:tcW w:type="dxa" w:w="4968"/>
          </w:tcPr>
          <w:p>
            <w:r>
              <w:t>100 rows</w:t>
            </w:r>
          </w:p>
        </w:tc>
      </w:tr>
      <w:tr>
        <w:tc>
          <w:tcPr>
            <w:tcW w:type="dxa" w:w="4968"/>
          </w:tcPr>
          <w:p>
            <w:r>
              <w:t>OTIF sanity check</w:t>
            </w:r>
          </w:p>
        </w:tc>
        <w:tc>
          <w:tcPr>
            <w:tcW w:type="dxa" w:w="4968"/>
          </w:tcPr>
          <w:p>
            <w:r>
              <w:t>51.54%</w:t>
            </w:r>
          </w:p>
        </w:tc>
      </w:tr>
      <w:tr>
        <w:tc>
          <w:tcPr>
            <w:tcW w:type="dxa" w:w="4968"/>
          </w:tcPr>
          <w:p>
            <w:r>
              <w:t>Overdue orders sanity check</w:t>
            </w:r>
          </w:p>
        </w:tc>
        <w:tc>
          <w:tcPr>
            <w:tcW w:type="dxa" w:w="4968"/>
          </w:tcPr>
          <w:p>
            <w:r>
              <w:t>542</w:t>
            </w:r>
          </w:p>
        </w:tc>
      </w:tr>
      <w:tr>
        <w:tc>
          <w:tcPr>
            <w:tcW w:type="dxa" w:w="4968"/>
          </w:tcPr>
          <w:p>
            <w:r>
              <w:t>Open units sanity check</w:t>
            </w:r>
          </w:p>
        </w:tc>
        <w:tc>
          <w:tcPr>
            <w:tcW w:type="dxa" w:w="4968"/>
          </w:tcPr>
          <w:p>
            <w:r>
              <w:t>57,156</w:t>
            </w:r>
          </w:p>
        </w:tc>
      </w:tr>
      <w:tr>
        <w:tc>
          <w:tcPr>
            <w:tcW w:type="dxa" w:w="4968"/>
          </w:tcPr>
          <w:p>
            <w:r>
              <w:t>Overdelivered lines</w:t>
            </w:r>
          </w:p>
        </w:tc>
        <w:tc>
          <w:tcPr>
            <w:tcW w:type="dxa" w:w="4968"/>
          </w:tcPr>
          <w:p>
            <w:r>
              <w:t>119</w:t>
            </w:r>
          </w:p>
        </w:tc>
      </w:tr>
      <w:tr>
        <w:tc>
          <w:tcPr>
            <w:tcW w:type="dxa" w:w="4968"/>
          </w:tcPr>
          <w:p>
            <w:r>
              <w:t>Region labels</w:t>
            </w:r>
          </w:p>
        </w:tc>
        <w:tc>
          <w:tcPr>
            <w:tcW w:type="dxa" w:w="4968"/>
          </w:tcPr>
          <w:p>
            <w:r>
              <w:t>Central, East, North, South, West</w:t>
            </w:r>
          </w:p>
        </w:tc>
      </w:tr>
      <w:tr>
        <w:tc>
          <w:tcPr>
            <w:tcW w:type="dxa" w:w="4968"/>
          </w:tcPr>
          <w:p>
            <w:r>
              <w:t>Monthly trend</w:t>
            </w:r>
          </w:p>
        </w:tc>
        <w:tc>
          <w:tcPr>
            <w:tcW w:type="dxa" w:w="4968"/>
          </w:tcPr>
          <w:p>
            <w:r>
              <w:t>August 2026 and September 2026</w:t>
            </w:r>
          </w:p>
        </w:tc>
      </w:tr>
    </w:tbl>
    <w:p>
      <w:r>
        <w:t>Important caveats: an earlier check showed 4,773 order-line rows and a later check showed 4,782; this discrepancy was not reconciled. Some figures also differed from older guide benchmarks. Re-run validation queries before presenting numbers as final. The five region labels were found in the dataset, but the project conversation did not confirm which country they represent.</w:t>
      </w:r>
    </w:p>
    <w:p>
      <w:pPr>
        <w:pStyle w:val="Heading1"/>
      </w:pPr>
      <w:r>
        <w:t>12. Genie validation completed and discussed</w:t>
      </w:r>
    </w:p>
    <w:p>
      <w:pPr>
        <w:pStyle w:val="ListBullet"/>
      </w:pPr>
      <w:r>
        <w:t>Question: “What is our overall OTIF percentage?” Genie returned 51.54%, with 1,002 passed orders out of 1,944 eligible orders as of 2026-10-01 00:00. The percentage is arithmetically consistent with those counts.</w:t>
      </w:r>
    </w:p>
    <w:p>
      <w:pPr>
        <w:pStyle w:val="ListBullet"/>
      </w:pPr>
      <w:r>
        <w:t>Follow-up about exclusions: Genie reported 2,046 total orders and 102 excluded, including 100 cancelled orders and 2 non-cancelled orders with future promised dates, with no overlap. These counts sum to 2,046.</w:t>
      </w:r>
    </w:p>
    <w:p>
      <w:pPr>
        <w:pStyle w:val="ListBullet"/>
      </w:pPr>
      <w:r>
        <w:t>Questions were also asked about highest regional backlog, overdue orders as a percentage of total orders, open units by region, and monthly trend, but the generated SQL/results were not shared for review in the conversation.</w:t>
      </w:r>
    </w:p>
    <w:p>
      <w:pPr>
        <w:pStyle w:val="Heading1"/>
      </w:pPr>
      <w:r>
        <w:t>13. Remaining validation checklist</w:t>
      </w:r>
    </w:p>
    <w:p>
      <w:pPr>
        <w:pStyle w:val="ListBullet"/>
      </w:pPr>
      <w:r>
        <w:t>Review generated SQL for regional backlog.</w:t>
      </w:r>
    </w:p>
    <w:p>
      <w:pPr>
        <w:pStyle w:val="ListBullet"/>
      </w:pPr>
      <w:r>
        <w:t>Review generated SQL for overdue-order count and percentage.</w:t>
      </w:r>
    </w:p>
    <w:p>
      <w:pPr>
        <w:pStyle w:val="ListBullet"/>
      </w:pPr>
      <w:r>
        <w:t>Review generated SQL for open units by region.</w:t>
      </w:r>
    </w:p>
    <w:p>
      <w:pPr>
        <w:pStyle w:val="ListBullet"/>
      </w:pPr>
      <w:r>
        <w:t>Review generated SQL and result for monthly fulfilment trend.</w:t>
      </w:r>
    </w:p>
    <w:p>
      <w:pPr>
        <w:pStyle w:val="ListBullet"/>
      </w:pPr>
      <w:r>
        <w:t>Run and verify “Show the 10 oldest open order lines.”</w:t>
      </w:r>
    </w:p>
    <w:p>
      <w:pPr>
        <w:pStyle w:val="ListBullet"/>
      </w:pPr>
      <w:r>
        <w:t>Run and verify “Which orders were fully delivered but failed OTIF?”</w:t>
      </w:r>
    </w:p>
    <w:p>
      <w:pPr>
        <w:pStyle w:val="ListBullet"/>
      </w:pPr>
      <w:r>
        <w:t>Compare Genie results against direct SQL using the same data and as-of timestamp.</w:t>
      </w:r>
    </w:p>
    <w:p>
      <w:pPr>
        <w:pStyle w:val="ListBullet"/>
      </w:pPr>
      <w:r>
        <w:t>Confirm whether the overall OTIF example is saved as trusted.</w:t>
      </w:r>
    </w:p>
    <w:p>
      <w:pPr>
        <w:pStyle w:val="ListBullet"/>
      </w:pPr>
      <w:r>
        <w:t>Confirm hidden-column settings and descriptions.</w:t>
      </w:r>
    </w:p>
    <w:p>
      <w:pPr>
        <w:pStyle w:val="ListBullet"/>
      </w:pPr>
      <w:r>
        <w:t>Review permissions before broad sharing. The existing users group was used during setup, and broad schema privileges were discussed; grant only what intended users require.</w:t>
      </w:r>
    </w:p>
    <w:p>
      <w:pPr>
        <w:pStyle w:val="ListBullet"/>
      </w:pPr>
      <w:r>
        <w:t>Resolve row-count and KPI benchmark differences before presenting final figures.</w:t>
      </w:r>
    </w:p>
    <w:p>
      <w:pPr>
        <w:pStyle w:val="Heading1"/>
      </w:pPr>
      <w:r>
        <w:t>14. How Genie chooses a source</w:t>
      </w:r>
    </w:p>
    <w:p>
      <w:r>
        <w:t>Genie does not follow a guaranteed fixed sequence or always query v_order_performance first. It chooses based on the question, metadata, instructions, examples, and relationships. Typical source choices are:</w:t>
      </w:r>
    </w:p>
    <w:p>
      <w:pPr>
        <w:pStyle w:val="ListBullet"/>
      </w:pPr>
      <w:r>
        <w:t>Order-level OTIF or overdue questions: v_order_performance.</w:t>
      </w:r>
    </w:p>
    <w:p>
      <w:pPr>
        <w:pStyle w:val="ListBullet"/>
      </w:pPr>
      <w:r>
        <w:t>Product/order-line questions: v_order_line_detail.</w:t>
      </w:r>
    </w:p>
    <w:p>
      <w:pPr>
        <w:pStyle w:val="ListBullet"/>
      </w:pPr>
      <w:r>
        <w:t>Regional comparisons: v_regional_kpis, or v_order_performance when calculating from order records.</w:t>
      </w:r>
    </w:p>
    <w:p>
      <w:pPr>
        <w:pStyle w:val="ListBullet"/>
      </w:pPr>
      <w:r>
        <w:t>Month-by-month questions: v_fulfilment_trend.</w:t>
      </w:r>
    </w:p>
    <w:p>
      <w:r>
        <w:t>To confirm the source actually used for a specific answer, inspect Genie’s generated SQL and review its FROM and JOIN clauses.</w:t>
      </w:r>
    </w:p>
    <w:p>
      <w:pPr>
        <w:pStyle w:val="Heading1"/>
      </w:pPr>
      <w:r>
        <w:t>15. Presentation script</w:t>
      </w:r>
    </w:p>
    <w:p>
      <w:r>
        <w:t>“We implemented Databricks Genie as a natural-language analytics layer on top of our Gold data in Azure Databricks. First, we prepared four business-friendly SQL views for order performance, order-line details, regional KPIs, and monthly fulfilment trends. We then created the Order Fulfillment Performance Genie space and connected three Gold tables and the four views. We added business instructions to define OTIF, eligibility, overdue and backlog interpretation, and the reporting as-of timestamp. We supplied example questions with SQL patterns and configured a one-to-many relationship between orders and order lines. Finally, we started validating Genie’s responses against known SQL results. This allows business users to ask questions in plain English rather than writing SQL themselves.”</w:t>
      </w:r>
    </w:p>
    <w:p>
      <w:pPr>
        <w:pStyle w:val="Heading1"/>
      </w:pPr>
      <w:r>
        <w:t>16. Key terms</w:t>
      </w:r>
    </w:p>
    <w:p>
      <w:r>
        <w:rPr>
          <w:b/>
        </w:rPr>
        <w:t xml:space="preserve">Genie space: </w:t>
      </w:r>
      <w:r>
        <w:t>The configured assistant area where users ask questions about selected data sources.</w:t>
      </w:r>
    </w:p>
    <w:p>
      <w:r>
        <w:rPr>
          <w:b/>
        </w:rPr>
        <w:t xml:space="preserve">Gold table: </w:t>
      </w:r>
      <w:r>
        <w:t>A curated analytics table prepared by the data pipeline.</w:t>
      </w:r>
    </w:p>
    <w:p>
      <w:r>
        <w:rPr>
          <w:b/>
        </w:rPr>
        <w:t xml:space="preserve">SQL view: </w:t>
      </w:r>
      <w:r>
        <w:t>A saved query that presents underlying data in a useful shape.</w:t>
      </w:r>
    </w:p>
    <w:p>
      <w:r>
        <w:rPr>
          <w:b/>
        </w:rPr>
        <w:t xml:space="preserve">OTIF: </w:t>
      </w:r>
      <w:r>
        <w:t>On Time In Full: an eligible order passes only when it meets both the on-time and in-full rules defined by the project.</w:t>
      </w:r>
    </w:p>
    <w:p>
      <w:r>
        <w:rPr>
          <w:b/>
        </w:rPr>
        <w:t xml:space="preserve">Overdue: </w:t>
      </w:r>
      <w:r>
        <w:t>The project-defined overdue flag; inspect the SQL definition to state the exact condition.</w:t>
      </w:r>
    </w:p>
    <w:p>
      <w:r>
        <w:rPr>
          <w:b/>
        </w:rPr>
        <w:t xml:space="preserve">Relationship: </w:t>
      </w:r>
      <w:r>
        <w:t>Metadata describing how records match, such as one order to many order lines.</w:t>
      </w:r>
    </w:p>
    <w:p>
      <w:r>
        <w:rPr>
          <w:b/>
        </w:rPr>
        <w:t xml:space="preserve">Trusted query: </w:t>
      </w:r>
      <w:r>
        <w:t>An example/query marked as trusted in Genie to reinforce a preferred interpretation.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