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Pharmacy Order Fulfilment and SLA Analytics</w:t>
      </w:r>
    </w:p>
    <w:p>
      <w:pPr>
        <w:pStyle w:val="Subtitle"/>
      </w:pPr>
      <w:r>
        <w:t>Team 3 assignment for Databricks New Relic and Governance</w:t>
      </w:r>
    </w:p>
    <w:p>
      <w:r>
        <w:t>Complete this project within two weeks, planned as ten working days. Build a working solution and demonstrate its accuracy, monitoring and access controls. This brief applies the Week 4 to Week 6 topics from the Cencora training schedule to a fictional business scenario.</w:t>
      </w:r>
    </w:p>
    <w:p>
      <w:r>
        <w:t>Planning assumption: 3–4 learners per team and approximately 20–25 hours per learner across the two weeks. Confirm the start date and submission date with the trainer on Day 1.</w:t>
      </w:r>
    </w:p>
    <w:p>
      <w:pPr>
        <w:pStyle w:val="Heading1"/>
      </w:pPr>
      <w:r>
        <w:t>Business problem</w:t>
      </w:r>
    </w:p>
    <w:p>
      <w:r>
        <w:t>Pharmacies receive orders in multiple shipments. Build a reliable view of order completion, overdue orders and performance against promised delivery times without double-counting quantities.</w:t>
      </w:r>
    </w:p>
    <w:p>
      <w:pPr>
        <w:pStyle w:val="Heading1"/>
      </w:pPr>
      <w:r>
        <w:t>Simple example</w:t>
      </w:r>
    </w:p>
    <w:p>
      <w:r>
        <w:t>A pharmacy orders 100 units. Sixty units arrive before the promised delivery time and forty arrive the following day. Eventual fulfilment is 100 percent, but the order fails the on time and in full measure.</w:t>
      </w:r>
    </w:p>
    <w:p>
      <w:pPr>
        <w:pStyle w:val="Heading1"/>
      </w:pPr>
      <w:r>
        <w:t>Input data</w:t>
      </w:r>
    </w:p>
    <w:p>
      <w:r>
        <w:t>Generate reproducible synthetic data using a fixed random seed. Target 10,000 transaction or event rows, small reference tables and three incoming batches of 100–500 rows. Include a separate small fixture with known expected results. Data generation is part of the assignment.</w:t>
      </w:r>
    </w:p>
    <w:tbl>
      <w:tblPr>
        <w:tblW w:type="auto" w:w="0"/>
        <w:tblLayout w:type="fixed"/>
        <w:tblLook w:firstColumn="1" w:firstRow="1" w:lastColumn="0" w:lastRow="0" w:noHBand="0" w:noVBand="1" w:val="04A0"/>
      </w:tblPr>
      <w:tblGrid>
        <w:gridCol w:w="2088"/>
        <w:gridCol w:w="8136"/>
      </w:tblGrid>
      <w:tr>
        <w:trPr>
          <w:cantSplit/>
          <w:tblHeader/>
        </w:trPr>
        <w:tc>
          <w:tcPr>
            <w:tcW w:type="dxa" w:w="2088"/>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Dataset</w:t>
            </w:r>
          </w:p>
        </w:tc>
        <w:tc>
          <w:tcPr>
            <w:tcW w:type="dxa" w:w="8136"/>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Minimum fields</w:t>
            </w:r>
          </w:p>
        </w:tc>
      </w:tr>
      <w:tr>
        <w:trPr>
          <w:cantSplit/>
        </w:trPr>
        <w:tc>
          <w:tcPr>
            <w:tcW w:type="dxa" w:w="208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Orders</w:t>
            </w:r>
          </w:p>
        </w:tc>
        <w:tc>
          <w:tcPr>
            <w:tcW w:type="dxa" w:w="813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order_id, pharmacy_id, order_time, promised_delivery_time, order_status</w:t>
            </w:r>
          </w:p>
        </w:tc>
      </w:tr>
      <w:tr>
        <w:trPr>
          <w:cantSplit/>
        </w:trPr>
        <w:tc>
          <w:tcPr>
            <w:tcW w:type="dxa" w:w="208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Order lines</w:t>
            </w:r>
          </w:p>
        </w:tc>
        <w:tc>
          <w:tcPr>
            <w:tcW w:type="dxa" w:w="813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order_id, line_id, product_id, ordered_quantity</w:t>
            </w:r>
          </w:p>
        </w:tc>
      </w:tr>
      <w:tr>
        <w:trPr>
          <w:cantSplit/>
        </w:trPr>
        <w:tc>
          <w:tcPr>
            <w:tcW w:type="dxa" w:w="208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Shipment lines</w:t>
            </w:r>
          </w:p>
        </w:tc>
        <w:tc>
          <w:tcPr>
            <w:tcW w:type="dxa" w:w="813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shipment_id, order_id, line_id, shipped_quantity</w:t>
            </w:r>
          </w:p>
        </w:tc>
      </w:tr>
      <w:tr>
        <w:trPr>
          <w:cantSplit/>
        </w:trPr>
        <w:tc>
          <w:tcPr>
            <w:tcW w:type="dxa" w:w="208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Delivery events</w:t>
            </w:r>
          </w:p>
        </w:tc>
        <w:tc>
          <w:tcPr>
            <w:tcW w:type="dxa" w:w="813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event_id, shipment_id, order_id, line_id, delivered_quantity, delivery_time</w:t>
            </w:r>
          </w:p>
        </w:tc>
      </w:tr>
      <w:tr>
        <w:trPr>
          <w:cantSplit/>
        </w:trPr>
        <w:tc>
          <w:tcPr>
            <w:tcW w:type="dxa" w:w="208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Pharmacies</w:t>
            </w:r>
          </w:p>
        </w:tc>
        <w:tc>
          <w:tcPr>
            <w:tcW w:type="dxa" w:w="813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pharmacy_id, region, contact_name, contact_email</w:t>
            </w:r>
          </w:p>
        </w:tc>
      </w:tr>
    </w:tbl>
    <w:p>
      <w:pPr>
        <w:spacing w:after="0"/>
      </w:pPr>
    </w:p>
    <w:p>
      <w:r>
        <w:t>Order lines use order_id plus line_id. Delivery events are incremental quantities identified by event_id, rather than cumulative shipment totals. A delivery references an exact shipment line.</w:t>
      </w:r>
    </w:p>
    <w:p>
      <w:r>
        <w:br w:type="page"/>
      </w:r>
    </w:p>
    <w:p>
      <w:pPr>
        <w:pStyle w:val="Heading1"/>
      </w:pPr>
      <w:r>
        <w:t>Required implementation</w:t>
      </w:r>
    </w:p>
    <w:p>
      <w:r>
        <w:t>Use ADLS for landing files, Databricks for processing, Delta tables for persisted data and Power BI for business reporting. Use a separate team schema and storage prefix. Bronze preserves raw input, Silver contains accepted standardized records, and Gold holds business summaries.</w:t>
      </w:r>
    </w:p>
    <w:p>
      <w:pPr>
        <w:pStyle w:val="ListBullet"/>
      </w:pPr>
      <w:r>
        <w:t>Build a batch load and one incremental file stream. Configure a persistent checkpoint in an approved location.</w:t>
      </w:r>
    </w:p>
    <w:p>
      <w:pPr>
        <w:pStyle w:val="ListBullet"/>
      </w:pPr>
      <w:r>
        <w:t>Create a Databricks job with ingestion, validation, transformation and telemetry tasks. Parameterize catalog, schema, paths and as-of time.</w:t>
      </w:r>
    </w:p>
    <w:p>
      <w:pPr>
        <w:pStyle w:val="ListBullet"/>
      </w:pPr>
      <w:r>
        <w:t>Use MERGE for one correction or incremental update. Demonstrate schema enforcement rejecting an unexpected change, then an explicitly approved new column.</w:t>
      </w:r>
    </w:p>
    <w:p>
      <w:pPr>
        <w:pStyle w:val="ListBullet"/>
      </w:pPr>
      <w:r>
        <w:t>Show time travel for a retained earlier table version. Keep old files until the demonstration is complete.</w:t>
      </w:r>
    </w:p>
    <w:p>
      <w:pPr>
        <w:pStyle w:val="ListBullet"/>
      </w:pPr>
      <w:r>
        <w:t>Demonstrate one Spark execution plan and one justified improvement. Report observed timings honestly; small training datasets may not show a speedup.</w:t>
      </w:r>
    </w:p>
    <w:p>
      <w:pPr>
        <w:pStyle w:val="Heading1"/>
      </w:pPr>
      <w:r>
        <w:t>Processing and metrics</w:t>
      </w:r>
    </w:p>
    <w:p>
      <w:pPr>
        <w:pStyle w:val="ListBullet"/>
      </w:pPr>
      <w:r>
        <w:t>Line fulfilment = min(accepted delivered units, ordered units) / ordered units × 100. Preserve uncapped delivered units for overdelivery checks.</w:t>
      </w:r>
    </w:p>
    <w:p>
      <w:pPr>
        <w:pStyle w:val="ListBullet"/>
      </w:pPr>
      <w:r>
        <w:t>Order fulfilment = sum of capped delivered units across lines / sum of ordered units × 100. Aggregate delivery events before joining order-level data.</w:t>
      </w:r>
    </w:p>
    <w:p>
      <w:pPr>
        <w:pStyle w:val="ListBullet"/>
      </w:pPr>
      <w:r>
        <w:t>An order passes OTIF only if every line reaches its full ordered quantity by promised_delivery_time. A late final shipment fails OTIF.</w:t>
      </w:r>
    </w:p>
    <w:p>
      <w:pPr>
        <w:pStyle w:val="ListBullet"/>
      </w:pPr>
      <w:r>
        <w:t>OTIF denominator = noncancelled orders whose promised delivery time is at or before the report as-of time. Include overdue incomplete orders as failures.</w:t>
      </w:r>
    </w:p>
    <w:p>
      <w:pPr>
        <w:pStyle w:val="ListBullet"/>
      </w:pPr>
      <w:r>
        <w:t>Open units = max(0, ordered − accepted delivered units). Backlog age is elapsed time from order creation for orders still incomplete.</w:t>
      </w:r>
    </w:p>
    <w:p>
      <w:r>
        <w:t>Append delivery event files and update affected order summaries. Use an idempotent Delta MERGE into the unique event ledger, then derive line and order metrics.</w:t>
      </w:r>
    </w:p>
    <w:tbl>
      <w:tblPr>
        <w:tblW w:type="auto" w:w="0"/>
        <w:tblLayout w:type="fixed"/>
        <w:tblLook w:firstColumn="1" w:firstRow="1" w:lastColumn="0" w:lastRow="0" w:noHBand="0" w:noVBand="1" w:val="04A0"/>
      </w:tblPr>
      <w:tblGrid>
        <w:gridCol w:w="3096"/>
        <w:gridCol w:w="7128"/>
      </w:tblGrid>
      <w:tr>
        <w:trPr>
          <w:cantSplit/>
          <w:tblHeader/>
        </w:trPr>
        <w:tc>
          <w:tcPr>
            <w:tcW w:type="dxa" w:w="3096"/>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Gold output</w:t>
            </w:r>
          </w:p>
        </w:tc>
        <w:tc>
          <w:tcPr>
            <w:tcW w:type="dxa" w:w="7128"/>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Purpose</w:t>
            </w:r>
          </w:p>
        </w:tc>
      </w:tr>
      <w:tr>
        <w:trPr>
          <w:cantSplit/>
        </w:trPr>
        <w:tc>
          <w:tcPr>
            <w:tcW w:type="dxa" w:w="309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order_line_fulfilment</w:t>
            </w:r>
          </w:p>
        </w:tc>
        <w:tc>
          <w:tcPr>
            <w:tcW w:type="dxa" w:w="71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Ordered units, delivered units and completion time per line</w:t>
            </w:r>
          </w:p>
        </w:tc>
      </w:tr>
      <w:tr>
        <w:trPr>
          <w:cantSplit/>
        </w:trPr>
        <w:tc>
          <w:tcPr>
            <w:tcW w:type="dxa" w:w="309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order_service_performance</w:t>
            </w:r>
          </w:p>
        </w:tc>
        <w:tc>
          <w:tcPr>
            <w:tcW w:type="dxa" w:w="712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Order fulfilment and OTIF status at the as-of time</w:t>
            </w:r>
          </w:p>
        </w:tc>
      </w:tr>
      <w:tr>
        <w:trPr>
          <w:cantSplit/>
        </w:trPr>
        <w:tc>
          <w:tcPr>
            <w:tcW w:type="dxa" w:w="309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regional_backlog</w:t>
            </w:r>
          </w:p>
        </w:tc>
        <w:tc>
          <w:tcPr>
            <w:tcW w:type="dxa" w:w="71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Open units, overdue orders and backlog age by region</w:t>
            </w:r>
          </w:p>
        </w:tc>
      </w:tr>
    </w:tbl>
    <w:p>
      <w:pPr>
        <w:spacing w:after="0"/>
      </w:pPr>
    </w:p>
    <w:p>
      <w:pPr>
        <w:pStyle w:val="Heading1"/>
      </w:pPr>
      <w:r>
        <w:t>Data quality rules</w:t>
      </w:r>
    </w:p>
    <w:p>
      <w:pPr>
        <w:pStyle w:val="ListBullet"/>
      </w:pPr>
      <w:r>
        <w:t>Reject missing order or line identifiers and unknown pharmacy references.</w:t>
      </w:r>
    </w:p>
    <w:p>
      <w:pPr>
        <w:pStyle w:val="ListBullet"/>
      </w:pPr>
      <w:r>
        <w:t>Reject nonpositive order quantities and negative delivered quantities.</w:t>
      </w:r>
    </w:p>
    <w:p>
      <w:pPr>
        <w:pStyle w:val="ListBullet"/>
      </w:pPr>
      <w:r>
        <w:t>Deduplicate delivery event_id before aggregation.</w:t>
      </w:r>
    </w:p>
    <w:p>
      <w:pPr>
        <w:pStyle w:val="ListBullet"/>
      </w:pPr>
      <w:r>
        <w:t>Quarantine delivery events with an unknown shipment line.</w:t>
      </w:r>
    </w:p>
    <w:p>
      <w:pPr>
        <w:pStyle w:val="ListBullet"/>
      </w:pPr>
      <w:r>
        <w:t>Flag overdelivery and delivery before order creation. Keep those exceptions visible and document their KPI treatment.</w:t>
      </w:r>
    </w:p>
    <w:p>
      <w:r>
        <w:br w:type="page"/>
      </w:r>
    </w:p>
    <w:p>
      <w:pPr>
        <w:pStyle w:val="Heading1"/>
      </w:pPr>
      <w:r>
        <w:t>New Relic monitoring</w:t>
      </w:r>
    </w:p>
    <w:p>
      <w:r>
        <w:t>Publish custom events from the pipeline to New Relic using the Event API. Record team, pipeline, runId, status, durationSeconds, inputRows, rejectedRows, rejectedPercent and freshnessSeconds. Keep the ingestion key in an approved secret store. Send operational summaries only.</w:t>
      </w:r>
    </w:p>
    <w:p>
      <w:r>
        <w:t>Calculate rejectedPercent as rejectedRows / inputRows × 100, with a documented zero-input rule. Define freshness from the latest successful committed output. Use runId in logs and events to correlate a failure with its Databricks run.</w:t>
      </w:r>
    </w:p>
    <w:p>
      <w:pPr>
        <w:pStyle w:val="ListBullet"/>
      </w:pPr>
      <w:r>
        <w:t>Dashboard: successful and failed runs, duration, input and rejected rows, rejection percentage and freshness.</w:t>
      </w:r>
    </w:p>
    <w:p>
      <w:pPr>
        <w:pStyle w:val="ListBullet"/>
      </w:pPr>
      <w:r>
        <w:t>Alert 1: rejectedPercent exceeds 5 percent in a five-minute evaluation window. Inject enough bad rows to trigger it.</w:t>
      </w:r>
    </w:p>
    <w:p>
      <w:pPr>
        <w:pStyle w:val="ListBullet"/>
      </w:pPr>
      <w:r>
        <w:t>Alert 2: a failed run is reported. Also configure a heartbeat or loss-of-signal check to detect missing telemetry during the active demo period.</w:t>
      </w:r>
    </w:p>
    <w:p>
      <w:pPr>
        <w:pStyle w:val="ListBullet"/>
      </w:pPr>
      <w:r>
        <w:t>Show an alert opening, identify the cause from runId and sanitized logs, fix the issue, rerun, and capture recovery. Thresholds are classroom proposals.</w:t>
      </w:r>
    </w:p>
    <w:p>
      <w:r>
        <w:t>Custom pipeline events do not demonstrate APM or distributed tracing. Those require a separately instrumented application and are optional here.</w:t>
      </w:r>
    </w:p>
    <w:p>
      <w:pPr>
        <w:pStyle w:val="Heading1"/>
      </w:pPr>
      <w:r>
        <w:t>Governance evidence</w:t>
      </w:r>
    </w:p>
    <w:p>
      <w:r>
        <w:t>Accountability: Order operations owner; customer service data steward. Assign actual team members to these responsibilities on Day 1.</w:t>
      </w:r>
    </w:p>
    <w:p>
      <w:r>
        <w:t>Access requirement: Classify contact_name and contact_email as restricted synthetic contact data. Analysts query views excluding these columns and have no direct access to the underlying contact table.</w:t>
      </w:r>
    </w:p>
    <w:p>
      <w:r>
        <w:t>Use Unity Catalog permissions to enforce access. Capture one allowed query and one denied query with separate authorized test identities. An analyst who retains broad inherited privileges is not a valid restricted-user test.</w:t>
      </w:r>
    </w:p>
    <w:p>
      <w:r>
        <w:t>Create ten glossary entries, starting with: Order line, fulfilment percentage, OTIF, promised delivery time, partial delivery, backlog, overdue order, cancellation, overdelivery, as-of time. For each, record definition, owner and linked data asset.</w:t>
      </w:r>
    </w:p>
    <w:p>
      <w:r>
        <w:t>Catalog sources, Silver and Gold tables, and the report. Record asset purpose, owner, steward, classification, refresh frequency and quality rules. Capture supported Unity Catalog lineage and manually label external links to ADLS or Power BI where needed.</w:t>
      </w:r>
    </w:p>
    <w:p>
      <w:r>
        <w:t>Review five policies: access, sensitive fields, retention, data quality and change approval. Score each 0 or 1 for named owner, stated priority and current review date. Total completeness is 0–15; track policy gaps separately from this score.</w:t>
      </w:r>
    </w:p>
    <w:p>
      <w:r>
        <w:t>If Collibra is available, represent the community, domain, glossary and asset relationships there. Otherwise submit equivalent catalog templates and clearly mark Edge setup and live ingestion as unverified design items.</w:t>
      </w:r>
    </w:p>
    <w:p>
      <w:pPr>
        <w:pStyle w:val="Heading1"/>
      </w:pPr>
      <w:r>
        <w:t>Business report</w:t>
      </w:r>
    </w:p>
    <w:p>
      <w:r>
        <w:t>OTIF by region, overdue orders, fulfilment trend and backlog age. Include KPI definitions and denominator counts. Use Power BI Desktop where sharing licenses are unavailable. Include at least three measures and reconcile them against SQL outputs. An authorized Gold-data export is an acceptable connector fallback, documented as a static snapshot.</w:t>
      </w:r>
    </w:p>
    <w:p>
      <w:r>
        <w:br w:type="page"/>
      </w:r>
    </w:p>
    <w:p>
      <w:pPr>
        <w:pStyle w:val="Heading1"/>
      </w:pPr>
      <w:r>
        <w:t>Two week execution plan</w:t>
      </w:r>
    </w:p>
    <w:p>
      <w:r>
        <w:t>The day numbers below are project working days, not training schedule day numbers. Budget approximately two to two and a half hours per learner each day. Escalate missing access during Day 1.</w:t>
      </w:r>
    </w:p>
    <w:tbl>
      <w:tblPr>
        <w:tblW w:type="auto" w:w="0"/>
        <w:tblLayout w:type="fixed"/>
        <w:tblLook w:firstColumn="1" w:firstRow="1" w:lastColumn="0" w:lastRow="0" w:noHBand="0" w:noVBand="1" w:val="04A0"/>
      </w:tblPr>
      <w:tblGrid>
        <w:gridCol w:w="576"/>
        <w:gridCol w:w="5616"/>
        <w:gridCol w:w="4032"/>
      </w:tblGrid>
      <w:tr>
        <w:trPr>
          <w:cantSplit/>
          <w:tblHeader/>
        </w:trPr>
        <w:tc>
          <w:tcPr>
            <w:tcW w:type="dxa" w:w="576"/>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Day</w:t>
            </w:r>
          </w:p>
        </w:tc>
        <w:tc>
          <w:tcPr>
            <w:tcW w:type="dxa" w:w="5616"/>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Work</w:t>
            </w:r>
          </w:p>
        </w:tc>
        <w:tc>
          <w:tcPr>
            <w:tcW w:type="dxa" w:w="4032"/>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Evidence</w:t>
            </w:r>
          </w:p>
        </w:tc>
      </w:tr>
      <w:tr>
        <w:trPr>
          <w:cantSplit/>
        </w:trPr>
        <w:tc>
          <w:tcPr>
            <w:tcW w:type="dxa" w:w="5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1</w:t>
            </w:r>
          </w:p>
        </w:tc>
        <w:tc>
          <w:tcPr>
            <w:tcW w:type="dxa" w:w="56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Confirm access and ownership; agree data grain, KPI definitions and project scope.</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Design sketch, access check and task assignments</w:t>
            </w:r>
          </w:p>
        </w:tc>
      </w:tr>
      <w:tr>
        <w:trPr>
          <w:cantSplit/>
        </w:trPr>
        <w:tc>
          <w:tcPr>
            <w:tcW w:type="dxa" w:w="57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2</w:t>
            </w:r>
          </w:p>
        </w:tc>
        <w:tc>
          <w:tcPr>
            <w:tcW w:type="dxa" w:w="56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Generate data and known-result fixtures; load Bronze.</w:t>
            </w:r>
          </w:p>
        </w:tc>
        <w:tc>
          <w:tcPr>
            <w:tcW w:type="dxa" w:w="403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Data dictionary and reproducible sample load</w:t>
            </w:r>
          </w:p>
        </w:tc>
      </w:tr>
      <w:tr>
        <w:trPr>
          <w:cantSplit/>
        </w:trPr>
        <w:tc>
          <w:tcPr>
            <w:tcW w:type="dxa" w:w="5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3</w:t>
            </w:r>
          </w:p>
        </w:tc>
        <w:tc>
          <w:tcPr>
            <w:tcW w:type="dxa" w:w="56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Build Silver validation, deduplication and quarantine.</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Five quality rules with counts and reasons</w:t>
            </w:r>
          </w:p>
        </w:tc>
      </w:tr>
      <w:tr>
        <w:trPr>
          <w:cantSplit/>
        </w:trPr>
        <w:tc>
          <w:tcPr>
            <w:tcW w:type="dxa" w:w="57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4</w:t>
            </w:r>
          </w:p>
        </w:tc>
        <w:tc>
          <w:tcPr>
            <w:tcW w:type="dxa" w:w="56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Build Gold outputs and verify business calculations.</w:t>
            </w:r>
          </w:p>
        </w:tc>
        <w:tc>
          <w:tcPr>
            <w:tcW w:type="dxa" w:w="403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SQL results matching the small fixture</w:t>
            </w:r>
          </w:p>
        </w:tc>
      </w:tr>
      <w:tr>
        <w:trPr>
          <w:cantSplit/>
        </w:trPr>
        <w:tc>
          <w:tcPr>
            <w:tcW w:type="dxa" w:w="5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5</w:t>
            </w:r>
          </w:p>
        </w:tc>
        <w:tc>
          <w:tcPr>
            <w:tcW w:type="dxa" w:w="56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Add incremental streaming and job orchestration.</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Week 1 checkpoint with pipeline demonstration</w:t>
            </w:r>
          </w:p>
        </w:tc>
      </w:tr>
      <w:tr>
        <w:trPr>
          <w:cantSplit/>
        </w:trPr>
        <w:tc>
          <w:tcPr>
            <w:tcW w:type="dxa" w:w="57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6</w:t>
            </w:r>
          </w:p>
        </w:tc>
        <w:tc>
          <w:tcPr>
            <w:tcW w:type="dxa" w:w="56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Demonstrate MERGE, schema change, time travel and restart recovery.</w:t>
            </w:r>
          </w:p>
        </w:tc>
        <w:tc>
          <w:tcPr>
            <w:tcW w:type="dxa" w:w="403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Saved test evidence and recovery steps</w:t>
            </w:r>
          </w:p>
        </w:tc>
      </w:tr>
      <w:tr>
        <w:trPr>
          <w:cantSplit/>
        </w:trPr>
        <w:tc>
          <w:tcPr>
            <w:tcW w:type="dxa" w:w="5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7</w:t>
            </w:r>
          </w:p>
        </w:tc>
        <w:tc>
          <w:tcPr>
            <w:tcW w:type="dxa" w:w="56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Send New Relic telemetry; build dashboard and trigger alerts.</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Failure investigation and recovery evidence</w:t>
            </w:r>
          </w:p>
        </w:tc>
      </w:tr>
      <w:tr>
        <w:trPr>
          <w:cantSplit/>
        </w:trPr>
        <w:tc>
          <w:tcPr>
            <w:tcW w:type="dxa" w:w="57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8</w:t>
            </w:r>
          </w:p>
        </w:tc>
        <w:tc>
          <w:tcPr>
            <w:tcW w:type="dxa" w:w="56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Complete access controls, glossary, lineage and policy review.</w:t>
            </w:r>
          </w:p>
        </w:tc>
        <w:tc>
          <w:tcPr>
            <w:tcW w:type="dxa" w:w="403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Governance pack and permission tests</w:t>
            </w:r>
          </w:p>
        </w:tc>
      </w:tr>
      <w:tr>
        <w:trPr>
          <w:cantSplit/>
        </w:trPr>
        <w:tc>
          <w:tcPr>
            <w:tcW w:type="dxa" w:w="5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9</w:t>
            </w:r>
          </w:p>
        </w:tc>
        <w:tc>
          <w:tcPr>
            <w:tcW w:type="dxa" w:w="56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Complete Power BI report; run acceptance tests and rehearse.</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Reconciled report and submission draft</w:t>
            </w:r>
          </w:p>
        </w:tc>
      </w:tr>
      <w:tr>
        <w:trPr>
          <w:cantSplit/>
        </w:trPr>
        <w:tc>
          <w:tcPr>
            <w:tcW w:type="dxa" w:w="57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10</w:t>
            </w:r>
          </w:p>
        </w:tc>
        <w:tc>
          <w:tcPr>
            <w:tcW w:type="dxa" w:w="56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Freeze submission, deliver demonstration and answer questions.</w:t>
            </w:r>
          </w:p>
        </w:tc>
        <w:tc>
          <w:tcPr>
            <w:tcW w:type="dxa" w:w="403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Final package and individual contribution record</w:t>
            </w:r>
          </w:p>
        </w:tc>
      </w:tr>
    </w:tbl>
    <w:p>
      <w:pPr>
        <w:spacing w:after="0"/>
      </w:pPr>
    </w:p>
    <w:p>
      <w:pPr>
        <w:pStyle w:val="Heading1"/>
      </w:pPr>
      <w:r>
        <w:t>Team responsibilities</w:t>
      </w:r>
    </w:p>
    <w:p>
      <w:r>
        <w:t>Share the work across data engineering, monitoring, and governance/reporting. In a four-person team, split ingestion from transformation. Every learner must explain at least one notebook, one KPI and one control. Rotate review responsibility instead of leaving testing to one person.</w:t>
      </w:r>
    </w:p>
    <w:p>
      <w:pPr>
        <w:pStyle w:val="Heading1"/>
      </w:pPr>
      <w:r>
        <w:t>Scope and access decisions</w:t>
      </w:r>
    </w:p>
    <w:p>
      <w:r>
        <w:t>Core services: an approved Databricks workspace with Unity Catalog, ADLS access, New Relic ingestion and alert permissions, and Power BI Desktop or equivalent approved report access. The trainer provisions shared prerequisites and test identities; students work within their assigned permissions.</w:t>
      </w:r>
    </w:p>
    <w:p>
      <w:r>
        <w:t>ADF triggering, Terraform deployment, Event Hubs, Synapse, Power Apps, ML and application APM are extensions for this two-week assignment. Complete the core first. Reuse existing approved resources, enable compute auto-termination and record a cleanup plan.</w:t>
      </w:r>
    </w:p>
    <w:p>
      <w:r>
        <w:rPr>
          <w:sz w:val="16"/>
        </w:rPr>
        <w:t>Source alignment: supplied 2026 Cloud Data GenAI Training Schedule, Weeks 4–6, Days 16–30. Reference documentation: learn.microsoft.com/azure/databricks/data-governance/unity-catalog/ and docs.newrelic.com/docs/data-apis/ingest-apis/event-api/introduction-event-api/. These are educational scenarios, not Cencora production requirements.</w:t>
      </w:r>
    </w:p>
    <w:p>
      <w:r>
        <w:br w:type="page"/>
      </w:r>
    </w:p>
    <w:p>
      <w:pPr>
        <w:pStyle w:val="Heading1"/>
      </w:pPr>
      <w:r>
        <w:t>Acceptance tests</w:t>
      </w:r>
    </w:p>
    <w:p>
      <w:r>
        <w:t>Capture input, expected result, actual result, pass or fail, run ID and evidence location for each test. Fix unexplained failures before the final demonstration.</w:t>
      </w:r>
    </w:p>
    <w:tbl>
      <w:tblPr>
        <w:tblW w:type="auto" w:w="0"/>
        <w:tblLayout w:type="fixed"/>
        <w:tblLook w:firstColumn="1" w:firstRow="1" w:lastColumn="0" w:lastRow="0" w:noHBand="0" w:noVBand="1" w:val="04A0"/>
      </w:tblPr>
      <w:tblGrid>
        <w:gridCol w:w="1440"/>
        <w:gridCol w:w="4176"/>
        <w:gridCol w:w="4608"/>
      </w:tblGrid>
      <w:tr>
        <w:trPr>
          <w:cantSplit/>
          <w:tblHeader/>
        </w:trPr>
        <w:tc>
          <w:tcPr>
            <w:tcW w:type="dxa" w:w="1440"/>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Test</w:t>
            </w:r>
          </w:p>
        </w:tc>
        <w:tc>
          <w:tcPr>
            <w:tcW w:type="dxa" w:w="4176"/>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Input or action</w:t>
            </w:r>
          </w:p>
        </w:tc>
        <w:tc>
          <w:tcPr>
            <w:tcW w:type="dxa" w:w="4608"/>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Expected result</w:t>
            </w:r>
          </w:p>
        </w:tc>
      </w:tr>
      <w:tr>
        <w:trPr>
          <w:cantSplit/>
        </w:trPr>
        <w:tc>
          <w:tcPr>
            <w:tcW w:type="dxa" w:w="144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Partial delivery</w:t>
            </w:r>
          </w:p>
        </w:tc>
        <w:tc>
          <w:tcPr>
            <w:tcW w:type="dxa" w:w="41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60 of 100 units arrive on time</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Fulfilment is 60 percent</w:t>
            </w:r>
          </w:p>
        </w:tc>
      </w:tr>
      <w:tr>
        <w:trPr>
          <w:cantSplit/>
        </w:trPr>
        <w:tc>
          <w:tcPr>
            <w:tcW w:type="dxa" w:w="1440"/>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Late completion</w:t>
            </w:r>
          </w:p>
        </w:tc>
        <w:tc>
          <w:tcPr>
            <w:tcW w:type="dxa" w:w="417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Remaining 40 arrive one day late</w:t>
            </w:r>
          </w:p>
        </w:tc>
        <w:tc>
          <w:tcPr>
            <w:tcW w:type="dxa" w:w="460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Fulfilment 100 percent; OTIF fails</w:t>
            </w:r>
          </w:p>
        </w:tc>
      </w:tr>
      <w:tr>
        <w:trPr>
          <w:cantSplit/>
        </w:trPr>
        <w:tc>
          <w:tcPr>
            <w:tcW w:type="dxa" w:w="144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Replay</w:t>
            </w:r>
          </w:p>
        </w:tc>
        <w:tc>
          <w:tcPr>
            <w:tcW w:type="dxa" w:w="41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Repeat the same delivery event</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Delivered quantity remains unchanged</w:t>
            </w:r>
          </w:p>
        </w:tc>
      </w:tr>
      <w:tr>
        <w:trPr>
          <w:cantSplit/>
        </w:trPr>
        <w:tc>
          <w:tcPr>
            <w:tcW w:type="dxa" w:w="1440"/>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Two lines</w:t>
            </w:r>
          </w:p>
        </w:tc>
        <w:tc>
          <w:tcPr>
            <w:tcW w:type="dxa" w:w="417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One line is on time and one is late</w:t>
            </w:r>
          </w:p>
        </w:tc>
        <w:tc>
          <w:tcPr>
            <w:tcW w:type="dxa" w:w="460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Entire order fails OTIF</w:t>
            </w:r>
          </w:p>
        </w:tc>
      </w:tr>
      <w:tr>
        <w:trPr>
          <w:cantSplit/>
        </w:trPr>
        <w:tc>
          <w:tcPr>
            <w:tcW w:type="dxa" w:w="144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Cancelled order</w:t>
            </w:r>
          </w:p>
        </w:tc>
        <w:tc>
          <w:tcPr>
            <w:tcW w:type="dxa" w:w="41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Cancelled order in the input</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Excluded from documented OTIF denominator</w:t>
            </w:r>
          </w:p>
        </w:tc>
      </w:tr>
    </w:tbl>
    <w:p>
      <w:pPr>
        <w:spacing w:after="0"/>
      </w:pPr>
    </w:p>
    <w:p>
      <w:r>
        <w:t>Also test job restart, zero-row input, an unexpected column, an approved schema change, time travel, a denied access request and a New Relic incident. Describe deduplication guarantees and their time horizon rather than claiming unlimited exactly-once delivery.</w:t>
      </w:r>
    </w:p>
    <w:p>
      <w:pPr>
        <w:pStyle w:val="Heading1"/>
      </w:pPr>
      <w:r>
        <w:t>Submission package</w:t>
      </w:r>
    </w:p>
    <w:p>
      <w:pPr>
        <w:pStyle w:val="ListBullet"/>
      </w:pPr>
      <w:r>
        <w:t>README with architecture, prerequisites, parameters, run order, recovery and cleanup; do not include keys or passwords.</w:t>
      </w:r>
    </w:p>
    <w:p>
      <w:pPr>
        <w:pStyle w:val="ListBullet"/>
      </w:pPr>
      <w:r>
        <w:t>Data generator and known-result fixture; exported notebooks or source files; job configuration and quality results.</w:t>
      </w:r>
    </w:p>
    <w:p>
      <w:pPr>
        <w:pStyle w:val="ListBullet"/>
      </w:pPr>
      <w:r>
        <w:t>Power BI report or approved equivalent, KPI definitions and SQL reconciliation evidence.</w:t>
      </w:r>
    </w:p>
    <w:p>
      <w:pPr>
        <w:pStyle w:val="ListBullet"/>
      </w:pPr>
      <w:r>
        <w:t>New Relic dashboard queries or export, alert configuration, failure/recovery screenshots and a short incident report.</w:t>
      </w:r>
    </w:p>
    <w:p>
      <w:pPr>
        <w:pStyle w:val="ListBullet"/>
      </w:pPr>
      <w:r>
        <w:t>Governance pack with glossary, asset inventory, access matrix, lineage, policy scores, gap actions and owners.</w:t>
      </w:r>
    </w:p>
    <w:p>
      <w:pPr>
        <w:pStyle w:val="ListBullet"/>
      </w:pPr>
      <w:r>
        <w:t>Acceptance test results and contribution record. Identify any incomplete or simulated feature explicitly.</w:t>
      </w:r>
    </w:p>
    <w:tbl>
      <w:tblPr>
        <w:tblW w:type="auto" w:w="0"/>
        <w:tblLayout w:type="fixed"/>
        <w:tblLook w:firstColumn="1" w:firstRow="1" w:lastColumn="0" w:lastRow="0" w:noHBand="0" w:noVBand="1" w:val="04A0"/>
      </w:tblPr>
      <w:tblGrid>
        <w:gridCol w:w="9216"/>
        <w:gridCol w:w="1008"/>
      </w:tblGrid>
      <w:tr>
        <w:trPr>
          <w:cantSplit/>
          <w:tblHeader/>
        </w:trPr>
        <w:tc>
          <w:tcPr>
            <w:tcW w:type="dxa" w:w="9216"/>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Assessment area</w:t>
            </w:r>
          </w:p>
        </w:tc>
        <w:tc>
          <w:tcPr>
            <w:tcW w:type="dxa" w:w="1008"/>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Marks</w:t>
            </w:r>
          </w:p>
        </w:tc>
      </w:tr>
      <w:tr>
        <w:trPr>
          <w:cantSplit/>
        </w:trPr>
        <w:tc>
          <w:tcPr>
            <w:tcW w:type="dxa" w:w="92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Databricks pipeline and business correctness</w:t>
            </w:r>
          </w:p>
        </w:tc>
        <w:tc>
          <w:tcPr>
            <w:tcW w:type="dxa" w:w="10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25</w:t>
            </w:r>
          </w:p>
        </w:tc>
      </w:tr>
      <w:tr>
        <w:trPr>
          <w:cantSplit/>
        </w:trPr>
        <w:tc>
          <w:tcPr>
            <w:tcW w:type="dxa" w:w="92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Delta Lake streaming and recovery</w:t>
            </w:r>
          </w:p>
        </w:tc>
        <w:tc>
          <w:tcPr>
            <w:tcW w:type="dxa" w:w="100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15</w:t>
            </w:r>
          </w:p>
        </w:tc>
      </w:tr>
      <w:tr>
        <w:trPr>
          <w:cantSplit/>
        </w:trPr>
        <w:tc>
          <w:tcPr>
            <w:tcW w:type="dxa" w:w="92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New Relic monitoring and incident demonstration</w:t>
            </w:r>
          </w:p>
        </w:tc>
        <w:tc>
          <w:tcPr>
            <w:tcW w:type="dxa" w:w="10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20</w:t>
            </w:r>
          </w:p>
        </w:tc>
      </w:tr>
      <w:tr>
        <w:trPr>
          <w:cantSplit/>
        </w:trPr>
        <w:tc>
          <w:tcPr>
            <w:tcW w:type="dxa" w:w="92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Governance and access control</w:t>
            </w:r>
          </w:p>
        </w:tc>
        <w:tc>
          <w:tcPr>
            <w:tcW w:type="dxa" w:w="100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20</w:t>
            </w:r>
          </w:p>
        </w:tc>
      </w:tr>
      <w:tr>
        <w:trPr>
          <w:cantSplit/>
        </w:trPr>
        <w:tc>
          <w:tcPr>
            <w:tcW w:type="dxa" w:w="92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Power BI report and KPI accuracy</w:t>
            </w:r>
          </w:p>
        </w:tc>
        <w:tc>
          <w:tcPr>
            <w:tcW w:type="dxa" w:w="10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10</w:t>
            </w:r>
          </w:p>
        </w:tc>
      </w:tr>
      <w:tr>
        <w:trPr>
          <w:cantSplit/>
        </w:trPr>
        <w:tc>
          <w:tcPr>
            <w:tcW w:type="dxa" w:w="92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Reproducibility presentation and individual explanation</w:t>
            </w:r>
          </w:p>
        </w:tc>
        <w:tc>
          <w:tcPr>
            <w:tcW w:type="dxa" w:w="100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10</w:t>
            </w:r>
          </w:p>
        </w:tc>
      </w:tr>
      <w:tr>
        <w:trPr>
          <w:cantSplit/>
        </w:trPr>
        <w:tc>
          <w:tcPr>
            <w:tcW w:type="dxa" w:w="92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Total</w:t>
            </w:r>
          </w:p>
        </w:tc>
        <w:tc>
          <w:tcPr>
            <w:tcW w:type="dxa" w:w="10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100</w:t>
            </w:r>
          </w:p>
        </w:tc>
      </w:tr>
    </w:tbl>
    <w:p>
      <w:pPr>
        <w:spacing w:after="0"/>
      </w:pPr>
    </w:p>
    <w:p>
      <w:r>
        <w:t>Final presentation: 5 minutes for the business problem and design, 10 minutes for a live demonstration, and 5 minutes for questions. Demonstrate one correct business result, one handled failure and one denied access request. Optional work does not replace core evidence.</w:t>
      </w:r>
    </w:p>
    <w:p>
      <w:r>
        <w:t>Optional extension: Instrument a trainer-provided order-status API with New Relic APM and diagnose a deliberately slow request.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Student assignment   •   Synthetic data only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CENCORA TRAINING   |   TEAM 3   |   TWO WEEK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Pharmacy Order Fulfilment and SLA Analytics</dc:title>
  <dc:subject/>
  <dc:creator>Training assignment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